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18213A6" w14:textId="77777777" w:rsidTr="00C97039">
        <w:trPr>
          <w:trHeight w:hRule="exact" w:val="851"/>
        </w:trPr>
        <w:tc>
          <w:tcPr>
            <w:tcW w:w="1276" w:type="dxa"/>
            <w:tcBorders>
              <w:bottom w:val="single" w:sz="4" w:space="0" w:color="auto"/>
            </w:tcBorders>
          </w:tcPr>
          <w:p w14:paraId="38FBEADC" w14:textId="77777777" w:rsidR="00F35BAF" w:rsidRPr="00DB58B5" w:rsidRDefault="00F35BAF" w:rsidP="002A47A6"/>
        </w:tc>
        <w:tc>
          <w:tcPr>
            <w:tcW w:w="2268" w:type="dxa"/>
            <w:tcBorders>
              <w:bottom w:val="single" w:sz="4" w:space="0" w:color="auto"/>
            </w:tcBorders>
            <w:vAlign w:val="bottom"/>
          </w:tcPr>
          <w:p w14:paraId="336DCA65"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5FA61AE" w14:textId="0E019781" w:rsidR="00F35BAF" w:rsidRPr="00DB58B5" w:rsidRDefault="002A47A6" w:rsidP="002A47A6">
            <w:pPr>
              <w:jc w:val="right"/>
            </w:pPr>
            <w:r w:rsidRPr="002A47A6">
              <w:rPr>
                <w:sz w:val="40"/>
              </w:rPr>
              <w:t>ECE</w:t>
            </w:r>
            <w:r>
              <w:t>/TRANS/WP</w:t>
            </w:r>
            <w:r w:rsidR="00E60533" w:rsidRPr="00E60533">
              <w:t>.</w:t>
            </w:r>
            <w:r>
              <w:t>29/2023/112</w:t>
            </w:r>
          </w:p>
        </w:tc>
      </w:tr>
      <w:tr w:rsidR="00F35BAF" w:rsidRPr="00DB58B5" w14:paraId="3CC852FB" w14:textId="77777777" w:rsidTr="00C97039">
        <w:trPr>
          <w:trHeight w:hRule="exact" w:val="2835"/>
        </w:trPr>
        <w:tc>
          <w:tcPr>
            <w:tcW w:w="1276" w:type="dxa"/>
            <w:tcBorders>
              <w:top w:val="single" w:sz="4" w:space="0" w:color="auto"/>
              <w:bottom w:val="single" w:sz="12" w:space="0" w:color="auto"/>
            </w:tcBorders>
          </w:tcPr>
          <w:p w14:paraId="36388D10" w14:textId="77777777" w:rsidR="00F35BAF" w:rsidRPr="00DB58B5" w:rsidRDefault="00F35BAF" w:rsidP="00C97039">
            <w:pPr>
              <w:spacing w:before="120"/>
              <w:jc w:val="center"/>
            </w:pPr>
            <w:r>
              <w:rPr>
                <w:noProof/>
                <w:lang w:eastAsia="fr-CH"/>
              </w:rPr>
              <w:drawing>
                <wp:inline distT="0" distB="0" distL="0" distR="0" wp14:anchorId="316C88CB" wp14:editId="2BC896A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2887CC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FD791CD" w14:textId="0A54218B" w:rsidR="00F35BAF" w:rsidRDefault="002A47A6" w:rsidP="00C97039">
            <w:pPr>
              <w:spacing w:before="240"/>
            </w:pPr>
            <w:proofErr w:type="spellStart"/>
            <w:r>
              <w:t>Distr</w:t>
            </w:r>
            <w:proofErr w:type="spellEnd"/>
            <w:r w:rsidR="00E60533" w:rsidRPr="00E60533">
              <w:t>.</w:t>
            </w:r>
            <w:r>
              <w:t xml:space="preserve"> générale</w:t>
            </w:r>
          </w:p>
          <w:p w14:paraId="20E944DB" w14:textId="77777777" w:rsidR="002A47A6" w:rsidRDefault="002A47A6" w:rsidP="002A47A6">
            <w:pPr>
              <w:spacing w:line="240" w:lineRule="exact"/>
            </w:pPr>
            <w:r>
              <w:t>30 août 2023</w:t>
            </w:r>
          </w:p>
          <w:p w14:paraId="58DF47D7" w14:textId="77777777" w:rsidR="002A47A6" w:rsidRDefault="002A47A6" w:rsidP="002A47A6">
            <w:pPr>
              <w:spacing w:line="240" w:lineRule="exact"/>
            </w:pPr>
            <w:r>
              <w:t>Français</w:t>
            </w:r>
          </w:p>
          <w:p w14:paraId="3927893A" w14:textId="4400B3E1" w:rsidR="002A47A6" w:rsidRPr="00DB58B5" w:rsidRDefault="002A47A6" w:rsidP="002A47A6">
            <w:pPr>
              <w:spacing w:line="240" w:lineRule="exact"/>
            </w:pPr>
            <w:r>
              <w:t>Original : anglais</w:t>
            </w:r>
          </w:p>
        </w:tc>
      </w:tr>
    </w:tbl>
    <w:p w14:paraId="6C244A03" w14:textId="77777777" w:rsidR="007F20FA" w:rsidRPr="000312C0" w:rsidRDefault="007F20FA" w:rsidP="007F20FA">
      <w:pPr>
        <w:spacing w:before="120"/>
        <w:rPr>
          <w:b/>
          <w:sz w:val="28"/>
          <w:szCs w:val="28"/>
        </w:rPr>
      </w:pPr>
      <w:r w:rsidRPr="000312C0">
        <w:rPr>
          <w:b/>
          <w:sz w:val="28"/>
          <w:szCs w:val="28"/>
        </w:rPr>
        <w:t>Commission économique pour l’Europe</w:t>
      </w:r>
    </w:p>
    <w:p w14:paraId="47384555" w14:textId="77777777" w:rsidR="007F20FA" w:rsidRDefault="007F20FA" w:rsidP="007F20FA">
      <w:pPr>
        <w:spacing w:before="120"/>
        <w:rPr>
          <w:sz w:val="28"/>
          <w:szCs w:val="28"/>
        </w:rPr>
      </w:pPr>
      <w:r w:rsidRPr="00685843">
        <w:rPr>
          <w:sz w:val="28"/>
          <w:szCs w:val="28"/>
        </w:rPr>
        <w:t>Comité des transports intérieurs</w:t>
      </w:r>
    </w:p>
    <w:p w14:paraId="3F833C90" w14:textId="0FFD38BC" w:rsidR="002A47A6" w:rsidRPr="007C6DC9" w:rsidRDefault="002A47A6" w:rsidP="002A47A6">
      <w:pPr>
        <w:spacing w:before="120" w:after="120"/>
        <w:rPr>
          <w:b/>
          <w:sz w:val="24"/>
          <w:szCs w:val="24"/>
          <w:lang w:val="fr-FR"/>
        </w:rPr>
      </w:pPr>
      <w:r w:rsidRPr="007C6DC9">
        <w:rPr>
          <w:b/>
          <w:bCs/>
          <w:sz w:val="24"/>
          <w:szCs w:val="24"/>
          <w:lang w:val="fr-FR"/>
        </w:rPr>
        <w:t>Forum mondial de l</w:t>
      </w:r>
      <w:r>
        <w:rPr>
          <w:b/>
          <w:bCs/>
          <w:sz w:val="24"/>
          <w:szCs w:val="24"/>
          <w:lang w:val="fr-FR"/>
        </w:rPr>
        <w:t>’</w:t>
      </w:r>
      <w:r w:rsidRPr="007C6DC9">
        <w:rPr>
          <w:b/>
          <w:bCs/>
          <w:sz w:val="24"/>
          <w:szCs w:val="24"/>
          <w:lang w:val="fr-FR"/>
        </w:rPr>
        <w:t xml:space="preserve">harmonisation </w:t>
      </w:r>
      <w:r w:rsidR="00292B57">
        <w:rPr>
          <w:b/>
          <w:bCs/>
          <w:sz w:val="24"/>
          <w:szCs w:val="24"/>
          <w:lang w:val="fr-FR"/>
        </w:rPr>
        <w:br/>
      </w:r>
      <w:r w:rsidRPr="007C6DC9">
        <w:rPr>
          <w:b/>
          <w:bCs/>
          <w:sz w:val="24"/>
          <w:szCs w:val="24"/>
          <w:lang w:val="fr-FR"/>
        </w:rPr>
        <w:t>des Règlements concernant les véhicules</w:t>
      </w:r>
    </w:p>
    <w:p w14:paraId="28B724A6" w14:textId="77777777" w:rsidR="002A47A6" w:rsidRPr="007C6DC9" w:rsidRDefault="002A47A6" w:rsidP="002A47A6">
      <w:pPr>
        <w:rPr>
          <w:b/>
          <w:lang w:val="fr-FR"/>
        </w:rPr>
      </w:pPr>
      <w:r>
        <w:rPr>
          <w:b/>
          <w:bCs/>
          <w:lang w:val="fr-FR"/>
        </w:rPr>
        <w:t>191</w:t>
      </w:r>
      <w:r w:rsidRPr="00292B57">
        <w:rPr>
          <w:b/>
          <w:bCs/>
          <w:vertAlign w:val="superscript"/>
          <w:lang w:val="fr-FR"/>
        </w:rPr>
        <w:t>e</w:t>
      </w:r>
      <w:r w:rsidRPr="007C6DC9">
        <w:rPr>
          <w:b/>
          <w:bCs/>
          <w:lang w:val="fr-FR"/>
        </w:rPr>
        <w:t xml:space="preserve"> session</w:t>
      </w:r>
      <w:r w:rsidRPr="007C6DC9">
        <w:rPr>
          <w:lang w:val="fr-FR"/>
        </w:rPr>
        <w:t xml:space="preserve"> </w:t>
      </w:r>
    </w:p>
    <w:p w14:paraId="1505C0F6" w14:textId="77777777" w:rsidR="002A47A6" w:rsidRPr="007C6DC9" w:rsidRDefault="002A47A6" w:rsidP="002A47A6">
      <w:pPr>
        <w:rPr>
          <w:bCs/>
          <w:lang w:val="fr-FR"/>
        </w:rPr>
      </w:pPr>
      <w:r w:rsidRPr="007C6DC9">
        <w:rPr>
          <w:lang w:val="fr-FR"/>
        </w:rPr>
        <w:t>Genève, 1</w:t>
      </w:r>
      <w:r>
        <w:rPr>
          <w:lang w:val="fr-FR"/>
        </w:rPr>
        <w:t>4</w:t>
      </w:r>
      <w:r w:rsidRPr="007C6DC9">
        <w:rPr>
          <w:lang w:val="fr-FR"/>
        </w:rPr>
        <w:t>-1</w:t>
      </w:r>
      <w:r>
        <w:rPr>
          <w:lang w:val="fr-FR"/>
        </w:rPr>
        <w:t>6</w:t>
      </w:r>
      <w:r w:rsidRPr="007C6DC9">
        <w:rPr>
          <w:lang w:val="fr-FR"/>
        </w:rPr>
        <w:t xml:space="preserve"> </w:t>
      </w:r>
      <w:r>
        <w:rPr>
          <w:lang w:val="fr-FR"/>
        </w:rPr>
        <w:t>novembre</w:t>
      </w:r>
      <w:r w:rsidRPr="007C6DC9">
        <w:rPr>
          <w:lang w:val="fr-FR"/>
        </w:rPr>
        <w:t xml:space="preserve"> 2023</w:t>
      </w:r>
    </w:p>
    <w:p w14:paraId="18C849E1" w14:textId="7EFA7996" w:rsidR="002A47A6" w:rsidRPr="007C6DC9" w:rsidRDefault="002A47A6" w:rsidP="002A47A6">
      <w:pPr>
        <w:rPr>
          <w:bCs/>
          <w:lang w:val="fr-FR"/>
        </w:rPr>
      </w:pPr>
      <w:r w:rsidRPr="007C6DC9">
        <w:rPr>
          <w:lang w:val="fr-FR"/>
        </w:rPr>
        <w:t xml:space="preserve">Point </w:t>
      </w:r>
      <w:r>
        <w:rPr>
          <w:lang w:val="fr-FR"/>
        </w:rPr>
        <w:t>4</w:t>
      </w:r>
      <w:r w:rsidR="00E60533" w:rsidRPr="00E60533">
        <w:rPr>
          <w:lang w:val="fr-FR"/>
        </w:rPr>
        <w:t>.</w:t>
      </w:r>
      <w:r>
        <w:rPr>
          <w:lang w:val="fr-FR"/>
        </w:rPr>
        <w:t>8</w:t>
      </w:r>
      <w:r w:rsidR="00E60533" w:rsidRPr="00E60533">
        <w:rPr>
          <w:lang w:val="fr-FR"/>
        </w:rPr>
        <w:t>.</w:t>
      </w:r>
      <w:r>
        <w:rPr>
          <w:lang w:val="fr-FR"/>
        </w:rPr>
        <w:t>8</w:t>
      </w:r>
      <w:r w:rsidRPr="007C6DC9">
        <w:rPr>
          <w:lang w:val="fr-FR"/>
        </w:rPr>
        <w:t xml:space="preserve"> de l</w:t>
      </w:r>
      <w:r>
        <w:rPr>
          <w:lang w:val="fr-FR"/>
        </w:rPr>
        <w:t>’</w:t>
      </w:r>
      <w:r w:rsidRPr="007C6DC9">
        <w:rPr>
          <w:lang w:val="fr-FR"/>
        </w:rPr>
        <w:t>ordre du jour provisoire</w:t>
      </w:r>
    </w:p>
    <w:p w14:paraId="56C6EC2B" w14:textId="77777777" w:rsidR="002A47A6" w:rsidRPr="00F37277" w:rsidRDefault="002A47A6" w:rsidP="002A47A6">
      <w:pPr>
        <w:rPr>
          <w:b/>
        </w:rPr>
      </w:pPr>
      <w:r>
        <w:rPr>
          <w:b/>
          <w:bCs/>
          <w:lang w:val="fr-FR"/>
        </w:rPr>
        <w:t>Accord de 1958 :</w:t>
      </w:r>
    </w:p>
    <w:p w14:paraId="608E6CF6" w14:textId="76CB3E55" w:rsidR="002A47A6" w:rsidRPr="007C6DC9" w:rsidRDefault="002A47A6" w:rsidP="002A47A6">
      <w:pPr>
        <w:rPr>
          <w:b/>
          <w:lang w:val="fr-FR"/>
        </w:rPr>
      </w:pPr>
      <w:r>
        <w:rPr>
          <w:b/>
          <w:bCs/>
          <w:lang w:val="fr-FR"/>
        </w:rPr>
        <w:t xml:space="preserve">Examen de projets d’amendements à des Règlements ONU </w:t>
      </w:r>
      <w:r>
        <w:rPr>
          <w:b/>
          <w:bCs/>
          <w:lang w:val="fr-FR"/>
        </w:rPr>
        <w:br/>
      </w:r>
      <w:r>
        <w:rPr>
          <w:b/>
          <w:bCs/>
          <w:lang w:val="fr-FR"/>
        </w:rPr>
        <w:t>existants,</w:t>
      </w:r>
      <w:r>
        <w:rPr>
          <w:b/>
          <w:bCs/>
          <w:lang w:val="fr-FR"/>
        </w:rPr>
        <w:t xml:space="preserve"> </w:t>
      </w:r>
      <w:r>
        <w:rPr>
          <w:b/>
          <w:bCs/>
          <w:lang w:val="fr-FR"/>
        </w:rPr>
        <w:t>soumis par le GRSP</w:t>
      </w:r>
    </w:p>
    <w:p w14:paraId="52F6F9B9" w14:textId="1C67CADF" w:rsidR="002A47A6" w:rsidRPr="007C6DC9" w:rsidRDefault="002A47A6" w:rsidP="00292B57">
      <w:pPr>
        <w:pStyle w:val="HChG"/>
        <w:rPr>
          <w:lang w:val="fr-FR"/>
        </w:rPr>
      </w:pPr>
      <w:r w:rsidRPr="007C6DC9">
        <w:rPr>
          <w:lang w:val="fr-FR"/>
        </w:rPr>
        <w:tab/>
      </w:r>
      <w:r w:rsidRPr="007C6DC9">
        <w:rPr>
          <w:lang w:val="fr-FR"/>
        </w:rPr>
        <w:tab/>
        <w:t>Proposition de série 01 d</w:t>
      </w:r>
      <w:r>
        <w:rPr>
          <w:lang w:val="fr-FR"/>
        </w:rPr>
        <w:t>’</w:t>
      </w:r>
      <w:r w:rsidRPr="007C6DC9">
        <w:rPr>
          <w:lang w:val="fr-FR"/>
        </w:rPr>
        <w:t>amendements au Règlement ONU n</w:t>
      </w:r>
      <w:r w:rsidRPr="007C6DC9">
        <w:rPr>
          <w:vertAlign w:val="superscript"/>
          <w:lang w:val="fr-FR"/>
        </w:rPr>
        <w:t>o</w:t>
      </w:r>
      <w:r w:rsidRPr="007C6DC9">
        <w:rPr>
          <w:lang w:val="fr-FR"/>
        </w:rPr>
        <w:t> 145 (Systèmes d</w:t>
      </w:r>
      <w:r>
        <w:rPr>
          <w:lang w:val="fr-FR"/>
        </w:rPr>
        <w:t>’</w:t>
      </w:r>
      <w:r w:rsidRPr="007C6DC9">
        <w:rPr>
          <w:lang w:val="fr-FR"/>
        </w:rPr>
        <w:t>ancrages ISOFIX, ancrages pour fixation supérieure ISOFIX et positions i-Size)</w:t>
      </w:r>
    </w:p>
    <w:p w14:paraId="67D71EAC" w14:textId="42A50061" w:rsidR="002A47A6" w:rsidRPr="007C6DC9" w:rsidRDefault="002A47A6" w:rsidP="00292B57">
      <w:pPr>
        <w:pStyle w:val="H1G"/>
        <w:rPr>
          <w:lang w:val="fr-FR"/>
        </w:rPr>
      </w:pPr>
      <w:r w:rsidRPr="007C6DC9">
        <w:rPr>
          <w:lang w:val="fr-FR"/>
        </w:rPr>
        <w:footnoteReference w:customMarkFollows="1" w:id="2"/>
        <w:tab/>
      </w:r>
      <w:r w:rsidRPr="007C6DC9">
        <w:rPr>
          <w:lang w:val="fr-FR"/>
        </w:rPr>
        <w:tab/>
        <w:t xml:space="preserve">Communication </w:t>
      </w:r>
      <w:r>
        <w:rPr>
          <w:lang w:val="fr-FR"/>
        </w:rPr>
        <w:t xml:space="preserve">du </w:t>
      </w:r>
      <w:r w:rsidRPr="007C6DC9">
        <w:rPr>
          <w:lang w:val="fr-FR"/>
        </w:rPr>
        <w:t>Groupe de travail de la sécurité passive</w:t>
      </w:r>
      <w:r w:rsidR="00834D97" w:rsidRPr="00292B57">
        <w:rPr>
          <w:b w:val="0"/>
          <w:sz w:val="20"/>
          <w:lang w:val="fr-FR"/>
        </w:rPr>
        <w:t>*</w:t>
      </w:r>
    </w:p>
    <w:p w14:paraId="42C09EFA" w14:textId="50EB952E" w:rsidR="002A47A6" w:rsidRDefault="002A47A6" w:rsidP="002A47A6">
      <w:pPr>
        <w:pStyle w:val="SingleTxtG"/>
        <w:ind w:firstLine="567"/>
        <w:rPr>
          <w:lang w:val="fr-FR"/>
        </w:rPr>
      </w:pPr>
      <w:r w:rsidRPr="007C6DC9">
        <w:rPr>
          <w:lang w:val="fr-FR"/>
        </w:rPr>
        <w:t xml:space="preserve">Le texte ci-après, </w:t>
      </w:r>
      <w:r w:rsidRPr="008D6EB5">
        <w:rPr>
          <w:lang w:val="fr-FR"/>
        </w:rPr>
        <w:t>adopté par le Groupe de travail de la sécurité passive (GRSP) à sa soixante-treizième session (ECE/TRANS/WP</w:t>
      </w:r>
      <w:r w:rsidR="00E60533" w:rsidRPr="00E60533">
        <w:rPr>
          <w:lang w:val="fr-FR"/>
        </w:rPr>
        <w:t>.</w:t>
      </w:r>
      <w:r w:rsidRPr="008D6EB5">
        <w:rPr>
          <w:lang w:val="fr-FR"/>
        </w:rPr>
        <w:t>29/GRSP/73, par</w:t>
      </w:r>
      <w:r w:rsidR="00E60533" w:rsidRPr="00E60533">
        <w:rPr>
          <w:lang w:val="fr-FR"/>
        </w:rPr>
        <w:t>.</w:t>
      </w:r>
      <w:r w:rsidR="00292B57">
        <w:rPr>
          <w:lang w:val="fr-FR"/>
        </w:rPr>
        <w:t> </w:t>
      </w:r>
      <w:r w:rsidRPr="008D6EB5">
        <w:rPr>
          <w:lang w:val="fr-FR"/>
        </w:rPr>
        <w:t>43),</w:t>
      </w:r>
      <w:r>
        <w:rPr>
          <w:lang w:val="fr-FR"/>
        </w:rPr>
        <w:t xml:space="preserve"> </w:t>
      </w:r>
      <w:r w:rsidRPr="008D6EB5">
        <w:rPr>
          <w:lang w:val="fr-FR"/>
        </w:rPr>
        <w:t>est fondé sur le document ECE/TRANS/WP</w:t>
      </w:r>
      <w:r w:rsidR="00E60533" w:rsidRPr="00E60533">
        <w:rPr>
          <w:lang w:val="fr-FR"/>
        </w:rPr>
        <w:t>.</w:t>
      </w:r>
      <w:r w:rsidRPr="008D6EB5">
        <w:rPr>
          <w:lang w:val="fr-FR"/>
        </w:rPr>
        <w:t>29/GRSP/2023/12 tel que modifié par l</w:t>
      </w:r>
      <w:r>
        <w:rPr>
          <w:lang w:val="fr-FR"/>
        </w:rPr>
        <w:t>’</w:t>
      </w:r>
      <w:r w:rsidRPr="008D6EB5">
        <w:rPr>
          <w:lang w:val="fr-FR"/>
        </w:rPr>
        <w:t>annexe XI du rapport</w:t>
      </w:r>
      <w:r w:rsidR="00E60533" w:rsidRPr="00E60533">
        <w:rPr>
          <w:lang w:val="fr-FR"/>
        </w:rPr>
        <w:t>.</w:t>
      </w:r>
      <w:r>
        <w:rPr>
          <w:lang w:val="fr-FR"/>
        </w:rPr>
        <w:t xml:space="preserve"> </w:t>
      </w:r>
      <w:r w:rsidRPr="008D6EB5">
        <w:rPr>
          <w:lang w:val="fr-FR"/>
        </w:rPr>
        <w:t>Il est soumis au Forum mondial de l</w:t>
      </w:r>
      <w:r>
        <w:rPr>
          <w:lang w:val="fr-FR"/>
        </w:rPr>
        <w:t>’</w:t>
      </w:r>
      <w:r w:rsidRPr="008D6EB5">
        <w:rPr>
          <w:lang w:val="fr-FR"/>
        </w:rPr>
        <w:t>harmonisation des Règlements concernant les véhicules (WP</w:t>
      </w:r>
      <w:r w:rsidR="00E60533" w:rsidRPr="00E60533">
        <w:rPr>
          <w:lang w:val="fr-FR"/>
        </w:rPr>
        <w:t>.</w:t>
      </w:r>
      <w:r w:rsidRPr="008D6EB5">
        <w:rPr>
          <w:lang w:val="fr-FR"/>
        </w:rPr>
        <w:t>29) et au Comité d</w:t>
      </w:r>
      <w:r>
        <w:rPr>
          <w:lang w:val="fr-FR"/>
        </w:rPr>
        <w:t>’</w:t>
      </w:r>
      <w:r w:rsidRPr="008D6EB5">
        <w:rPr>
          <w:lang w:val="fr-FR"/>
        </w:rPr>
        <w:t>administration de l</w:t>
      </w:r>
      <w:r>
        <w:rPr>
          <w:lang w:val="fr-FR"/>
        </w:rPr>
        <w:t>’</w:t>
      </w:r>
      <w:r w:rsidRPr="008D6EB5">
        <w:rPr>
          <w:lang w:val="fr-FR"/>
        </w:rPr>
        <w:t>Accord de 1958 (AC</w:t>
      </w:r>
      <w:r w:rsidR="00E60533" w:rsidRPr="00E60533">
        <w:rPr>
          <w:lang w:val="fr-FR"/>
        </w:rPr>
        <w:t>.</w:t>
      </w:r>
      <w:r w:rsidRPr="008D6EB5">
        <w:rPr>
          <w:lang w:val="fr-FR"/>
        </w:rPr>
        <w:t>1) pour examen à leurs sessions de novembre 2023</w:t>
      </w:r>
      <w:r w:rsidR="00E60533" w:rsidRPr="00E60533">
        <w:rPr>
          <w:lang w:val="fr-FR"/>
        </w:rPr>
        <w:t>.</w:t>
      </w:r>
      <w:r w:rsidRPr="007C6DC9" w:rsidDel="00EB6AF1">
        <w:rPr>
          <w:lang w:val="fr-FR"/>
        </w:rPr>
        <w:t xml:space="preserve"> </w:t>
      </w:r>
    </w:p>
    <w:p w14:paraId="2B5B1603" w14:textId="77777777" w:rsidR="00292B57" w:rsidRDefault="00292B57">
      <w:pPr>
        <w:suppressAutoHyphens w:val="0"/>
        <w:kinsoku/>
        <w:overflowPunct/>
        <w:autoSpaceDE/>
        <w:autoSpaceDN/>
        <w:adjustRightInd/>
        <w:snapToGrid/>
        <w:spacing w:after="200" w:line="276" w:lineRule="auto"/>
        <w:rPr>
          <w:rStyle w:val="ui-provider"/>
          <w:i/>
          <w:iCs/>
        </w:rPr>
      </w:pPr>
      <w:r>
        <w:rPr>
          <w:rStyle w:val="ui-provider"/>
          <w:i/>
          <w:iCs/>
        </w:rPr>
        <w:br w:type="page"/>
      </w:r>
    </w:p>
    <w:p w14:paraId="53A2F3B7" w14:textId="3F23068E" w:rsidR="002A47A6" w:rsidRDefault="002A47A6" w:rsidP="00292B57">
      <w:pPr>
        <w:pStyle w:val="SingleTxtG"/>
        <w:ind w:left="1701"/>
        <w:rPr>
          <w:rStyle w:val="ui-provider"/>
        </w:rPr>
      </w:pPr>
      <w:r w:rsidRPr="008D6EB5">
        <w:rPr>
          <w:rStyle w:val="ui-provider"/>
          <w:i/>
          <w:iCs/>
        </w:rPr>
        <w:lastRenderedPageBreak/>
        <w:t>Dans l</w:t>
      </w:r>
      <w:r>
        <w:rPr>
          <w:rStyle w:val="ui-provider"/>
          <w:i/>
          <w:iCs/>
        </w:rPr>
        <w:t>’</w:t>
      </w:r>
      <w:r w:rsidRPr="008D6EB5">
        <w:rPr>
          <w:rStyle w:val="ui-provider"/>
          <w:i/>
          <w:iCs/>
        </w:rPr>
        <w:t>ensemble du texte du Règlement ONU, remplacer la référence à la Résolution d</w:t>
      </w:r>
      <w:r>
        <w:rPr>
          <w:rStyle w:val="ui-provider"/>
          <w:i/>
          <w:iCs/>
        </w:rPr>
        <w:t>’</w:t>
      </w:r>
      <w:r w:rsidRPr="008D6EB5">
        <w:rPr>
          <w:rStyle w:val="ui-provider"/>
          <w:i/>
          <w:iCs/>
        </w:rPr>
        <w:t>ensemble sur la construction des véhicules (R</w:t>
      </w:r>
      <w:r w:rsidR="00E60533" w:rsidRPr="00E60533">
        <w:rPr>
          <w:rStyle w:val="ui-provider"/>
          <w:i/>
          <w:iCs/>
        </w:rPr>
        <w:t>.</w:t>
      </w:r>
      <w:r w:rsidRPr="008D6EB5">
        <w:rPr>
          <w:rStyle w:val="ui-provider"/>
          <w:i/>
          <w:iCs/>
        </w:rPr>
        <w:t>E</w:t>
      </w:r>
      <w:r w:rsidR="00E60533" w:rsidRPr="00E60533">
        <w:rPr>
          <w:rStyle w:val="ui-provider"/>
          <w:i/>
          <w:iCs/>
        </w:rPr>
        <w:t>.</w:t>
      </w:r>
      <w:r w:rsidRPr="008D6EB5">
        <w:rPr>
          <w:rStyle w:val="ui-provider"/>
          <w:i/>
          <w:iCs/>
        </w:rPr>
        <w:t>3) par</w:t>
      </w:r>
      <w:r>
        <w:rPr>
          <w:rStyle w:val="ui-provider"/>
        </w:rPr>
        <w:t xml:space="preserve"> :</w:t>
      </w:r>
    </w:p>
    <w:p w14:paraId="396209DB" w14:textId="074D8598" w:rsidR="002A47A6" w:rsidRPr="00292B57" w:rsidRDefault="002A47A6" w:rsidP="00292B57">
      <w:pPr>
        <w:pStyle w:val="SingleTxtG"/>
        <w:ind w:left="1701"/>
        <w:rPr>
          <w:rStyle w:val="ui-provider"/>
          <w:i/>
          <w:iCs/>
        </w:rPr>
      </w:pPr>
      <w:r>
        <w:rPr>
          <w:rStyle w:val="ui-provider"/>
          <w:i/>
          <w:iCs/>
        </w:rPr>
        <w:t>« </w:t>
      </w:r>
      <w:r>
        <w:rPr>
          <w:rStyle w:val="ui-provider"/>
        </w:rPr>
        <w:t>Selon les définitions figurant</w:t>
      </w:r>
      <w:r w:rsidRPr="008D6EB5">
        <w:rPr>
          <w:rStyle w:val="ui-provider"/>
        </w:rPr>
        <w:t xml:space="preserve"> dans la Résolution d</w:t>
      </w:r>
      <w:r>
        <w:rPr>
          <w:rStyle w:val="ui-provider"/>
        </w:rPr>
        <w:t>’</w:t>
      </w:r>
      <w:r w:rsidRPr="008D6EB5">
        <w:rPr>
          <w:rStyle w:val="ui-provider"/>
        </w:rPr>
        <w:t>ensemble sur la construction des véhicules (R</w:t>
      </w:r>
      <w:r w:rsidR="00E60533" w:rsidRPr="00E60533">
        <w:rPr>
          <w:rStyle w:val="ui-provider"/>
        </w:rPr>
        <w:t>.</w:t>
      </w:r>
      <w:r w:rsidRPr="008D6EB5">
        <w:rPr>
          <w:rStyle w:val="ui-provider"/>
        </w:rPr>
        <w:t>E</w:t>
      </w:r>
      <w:r w:rsidR="00E60533" w:rsidRPr="00E60533">
        <w:rPr>
          <w:rStyle w:val="ui-provider"/>
        </w:rPr>
        <w:t>.</w:t>
      </w:r>
      <w:r w:rsidRPr="008D6EB5">
        <w:rPr>
          <w:rStyle w:val="ui-provider"/>
        </w:rPr>
        <w:t>3), document ECE/TRANS/WP</w:t>
      </w:r>
      <w:r w:rsidR="00E60533" w:rsidRPr="00E60533">
        <w:rPr>
          <w:rStyle w:val="ui-provider"/>
        </w:rPr>
        <w:t>.</w:t>
      </w:r>
      <w:r w:rsidRPr="008D6EB5">
        <w:rPr>
          <w:rStyle w:val="ui-provider"/>
        </w:rPr>
        <w:t>29/78/Rev</w:t>
      </w:r>
      <w:r w:rsidR="00E60533" w:rsidRPr="00E60533">
        <w:rPr>
          <w:rStyle w:val="ui-provider"/>
        </w:rPr>
        <w:t>.</w:t>
      </w:r>
      <w:r w:rsidRPr="008D6EB5">
        <w:rPr>
          <w:rStyle w:val="ui-provider"/>
        </w:rPr>
        <w:t xml:space="preserve">7, </w:t>
      </w:r>
      <w:r>
        <w:rPr>
          <w:rStyle w:val="ui-provider"/>
        </w:rPr>
        <w:t xml:space="preserve">… </w:t>
      </w:r>
      <w:r w:rsidR="00292B57" w:rsidRPr="00292B57">
        <w:rPr>
          <w:rStyle w:val="ui-provider"/>
        </w:rPr>
        <w:t>− </w:t>
      </w:r>
      <w:hyperlink r:id="rId8" w:history="1">
        <w:r w:rsidR="00292B57" w:rsidRPr="00AE55EB">
          <w:rPr>
            <w:rStyle w:val="Lienhypertexte"/>
          </w:rPr>
          <w:t>https://unece</w:t>
        </w:r>
        <w:r w:rsidR="00E60533" w:rsidRPr="00E60533">
          <w:rPr>
            <w:rStyle w:val="Lienhypertexte"/>
          </w:rPr>
          <w:t>.</w:t>
        </w:r>
        <w:r w:rsidR="00292B57" w:rsidRPr="00AE55EB">
          <w:rPr>
            <w:rStyle w:val="Lienhypertexte"/>
          </w:rPr>
          <w:t>org/</w:t>
        </w:r>
        <w:r w:rsidR="00292B57" w:rsidRPr="00AE55EB">
          <w:rPr>
            <w:rStyle w:val="Lienhypertexte"/>
          </w:rPr>
          <w:t xml:space="preserve"> </w:t>
        </w:r>
        <w:r w:rsidR="00292B57" w:rsidRPr="00AE55EB">
          <w:rPr>
            <w:rStyle w:val="Lienhypertexte"/>
          </w:rPr>
          <w:t>transport/standards/transport/vehicle-regulations-wp29/resolutions</w:t>
        </w:r>
      </w:hyperlink>
      <w:r w:rsidR="00E60533" w:rsidRPr="00E60533">
        <w:rPr>
          <w:rStyle w:val="ui-provider"/>
        </w:rPr>
        <w:t>.</w:t>
      </w:r>
      <w:r w:rsidRPr="00292B57">
        <w:rPr>
          <w:rStyle w:val="ui-provider"/>
        </w:rPr>
        <w:t> »</w:t>
      </w:r>
      <w:r w:rsidR="00E60533" w:rsidRPr="00E60533">
        <w:rPr>
          <w:rStyle w:val="ui-provider"/>
        </w:rPr>
        <w:t>.</w:t>
      </w:r>
    </w:p>
    <w:p w14:paraId="0594A8E8" w14:textId="77777777" w:rsidR="002A47A6" w:rsidRDefault="002A47A6" w:rsidP="002A47A6">
      <w:pPr>
        <w:pStyle w:val="SingleTxtG"/>
        <w:rPr>
          <w:lang w:val="fr-FR"/>
        </w:rPr>
      </w:pPr>
      <w:r w:rsidRPr="001E2AC4">
        <w:rPr>
          <w:i/>
          <w:iCs/>
          <w:lang w:val="fr-FR"/>
        </w:rPr>
        <w:t>Table des matières</w:t>
      </w:r>
      <w:r w:rsidRPr="007C6DC9">
        <w:rPr>
          <w:lang w:val="fr-FR"/>
        </w:rPr>
        <w:t>, lire :</w:t>
      </w:r>
    </w:p>
    <w:p w14:paraId="33207BB6" w14:textId="77777777" w:rsidR="002A47A6" w:rsidRPr="007C6DC9" w:rsidRDefault="002A47A6" w:rsidP="002A47A6">
      <w:pPr>
        <w:rPr>
          <w:sz w:val="28"/>
          <w:lang w:val="fr-FR"/>
        </w:rPr>
      </w:pPr>
      <w:r w:rsidRPr="007C6DC9">
        <w:rPr>
          <w:lang w:val="fr-FR"/>
        </w:rPr>
        <w:t>« </w:t>
      </w:r>
      <w:r w:rsidRPr="007C6DC9">
        <w:rPr>
          <w:sz w:val="28"/>
          <w:szCs w:val="28"/>
          <w:lang w:val="fr-FR"/>
        </w:rPr>
        <w:t>Table des matières</w:t>
      </w:r>
    </w:p>
    <w:p w14:paraId="0036CE23" w14:textId="77777777" w:rsidR="002A47A6" w:rsidRDefault="002A47A6" w:rsidP="002A47A6">
      <w:pPr>
        <w:tabs>
          <w:tab w:val="right" w:pos="9638"/>
        </w:tabs>
        <w:spacing w:after="120"/>
        <w:ind w:left="283"/>
        <w:rPr>
          <w:i/>
          <w:sz w:val="18"/>
        </w:rPr>
      </w:pPr>
      <w:r w:rsidRPr="0051251C">
        <w:rPr>
          <w:i/>
          <w:sz w:val="18"/>
        </w:rPr>
        <w:tab/>
        <w:t>Page</w:t>
      </w:r>
    </w:p>
    <w:p w14:paraId="518EC019" w14:textId="77777777" w:rsidR="002A47A6" w:rsidRPr="007C6DC9" w:rsidRDefault="002A47A6" w:rsidP="002A47A6">
      <w:pPr>
        <w:spacing w:after="120"/>
        <w:rPr>
          <w:lang w:val="fr-FR"/>
        </w:rPr>
      </w:pPr>
      <w:r w:rsidRPr="007C6DC9">
        <w:rPr>
          <w:lang w:val="fr-FR"/>
        </w:rPr>
        <w:t>Règlement</w:t>
      </w:r>
    </w:p>
    <w:p w14:paraId="6C6C5F70" w14:textId="6DBEDB24" w:rsidR="002A47A6" w:rsidRDefault="002A47A6" w:rsidP="002A47A6">
      <w:pPr>
        <w:tabs>
          <w:tab w:val="right" w:pos="850"/>
          <w:tab w:val="right" w:leader="dot" w:pos="8787"/>
          <w:tab w:val="right" w:pos="9638"/>
        </w:tabs>
        <w:spacing w:after="120"/>
        <w:ind w:left="1140" w:hanging="435"/>
      </w:pPr>
      <w:r>
        <w:t>1</w:t>
      </w:r>
      <w:r w:rsidR="00E60533" w:rsidRPr="00E60533">
        <w:t>.</w:t>
      </w:r>
      <w:r>
        <w:tab/>
      </w:r>
      <w:r w:rsidRPr="007C6DC9">
        <w:rPr>
          <w:lang w:val="fr-FR"/>
        </w:rPr>
        <w:t>Domaine d</w:t>
      </w:r>
      <w:r>
        <w:rPr>
          <w:lang w:val="fr-FR"/>
        </w:rPr>
        <w:t>’</w:t>
      </w:r>
      <w:r w:rsidRPr="007C6DC9">
        <w:rPr>
          <w:lang w:val="fr-FR"/>
        </w:rPr>
        <w:t>application</w:t>
      </w:r>
      <w:r>
        <w:tab/>
      </w:r>
      <w:r>
        <w:tab/>
      </w:r>
    </w:p>
    <w:p w14:paraId="14964A8B" w14:textId="232221C5" w:rsidR="002A47A6" w:rsidRDefault="002A47A6" w:rsidP="002A47A6">
      <w:pPr>
        <w:tabs>
          <w:tab w:val="right" w:pos="850"/>
          <w:tab w:val="right" w:leader="dot" w:pos="8787"/>
          <w:tab w:val="right" w:pos="9638"/>
        </w:tabs>
        <w:spacing w:after="120"/>
        <w:ind w:left="1140" w:hanging="435"/>
      </w:pPr>
      <w:r>
        <w:t>2</w:t>
      </w:r>
      <w:r w:rsidR="00E60533" w:rsidRPr="00E60533">
        <w:t>.</w:t>
      </w:r>
      <w:r>
        <w:tab/>
      </w:r>
      <w:r w:rsidRPr="007C6DC9">
        <w:rPr>
          <w:lang w:val="fr-FR"/>
        </w:rPr>
        <w:t>Définitions</w:t>
      </w:r>
      <w:r>
        <w:tab/>
      </w:r>
      <w:r>
        <w:tab/>
      </w:r>
    </w:p>
    <w:p w14:paraId="64B67DE7" w14:textId="28768DF7" w:rsidR="002A47A6" w:rsidRPr="0051251C" w:rsidRDefault="002A47A6" w:rsidP="002A47A6">
      <w:pPr>
        <w:tabs>
          <w:tab w:val="right" w:pos="850"/>
          <w:tab w:val="right" w:leader="dot" w:pos="8787"/>
          <w:tab w:val="right" w:pos="9638"/>
        </w:tabs>
        <w:spacing w:after="120"/>
        <w:ind w:left="1140" w:hanging="435"/>
      </w:pPr>
      <w:r w:rsidRPr="0051251C">
        <w:t>3</w:t>
      </w:r>
      <w:r w:rsidR="00E60533" w:rsidRPr="00E60533">
        <w:t>.</w:t>
      </w:r>
      <w:r w:rsidRPr="0051251C">
        <w:tab/>
      </w:r>
      <w:r w:rsidRPr="007C6DC9">
        <w:rPr>
          <w:lang w:val="fr-FR"/>
        </w:rPr>
        <w:t>Demande d</w:t>
      </w:r>
      <w:r>
        <w:rPr>
          <w:lang w:val="fr-FR"/>
        </w:rPr>
        <w:t>’</w:t>
      </w:r>
      <w:r w:rsidRPr="007C6DC9">
        <w:rPr>
          <w:lang w:val="fr-FR"/>
        </w:rPr>
        <w:t>homologation</w:t>
      </w:r>
      <w:r>
        <w:rPr>
          <w:lang w:val="fr-FR"/>
        </w:rPr>
        <w:tab/>
      </w:r>
      <w:r>
        <w:rPr>
          <w:lang w:val="fr-FR"/>
        </w:rPr>
        <w:tab/>
      </w:r>
    </w:p>
    <w:p w14:paraId="4808E4BA" w14:textId="614CEFEF" w:rsidR="002A47A6" w:rsidRPr="0051251C" w:rsidRDefault="002A47A6" w:rsidP="002A47A6">
      <w:pPr>
        <w:tabs>
          <w:tab w:val="right" w:pos="850"/>
          <w:tab w:val="right" w:leader="dot" w:pos="8787"/>
          <w:tab w:val="right" w:pos="9638"/>
        </w:tabs>
        <w:spacing w:after="120"/>
        <w:ind w:left="1140" w:hanging="435"/>
      </w:pPr>
      <w:r w:rsidRPr="0051251C">
        <w:t>4</w:t>
      </w:r>
      <w:r w:rsidR="00E60533" w:rsidRPr="00E60533">
        <w:t>.</w:t>
      </w:r>
      <w:r w:rsidRPr="0051251C">
        <w:tab/>
      </w:r>
      <w:r w:rsidRPr="007C6DC9">
        <w:rPr>
          <w:lang w:val="fr-FR"/>
        </w:rPr>
        <w:t>Homologation</w:t>
      </w:r>
      <w:r>
        <w:rPr>
          <w:lang w:val="fr-FR"/>
        </w:rPr>
        <w:tab/>
      </w:r>
      <w:r>
        <w:rPr>
          <w:lang w:val="fr-FR"/>
        </w:rPr>
        <w:tab/>
      </w:r>
    </w:p>
    <w:p w14:paraId="183B9D4C" w14:textId="39E49DAB" w:rsidR="002A47A6" w:rsidRPr="0051251C" w:rsidRDefault="002A47A6" w:rsidP="002A47A6">
      <w:pPr>
        <w:tabs>
          <w:tab w:val="right" w:pos="850"/>
          <w:tab w:val="right" w:leader="dot" w:pos="8787"/>
          <w:tab w:val="right" w:pos="9638"/>
        </w:tabs>
        <w:spacing w:after="120"/>
        <w:ind w:left="1140" w:hanging="435"/>
      </w:pPr>
      <w:r w:rsidRPr="0051251C">
        <w:t>5</w:t>
      </w:r>
      <w:r w:rsidR="00E60533" w:rsidRPr="00E60533">
        <w:t>.</w:t>
      </w:r>
      <w:r w:rsidRPr="0051251C">
        <w:tab/>
      </w:r>
      <w:r w:rsidRPr="007C6DC9">
        <w:rPr>
          <w:lang w:val="fr-FR"/>
        </w:rPr>
        <w:t>Spécifications</w:t>
      </w:r>
      <w:r>
        <w:rPr>
          <w:lang w:val="fr-FR"/>
        </w:rPr>
        <w:tab/>
      </w:r>
      <w:r>
        <w:rPr>
          <w:lang w:val="fr-FR"/>
        </w:rPr>
        <w:tab/>
      </w:r>
    </w:p>
    <w:p w14:paraId="420E2B66" w14:textId="0E02A39C" w:rsidR="002A47A6" w:rsidRPr="0051251C" w:rsidRDefault="002A47A6" w:rsidP="002A47A6">
      <w:pPr>
        <w:tabs>
          <w:tab w:val="right" w:pos="850"/>
          <w:tab w:val="right" w:leader="dot" w:pos="8787"/>
          <w:tab w:val="right" w:pos="9638"/>
        </w:tabs>
        <w:spacing w:after="120"/>
        <w:ind w:left="1140" w:hanging="435"/>
      </w:pPr>
      <w:r w:rsidRPr="0051251C">
        <w:t>6</w:t>
      </w:r>
      <w:r w:rsidR="00E60533" w:rsidRPr="00E60533">
        <w:t>.</w:t>
      </w:r>
      <w:r w:rsidRPr="0051251C">
        <w:tab/>
      </w:r>
      <w:r w:rsidRPr="007C6DC9">
        <w:rPr>
          <w:lang w:val="fr-FR"/>
        </w:rPr>
        <w:t>Essais</w:t>
      </w:r>
      <w:r>
        <w:rPr>
          <w:lang w:val="fr-FR"/>
        </w:rPr>
        <w:tab/>
      </w:r>
      <w:r>
        <w:rPr>
          <w:lang w:val="fr-FR"/>
        </w:rPr>
        <w:tab/>
      </w:r>
    </w:p>
    <w:p w14:paraId="34A3CA23" w14:textId="644C22EB" w:rsidR="002A47A6" w:rsidRPr="0051251C" w:rsidRDefault="002A47A6" w:rsidP="002A47A6">
      <w:pPr>
        <w:tabs>
          <w:tab w:val="right" w:pos="850"/>
          <w:tab w:val="right" w:leader="dot" w:pos="8787"/>
          <w:tab w:val="right" w:pos="9638"/>
        </w:tabs>
        <w:spacing w:after="120"/>
        <w:ind w:left="1140" w:hanging="435"/>
      </w:pPr>
      <w:r w:rsidRPr="0051251C">
        <w:t>7</w:t>
      </w:r>
      <w:r w:rsidR="00E60533" w:rsidRPr="00E60533">
        <w:t>.</w:t>
      </w:r>
      <w:r w:rsidRPr="0051251C">
        <w:tab/>
      </w:r>
      <w:r w:rsidRPr="007C6DC9">
        <w:rPr>
          <w:lang w:val="fr-FR"/>
        </w:rPr>
        <w:t>Modifications et extension de l</w:t>
      </w:r>
      <w:r>
        <w:rPr>
          <w:lang w:val="fr-FR"/>
        </w:rPr>
        <w:t>’</w:t>
      </w:r>
      <w:r w:rsidRPr="007C6DC9">
        <w:rPr>
          <w:lang w:val="fr-FR"/>
        </w:rPr>
        <w:t>homologation du type de véhicule</w:t>
      </w:r>
      <w:r>
        <w:rPr>
          <w:lang w:val="fr-FR"/>
        </w:rPr>
        <w:tab/>
      </w:r>
      <w:r>
        <w:rPr>
          <w:lang w:val="fr-FR"/>
        </w:rPr>
        <w:tab/>
      </w:r>
    </w:p>
    <w:p w14:paraId="0A8E71A4" w14:textId="7569D4D0" w:rsidR="002A47A6" w:rsidRPr="0051251C" w:rsidRDefault="002A47A6" w:rsidP="002A47A6">
      <w:pPr>
        <w:tabs>
          <w:tab w:val="right" w:pos="850"/>
          <w:tab w:val="right" w:leader="dot" w:pos="8787"/>
          <w:tab w:val="right" w:pos="9638"/>
        </w:tabs>
        <w:spacing w:after="120"/>
        <w:ind w:left="1140" w:hanging="435"/>
      </w:pPr>
      <w:r w:rsidRPr="0051251C">
        <w:t>8</w:t>
      </w:r>
      <w:r w:rsidR="00E60533" w:rsidRPr="00E60533">
        <w:t>.</w:t>
      </w:r>
      <w:r w:rsidRPr="0051251C">
        <w:tab/>
      </w:r>
      <w:r w:rsidRPr="007C6DC9">
        <w:rPr>
          <w:lang w:val="fr-FR"/>
        </w:rPr>
        <w:t>Conformité de la production</w:t>
      </w:r>
      <w:r>
        <w:rPr>
          <w:lang w:val="fr-FR"/>
        </w:rPr>
        <w:tab/>
      </w:r>
      <w:r>
        <w:rPr>
          <w:lang w:val="fr-FR"/>
        </w:rPr>
        <w:tab/>
      </w:r>
    </w:p>
    <w:p w14:paraId="15AA5AA7" w14:textId="078C346F" w:rsidR="002A47A6" w:rsidRPr="0051251C" w:rsidRDefault="002A47A6" w:rsidP="002A47A6">
      <w:pPr>
        <w:tabs>
          <w:tab w:val="right" w:pos="850"/>
          <w:tab w:val="right" w:leader="dot" w:pos="8787"/>
          <w:tab w:val="right" w:pos="9638"/>
        </w:tabs>
        <w:spacing w:after="120"/>
        <w:ind w:left="1140" w:hanging="435"/>
      </w:pPr>
      <w:r w:rsidRPr="0051251C">
        <w:t>9</w:t>
      </w:r>
      <w:r w:rsidR="00E60533" w:rsidRPr="00E60533">
        <w:t>.</w:t>
      </w:r>
      <w:r w:rsidRPr="0051251C">
        <w:tab/>
      </w:r>
      <w:r w:rsidRPr="007C6DC9">
        <w:rPr>
          <w:lang w:val="fr-FR"/>
        </w:rPr>
        <w:t>Sanctions pour non-conformité de la production</w:t>
      </w:r>
      <w:r>
        <w:rPr>
          <w:lang w:val="fr-FR"/>
        </w:rPr>
        <w:tab/>
      </w:r>
      <w:r>
        <w:rPr>
          <w:lang w:val="fr-FR"/>
        </w:rPr>
        <w:tab/>
      </w:r>
    </w:p>
    <w:p w14:paraId="43646361" w14:textId="0C882C86" w:rsidR="002A47A6" w:rsidRPr="0051251C" w:rsidRDefault="002A47A6" w:rsidP="002A47A6">
      <w:pPr>
        <w:tabs>
          <w:tab w:val="right" w:pos="850"/>
          <w:tab w:val="right" w:leader="dot" w:pos="8787"/>
          <w:tab w:val="right" w:pos="9638"/>
        </w:tabs>
        <w:spacing w:after="120"/>
        <w:ind w:left="1140" w:hanging="435"/>
      </w:pPr>
      <w:r w:rsidRPr="0051251C">
        <w:t>10</w:t>
      </w:r>
      <w:r w:rsidR="00E60533" w:rsidRPr="00E60533">
        <w:t>.</w:t>
      </w:r>
      <w:r w:rsidRPr="0051251C">
        <w:tab/>
      </w:r>
      <w:r w:rsidRPr="007C6DC9">
        <w:rPr>
          <w:lang w:val="fr-FR"/>
        </w:rPr>
        <w:t>Arrêt définitif de la production</w:t>
      </w:r>
      <w:r>
        <w:rPr>
          <w:lang w:val="fr-FR"/>
        </w:rPr>
        <w:tab/>
      </w:r>
      <w:r>
        <w:rPr>
          <w:lang w:val="fr-FR"/>
        </w:rPr>
        <w:tab/>
      </w:r>
    </w:p>
    <w:p w14:paraId="7D45483E" w14:textId="0A0EA1CE" w:rsidR="002A47A6" w:rsidRDefault="002A47A6" w:rsidP="002A47A6">
      <w:pPr>
        <w:tabs>
          <w:tab w:val="right" w:pos="850"/>
          <w:tab w:val="right" w:leader="dot" w:pos="8787"/>
          <w:tab w:val="right" w:pos="9638"/>
        </w:tabs>
        <w:spacing w:after="120"/>
        <w:ind w:left="1140" w:hanging="435"/>
      </w:pPr>
      <w:r>
        <w:t>11</w:t>
      </w:r>
      <w:r w:rsidR="00E60533" w:rsidRPr="00E60533">
        <w:t>.</w:t>
      </w:r>
      <w:r>
        <w:tab/>
      </w:r>
      <w:r w:rsidRPr="007C6DC9">
        <w:rPr>
          <w:lang w:val="fr-FR"/>
        </w:rPr>
        <w:t>Noms et adresses des services techniques chargés des essais d</w:t>
      </w:r>
      <w:r>
        <w:rPr>
          <w:lang w:val="fr-FR"/>
        </w:rPr>
        <w:t>’</w:t>
      </w:r>
      <w:r w:rsidRPr="007C6DC9">
        <w:rPr>
          <w:lang w:val="fr-FR"/>
        </w:rPr>
        <w:t xml:space="preserve">homologation </w:t>
      </w:r>
      <w:r w:rsidR="00DC7407">
        <w:rPr>
          <w:lang w:val="fr-FR"/>
        </w:rPr>
        <w:br/>
      </w:r>
      <w:r w:rsidRPr="007C6DC9">
        <w:rPr>
          <w:lang w:val="fr-FR"/>
        </w:rPr>
        <w:t>et des autorités d</w:t>
      </w:r>
      <w:r>
        <w:rPr>
          <w:lang w:val="fr-FR"/>
        </w:rPr>
        <w:t>’</w:t>
      </w:r>
      <w:r w:rsidRPr="007C6DC9">
        <w:rPr>
          <w:lang w:val="fr-FR"/>
        </w:rPr>
        <w:t>homologation de type</w:t>
      </w:r>
      <w:r>
        <w:rPr>
          <w:lang w:val="fr-FR"/>
        </w:rPr>
        <w:tab/>
      </w:r>
      <w:r>
        <w:rPr>
          <w:lang w:val="fr-FR"/>
        </w:rPr>
        <w:tab/>
      </w:r>
    </w:p>
    <w:p w14:paraId="65F161B7" w14:textId="77777777" w:rsidR="002A47A6" w:rsidRPr="0051251C" w:rsidRDefault="002A47A6" w:rsidP="002A47A6">
      <w:pPr>
        <w:tabs>
          <w:tab w:val="right" w:pos="850"/>
        </w:tabs>
        <w:spacing w:after="120"/>
      </w:pPr>
      <w:r>
        <w:tab/>
        <w:t>Annexe</w:t>
      </w:r>
    </w:p>
    <w:p w14:paraId="783E9899" w14:textId="4553A651" w:rsidR="002A47A6" w:rsidRDefault="002A47A6" w:rsidP="002A47A6">
      <w:pPr>
        <w:tabs>
          <w:tab w:val="right" w:pos="850"/>
          <w:tab w:val="right" w:leader="dot" w:pos="8787"/>
          <w:tab w:val="right" w:pos="9638"/>
        </w:tabs>
        <w:spacing w:after="120"/>
        <w:ind w:left="1140" w:hanging="435"/>
      </w:pPr>
      <w:r>
        <w:t>1</w:t>
      </w:r>
      <w:r w:rsidR="00E60533" w:rsidRPr="00E60533">
        <w:t>.</w:t>
      </w:r>
      <w:r>
        <w:tab/>
      </w:r>
      <w:r w:rsidRPr="007C6DC9">
        <w:rPr>
          <w:lang w:val="fr-FR"/>
        </w:rPr>
        <w:t>Communication</w:t>
      </w:r>
      <w:r>
        <w:tab/>
      </w:r>
      <w:r>
        <w:tab/>
      </w:r>
    </w:p>
    <w:p w14:paraId="14710DBC" w14:textId="343632E4" w:rsidR="002A47A6" w:rsidRPr="0051251C" w:rsidRDefault="002A47A6" w:rsidP="002A47A6">
      <w:pPr>
        <w:tabs>
          <w:tab w:val="right" w:pos="850"/>
          <w:tab w:val="right" w:leader="dot" w:pos="8787"/>
          <w:tab w:val="right" w:pos="9638"/>
        </w:tabs>
        <w:spacing w:after="120"/>
        <w:ind w:left="1140" w:hanging="435"/>
      </w:pPr>
      <w:r w:rsidRPr="0051251C">
        <w:t>2</w:t>
      </w:r>
      <w:r w:rsidR="00E60533" w:rsidRPr="00E60533">
        <w:t>.</w:t>
      </w:r>
      <w:r w:rsidRPr="0051251C">
        <w:tab/>
      </w:r>
      <w:r w:rsidRPr="007C6DC9">
        <w:rPr>
          <w:lang w:val="fr-FR"/>
        </w:rPr>
        <w:t>Schémas de la marque d</w:t>
      </w:r>
      <w:r>
        <w:rPr>
          <w:lang w:val="fr-FR"/>
        </w:rPr>
        <w:t>’</w:t>
      </w:r>
      <w:r w:rsidRPr="007C6DC9">
        <w:rPr>
          <w:lang w:val="fr-FR"/>
        </w:rPr>
        <w:t>homologation</w:t>
      </w:r>
      <w:r>
        <w:rPr>
          <w:lang w:val="fr-FR"/>
        </w:rPr>
        <w:tab/>
      </w:r>
      <w:r>
        <w:rPr>
          <w:lang w:val="fr-FR"/>
        </w:rPr>
        <w:tab/>
      </w:r>
    </w:p>
    <w:p w14:paraId="5028AB5B" w14:textId="450AEAA3" w:rsidR="002A47A6" w:rsidRDefault="002A47A6" w:rsidP="002A47A6">
      <w:pPr>
        <w:tabs>
          <w:tab w:val="right" w:pos="850"/>
          <w:tab w:val="right" w:leader="dot" w:pos="8787"/>
          <w:tab w:val="right" w:pos="9638"/>
        </w:tabs>
        <w:spacing w:after="120"/>
        <w:ind w:left="1140" w:hanging="435"/>
      </w:pPr>
      <w:r>
        <w:t>3</w:t>
      </w:r>
      <w:r w:rsidR="00E60533" w:rsidRPr="00E60533">
        <w:t>.</w:t>
      </w:r>
      <w:r>
        <w:tab/>
      </w:r>
      <w:r w:rsidRPr="007C6DC9">
        <w:rPr>
          <w:lang w:val="fr-FR"/>
        </w:rPr>
        <w:t>Procédure de détermination du point “H” et de l</w:t>
      </w:r>
      <w:r>
        <w:rPr>
          <w:lang w:val="fr-FR"/>
        </w:rPr>
        <w:t>’</w:t>
      </w:r>
      <w:r w:rsidRPr="007C6DC9">
        <w:rPr>
          <w:lang w:val="fr-FR"/>
        </w:rPr>
        <w:t xml:space="preserve">angle réel de torse pour les places assises </w:t>
      </w:r>
      <w:r>
        <w:rPr>
          <w:lang w:val="fr-FR"/>
        </w:rPr>
        <w:br/>
      </w:r>
      <w:r w:rsidRPr="007C6DC9">
        <w:rPr>
          <w:lang w:val="fr-FR"/>
        </w:rPr>
        <w:t>des véhicules automobile</w:t>
      </w:r>
      <w:r>
        <w:rPr>
          <w:lang w:val="fr-FR"/>
        </w:rPr>
        <w:t>s</w:t>
      </w:r>
      <w:r>
        <w:rPr>
          <w:lang w:val="fr-FR"/>
        </w:rPr>
        <w:tab/>
      </w:r>
      <w:r>
        <w:rPr>
          <w:lang w:val="fr-FR"/>
        </w:rPr>
        <w:tab/>
      </w:r>
    </w:p>
    <w:p w14:paraId="43429587" w14:textId="77777777" w:rsidR="002A47A6" w:rsidRDefault="002A47A6" w:rsidP="002A47A6">
      <w:pPr>
        <w:tabs>
          <w:tab w:val="right" w:pos="850"/>
          <w:tab w:val="right" w:leader="dot" w:pos="8787"/>
          <w:tab w:val="right" w:pos="9638"/>
        </w:tabs>
        <w:spacing w:after="120"/>
        <w:ind w:left="1140" w:hanging="435"/>
        <w:rPr>
          <w:lang w:val="fr-FR"/>
        </w:rPr>
      </w:pPr>
      <w:r>
        <w:tab/>
      </w:r>
      <w:r>
        <w:tab/>
      </w:r>
      <w:r w:rsidRPr="007C6DC9">
        <w:rPr>
          <w:lang w:val="fr-FR"/>
        </w:rPr>
        <w:t xml:space="preserve">Appendice 1 : Description de la machine tridimensionnelle de détermination du point “H” </w:t>
      </w:r>
      <w:r w:rsidRPr="007C6DC9">
        <w:rPr>
          <w:lang w:val="fr-FR"/>
        </w:rPr>
        <w:br/>
        <w:t>(Machine 3 DH)</w:t>
      </w:r>
      <w:r>
        <w:rPr>
          <w:lang w:val="fr-FR"/>
        </w:rPr>
        <w:tab/>
      </w:r>
      <w:r>
        <w:rPr>
          <w:lang w:val="fr-FR"/>
        </w:rPr>
        <w:tab/>
      </w:r>
    </w:p>
    <w:p w14:paraId="6C6F4338" w14:textId="77777777" w:rsidR="002A47A6" w:rsidRDefault="002A47A6" w:rsidP="002A47A6">
      <w:pPr>
        <w:tabs>
          <w:tab w:val="right" w:pos="850"/>
          <w:tab w:val="right" w:leader="dot" w:pos="8787"/>
          <w:tab w:val="right" w:pos="9638"/>
        </w:tabs>
        <w:spacing w:after="120"/>
        <w:ind w:left="1140" w:hanging="435"/>
        <w:rPr>
          <w:lang w:val="fr-FR"/>
        </w:rPr>
      </w:pPr>
      <w:r>
        <w:rPr>
          <w:lang w:val="fr-FR"/>
        </w:rPr>
        <w:tab/>
      </w:r>
      <w:r>
        <w:rPr>
          <w:lang w:val="fr-FR"/>
        </w:rPr>
        <w:tab/>
      </w:r>
      <w:r w:rsidRPr="007C6DC9">
        <w:rPr>
          <w:lang w:val="fr-FR"/>
        </w:rPr>
        <w:t>Appendice 2 : Système de référence à trois dimensions</w:t>
      </w:r>
      <w:r>
        <w:rPr>
          <w:lang w:val="fr-FR"/>
        </w:rPr>
        <w:tab/>
      </w:r>
      <w:r>
        <w:rPr>
          <w:lang w:val="fr-FR"/>
        </w:rPr>
        <w:tab/>
      </w:r>
    </w:p>
    <w:p w14:paraId="037299C2" w14:textId="77777777" w:rsidR="002A47A6" w:rsidRDefault="002A47A6" w:rsidP="002A47A6">
      <w:pPr>
        <w:tabs>
          <w:tab w:val="right" w:pos="850"/>
          <w:tab w:val="right" w:leader="dot" w:pos="8787"/>
          <w:tab w:val="right" w:pos="9638"/>
        </w:tabs>
        <w:spacing w:after="120"/>
        <w:ind w:left="1140" w:hanging="435"/>
        <w:rPr>
          <w:lang w:val="fr-FR"/>
        </w:rPr>
      </w:pPr>
      <w:r>
        <w:rPr>
          <w:lang w:val="fr-FR"/>
        </w:rPr>
        <w:tab/>
      </w:r>
      <w:r>
        <w:rPr>
          <w:lang w:val="fr-FR"/>
        </w:rPr>
        <w:tab/>
      </w:r>
      <w:r w:rsidRPr="007C6DC9">
        <w:rPr>
          <w:lang w:val="fr-FR"/>
        </w:rPr>
        <w:t>Appendice 3 : Paramètres de référence des places assises</w:t>
      </w:r>
      <w:r>
        <w:rPr>
          <w:lang w:val="fr-FR"/>
        </w:rPr>
        <w:tab/>
      </w:r>
      <w:r>
        <w:rPr>
          <w:lang w:val="fr-FR"/>
        </w:rPr>
        <w:tab/>
      </w:r>
    </w:p>
    <w:p w14:paraId="5E8155DB" w14:textId="5C7CD87A" w:rsidR="002A47A6" w:rsidRDefault="002A47A6" w:rsidP="002A47A6">
      <w:pPr>
        <w:tabs>
          <w:tab w:val="right" w:pos="850"/>
          <w:tab w:val="right" w:leader="dot" w:pos="8787"/>
          <w:tab w:val="right" w:pos="9638"/>
        </w:tabs>
        <w:spacing w:after="120"/>
        <w:ind w:left="1140" w:hanging="435"/>
        <w:rPr>
          <w:lang w:val="fr-FR"/>
        </w:rPr>
      </w:pPr>
      <w:r>
        <w:rPr>
          <w:lang w:val="fr-FR"/>
        </w:rPr>
        <w:t>4</w:t>
      </w:r>
      <w:r w:rsidR="00E60533" w:rsidRPr="00E60533">
        <w:rPr>
          <w:lang w:val="fr-FR"/>
        </w:rPr>
        <w:t>.</w:t>
      </w:r>
      <w:r>
        <w:rPr>
          <w:lang w:val="fr-FR"/>
        </w:rPr>
        <w:tab/>
      </w:r>
      <w:r w:rsidRPr="007C6DC9">
        <w:rPr>
          <w:lang w:val="fr-FR"/>
        </w:rPr>
        <w:t>Systèmes d</w:t>
      </w:r>
      <w:r>
        <w:rPr>
          <w:lang w:val="fr-FR"/>
        </w:rPr>
        <w:t>’</w:t>
      </w:r>
      <w:r w:rsidRPr="007C6DC9">
        <w:rPr>
          <w:lang w:val="fr-FR"/>
        </w:rPr>
        <w:t>ancrages ISOFIX et ancrages pour fixation supérieure ISOFIX</w:t>
      </w:r>
      <w:r>
        <w:rPr>
          <w:lang w:val="fr-FR"/>
        </w:rPr>
        <w:tab/>
      </w:r>
      <w:r>
        <w:rPr>
          <w:lang w:val="fr-FR"/>
        </w:rPr>
        <w:tab/>
      </w:r>
    </w:p>
    <w:p w14:paraId="22C79D1C" w14:textId="09ABFD60" w:rsidR="002A47A6" w:rsidRDefault="002A47A6" w:rsidP="002A47A6">
      <w:pPr>
        <w:tabs>
          <w:tab w:val="right" w:pos="850"/>
          <w:tab w:val="right" w:leader="dot" w:pos="8787"/>
          <w:tab w:val="right" w:pos="9638"/>
        </w:tabs>
        <w:spacing w:after="120"/>
        <w:ind w:left="1140" w:hanging="435"/>
        <w:rPr>
          <w:lang w:val="fr-FR"/>
        </w:rPr>
      </w:pPr>
      <w:r>
        <w:rPr>
          <w:lang w:val="fr-FR"/>
        </w:rPr>
        <w:t>5</w:t>
      </w:r>
      <w:r w:rsidR="00E60533" w:rsidRPr="00E60533">
        <w:rPr>
          <w:lang w:val="fr-FR"/>
        </w:rPr>
        <w:t>.</w:t>
      </w:r>
      <w:r>
        <w:rPr>
          <w:lang w:val="fr-FR"/>
        </w:rPr>
        <w:tab/>
      </w:r>
      <w:r w:rsidRPr="007C6DC9">
        <w:rPr>
          <w:lang w:val="fr-FR"/>
        </w:rPr>
        <w:t>Position i-Size</w:t>
      </w:r>
      <w:r>
        <w:rPr>
          <w:lang w:val="fr-FR"/>
        </w:rPr>
        <w:tab/>
      </w:r>
      <w:r>
        <w:rPr>
          <w:lang w:val="fr-FR"/>
        </w:rPr>
        <w:tab/>
      </w:r>
    </w:p>
    <w:p w14:paraId="5EE2F9E3" w14:textId="4EA8EA20" w:rsidR="002A47A6" w:rsidRPr="008D6EB5" w:rsidRDefault="002A47A6" w:rsidP="002A47A6">
      <w:pPr>
        <w:tabs>
          <w:tab w:val="right" w:pos="850"/>
          <w:tab w:val="right" w:leader="dot" w:pos="8787"/>
          <w:tab w:val="right" w:pos="9638"/>
        </w:tabs>
        <w:spacing w:after="120"/>
        <w:ind w:left="1140" w:hanging="437"/>
        <w:rPr>
          <w:lang w:val="fr-FR"/>
        </w:rPr>
      </w:pPr>
      <w:r w:rsidRPr="008D6EB5">
        <w:rPr>
          <w:lang w:val="fr-FR"/>
        </w:rPr>
        <w:t>6</w:t>
      </w:r>
      <w:r w:rsidR="00E60533" w:rsidRPr="00E60533">
        <w:rPr>
          <w:lang w:val="fr-FR"/>
        </w:rPr>
        <w:t>.</w:t>
      </w:r>
      <w:r w:rsidRPr="00010FA9">
        <w:rPr>
          <w:lang w:val="fr-FR"/>
        </w:rPr>
        <w:tab/>
      </w:r>
      <w:r w:rsidRPr="008D6EB5">
        <w:rPr>
          <w:lang w:val="fr-FR"/>
        </w:rPr>
        <w:t>Zone de l</w:t>
      </w:r>
      <w:r>
        <w:rPr>
          <w:lang w:val="fr-FR"/>
        </w:rPr>
        <w:t>’</w:t>
      </w:r>
      <w:r w:rsidRPr="008D6EB5">
        <w:rPr>
          <w:lang w:val="fr-FR"/>
        </w:rPr>
        <w:t>ancrage pour fixation inférieure et position du point de référence</w:t>
      </w:r>
      <w:r w:rsidRPr="008D6EB5">
        <w:rPr>
          <w:lang w:val="fr-FR"/>
        </w:rPr>
        <w:br/>
        <w:t>pour le sens de la force</w:t>
      </w:r>
      <w:r w:rsidRPr="008D6EB5">
        <w:rPr>
          <w:lang w:val="fr-FR"/>
        </w:rPr>
        <w:tab/>
      </w:r>
    </w:p>
    <w:p w14:paraId="44995494" w14:textId="5BC01616" w:rsidR="002A47A6" w:rsidRPr="007C6DC9" w:rsidRDefault="002A47A6" w:rsidP="002A47A6">
      <w:pPr>
        <w:tabs>
          <w:tab w:val="right" w:pos="567"/>
          <w:tab w:val="left" w:pos="1134"/>
          <w:tab w:val="left" w:pos="1559"/>
          <w:tab w:val="left" w:pos="1984"/>
          <w:tab w:val="left" w:leader="dot" w:pos="8929"/>
          <w:tab w:val="right" w:pos="9638"/>
        </w:tabs>
        <w:kinsoku/>
        <w:overflowPunct/>
        <w:autoSpaceDE/>
        <w:autoSpaceDN/>
        <w:adjustRightInd/>
        <w:snapToGrid/>
        <w:spacing w:after="120"/>
        <w:ind w:left="1140" w:hanging="437"/>
      </w:pPr>
      <w:r w:rsidRPr="008D6EB5">
        <w:rPr>
          <w:lang w:val="fr-FR"/>
        </w:rPr>
        <w:t>7</w:t>
      </w:r>
      <w:r w:rsidR="00E60533" w:rsidRPr="00E60533">
        <w:rPr>
          <w:lang w:val="fr-FR"/>
        </w:rPr>
        <w:t>.</w:t>
      </w:r>
      <w:r w:rsidRPr="008D6EB5">
        <w:rPr>
          <w:lang w:val="fr-FR"/>
        </w:rPr>
        <w:tab/>
      </w:r>
      <w:r w:rsidRPr="008D6EB5">
        <w:rPr>
          <w:spacing w:val="-2"/>
          <w:lang w:val="fr-FR"/>
        </w:rPr>
        <w:t>Procédure de positionnement du gabarit ISO/R2 sur une place assise ni ISOFIX</w:t>
      </w:r>
      <w:r w:rsidR="00A17937">
        <w:rPr>
          <w:spacing w:val="-2"/>
          <w:lang w:val="fr-FR"/>
        </w:rPr>
        <w:t xml:space="preserve"> </w:t>
      </w:r>
      <w:r w:rsidRPr="008D6EB5">
        <w:rPr>
          <w:spacing w:val="-2"/>
          <w:lang w:val="fr-FR"/>
        </w:rPr>
        <w:t>ni i-Size</w:t>
      </w:r>
      <w:r w:rsidRPr="008D6EB5">
        <w:rPr>
          <w:lang w:val="fr-FR"/>
        </w:rPr>
        <w:tab/>
      </w:r>
      <w:r w:rsidRPr="008D6EB5">
        <w:rPr>
          <w:lang w:val="fr-FR"/>
        </w:rPr>
        <w:tab/>
      </w:r>
      <w:r w:rsidRPr="007C6DC9">
        <w:rPr>
          <w:lang w:val="fr-FR"/>
        </w:rPr>
        <w:t> »</w:t>
      </w:r>
      <w:r w:rsidR="00E60533" w:rsidRPr="00E60533">
        <w:rPr>
          <w:lang w:val="fr-FR"/>
        </w:rPr>
        <w:t>.</w:t>
      </w:r>
    </w:p>
    <w:p w14:paraId="494E86CF" w14:textId="77777777" w:rsidR="002A47A6" w:rsidRPr="007C6DC9" w:rsidRDefault="002A47A6" w:rsidP="002A47A6">
      <w:pPr>
        <w:rPr>
          <w:lang w:val="fr-FR"/>
        </w:rPr>
      </w:pPr>
      <w:r w:rsidRPr="007C6DC9">
        <w:rPr>
          <w:lang w:val="fr-FR"/>
        </w:rPr>
        <w:br w:type="page"/>
      </w:r>
    </w:p>
    <w:p w14:paraId="64969341" w14:textId="77777777" w:rsidR="002A47A6" w:rsidRPr="007C6DC9" w:rsidRDefault="002A47A6" w:rsidP="002A47A6">
      <w:pPr>
        <w:pStyle w:val="SingleTxtG"/>
        <w:rPr>
          <w:lang w:val="fr-FR"/>
        </w:rPr>
      </w:pPr>
      <w:r w:rsidRPr="001E2AC4">
        <w:rPr>
          <w:i/>
          <w:iCs/>
          <w:lang w:val="fr-FR"/>
        </w:rPr>
        <w:lastRenderedPageBreak/>
        <w:t>Paragraphe 1</w:t>
      </w:r>
      <w:r w:rsidRPr="007C6DC9">
        <w:rPr>
          <w:lang w:val="fr-FR"/>
        </w:rPr>
        <w:t>, lire :</w:t>
      </w:r>
    </w:p>
    <w:p w14:paraId="7F9C1F91" w14:textId="191EB97C" w:rsidR="002A47A6" w:rsidRPr="007C6DC9" w:rsidRDefault="002A47A6" w:rsidP="00DC7407">
      <w:pPr>
        <w:pStyle w:val="HChG"/>
        <w:tabs>
          <w:tab w:val="clear" w:pos="851"/>
        </w:tabs>
        <w:ind w:left="2268"/>
        <w:rPr>
          <w:rFonts w:eastAsia="MS Mincho"/>
          <w:lang w:val="fr-FR"/>
        </w:rPr>
      </w:pPr>
      <w:r w:rsidRPr="007C6DC9">
        <w:rPr>
          <w:lang w:val="fr-FR"/>
        </w:rPr>
        <w:t>« 1</w:t>
      </w:r>
      <w:r w:rsidR="00E60533" w:rsidRPr="00E60533">
        <w:rPr>
          <w:lang w:val="fr-FR"/>
        </w:rPr>
        <w:t>.</w:t>
      </w:r>
      <w:r w:rsidR="00292B57">
        <w:rPr>
          <w:lang w:val="fr-FR"/>
        </w:rPr>
        <w:tab/>
      </w:r>
      <w:r w:rsidR="00292B57">
        <w:rPr>
          <w:lang w:val="fr-FR"/>
        </w:rPr>
        <w:tab/>
      </w:r>
      <w:r w:rsidRPr="007C6DC9">
        <w:rPr>
          <w:lang w:val="fr-FR"/>
        </w:rPr>
        <w:t>Domaine d</w:t>
      </w:r>
      <w:r>
        <w:rPr>
          <w:lang w:val="fr-FR"/>
        </w:rPr>
        <w:t>’</w:t>
      </w:r>
      <w:r w:rsidRPr="007C6DC9">
        <w:rPr>
          <w:lang w:val="fr-FR"/>
        </w:rPr>
        <w:t>application</w:t>
      </w:r>
    </w:p>
    <w:p w14:paraId="237400A7" w14:textId="77777777" w:rsidR="002A47A6" w:rsidRPr="007C6DC9" w:rsidRDefault="002A47A6" w:rsidP="002A47A6">
      <w:pPr>
        <w:pStyle w:val="SingleTxtG"/>
        <w:ind w:left="2268"/>
      </w:pPr>
      <w:r w:rsidRPr="007C6DC9">
        <w:tab/>
        <w:t>Le présent Règlement s</w:t>
      </w:r>
      <w:r>
        <w:t>’</w:t>
      </w:r>
      <w:r w:rsidRPr="007C6DC9">
        <w:t>applique :</w:t>
      </w:r>
    </w:p>
    <w:p w14:paraId="3449CDA0" w14:textId="0BC22E3F" w:rsidR="002A47A6" w:rsidRPr="007C6DC9" w:rsidRDefault="002A47A6" w:rsidP="002A47A6">
      <w:pPr>
        <w:pStyle w:val="SingleTxtG"/>
        <w:ind w:left="2835" w:hanging="567"/>
        <w:rPr>
          <w:spacing w:val="-2"/>
          <w:lang w:val="fr-FR"/>
        </w:rPr>
      </w:pPr>
      <w:r w:rsidRPr="007C6DC9">
        <w:rPr>
          <w:lang w:val="fr-FR"/>
        </w:rPr>
        <w:t>a)</w:t>
      </w:r>
      <w:r w:rsidRPr="007C6DC9">
        <w:rPr>
          <w:lang w:val="fr-FR"/>
        </w:rPr>
        <w:tab/>
        <w:t>Aux véhicules de la catégorie M</w:t>
      </w:r>
      <w:r w:rsidRPr="007C6DC9">
        <w:rPr>
          <w:vertAlign w:val="subscript"/>
          <w:lang w:val="fr-FR"/>
        </w:rPr>
        <w:t>1</w:t>
      </w:r>
      <w:r w:rsidRPr="007C6DC9">
        <w:rPr>
          <w:lang w:val="fr-FR"/>
        </w:rPr>
        <w:t xml:space="preserve"> en ce qui concerne les systèmes d</w:t>
      </w:r>
      <w:r>
        <w:rPr>
          <w:lang w:val="fr-FR"/>
        </w:rPr>
        <w:t>’</w:t>
      </w:r>
      <w:r w:rsidRPr="007C6DC9">
        <w:rPr>
          <w:lang w:val="fr-FR"/>
        </w:rPr>
        <w:t xml:space="preserve">ancrage </w:t>
      </w:r>
      <w:r w:rsidRPr="00BA2981">
        <w:rPr>
          <w:lang w:val="fr-FR"/>
        </w:rPr>
        <w:t>ISOFIX</w:t>
      </w:r>
      <w:r w:rsidRPr="008D6EB5">
        <w:rPr>
          <w:lang w:val="fr-FR"/>
        </w:rPr>
        <w:t>,</w:t>
      </w:r>
      <w:r w:rsidRPr="00BA2981">
        <w:rPr>
          <w:lang w:val="fr-FR"/>
        </w:rPr>
        <w:t xml:space="preserve"> les ancrages pour fixation supérieure ISOFIX</w:t>
      </w:r>
      <w:r w:rsidRPr="008D6EB5">
        <w:rPr>
          <w:lang w:val="fr-FR"/>
        </w:rPr>
        <w:t xml:space="preserve"> et les ancrages pour fixation inférieure</w:t>
      </w:r>
      <w:r w:rsidRPr="007A5AA8">
        <w:rPr>
          <w:lang w:val="fr-FR"/>
        </w:rPr>
        <w:t xml:space="preserve"> destinés aux dispositifs de retenue pour enfants</w:t>
      </w:r>
      <w:r w:rsidR="00E60533" w:rsidRPr="00E60533">
        <w:rPr>
          <w:lang w:val="fr-FR"/>
        </w:rPr>
        <w:t>.</w:t>
      </w:r>
      <w:r w:rsidRPr="007A5AA8">
        <w:rPr>
          <w:lang w:val="fr-FR"/>
        </w:rPr>
        <w:t xml:space="preserve"> Les autres catégories de véhicules équipés d</w:t>
      </w:r>
      <w:r>
        <w:rPr>
          <w:lang w:val="fr-FR"/>
        </w:rPr>
        <w:t>’</w:t>
      </w:r>
      <w:r w:rsidRPr="007A5AA8">
        <w:rPr>
          <w:lang w:val="fr-FR"/>
        </w:rPr>
        <w:t xml:space="preserve">ancrages ISOFIX </w:t>
      </w:r>
      <w:r w:rsidRPr="008D6EB5">
        <w:rPr>
          <w:lang w:val="fr-FR"/>
        </w:rPr>
        <w:t>ou d</w:t>
      </w:r>
      <w:r>
        <w:rPr>
          <w:lang w:val="fr-FR"/>
        </w:rPr>
        <w:t>’</w:t>
      </w:r>
      <w:r w:rsidRPr="008D6EB5">
        <w:rPr>
          <w:lang w:val="fr-FR"/>
        </w:rPr>
        <w:t>ancrages</w:t>
      </w:r>
      <w:r w:rsidRPr="007A5AA8">
        <w:rPr>
          <w:lang w:val="fr-FR"/>
        </w:rPr>
        <w:t xml:space="preserve"> </w:t>
      </w:r>
      <w:r w:rsidRPr="008D6EB5">
        <w:rPr>
          <w:lang w:val="fr-FR"/>
        </w:rPr>
        <w:t xml:space="preserve">pour fixation inférieure </w:t>
      </w:r>
      <w:r w:rsidRPr="007A5AA8">
        <w:rPr>
          <w:lang w:val="fr-FR"/>
        </w:rPr>
        <w:t>doivent</w:t>
      </w:r>
      <w:r w:rsidRPr="007C6DC9">
        <w:rPr>
          <w:lang w:val="fr-FR"/>
        </w:rPr>
        <w:t xml:space="preserve"> également être conformes aux prescriptions du présent Règlement ;</w:t>
      </w:r>
    </w:p>
    <w:p w14:paraId="0E624D7E" w14:textId="313B7A1C" w:rsidR="002A47A6" w:rsidRPr="007C6DC9" w:rsidRDefault="002A47A6" w:rsidP="002A47A6">
      <w:pPr>
        <w:pStyle w:val="SingleTxtG"/>
        <w:ind w:left="2835" w:hanging="567"/>
        <w:rPr>
          <w:bCs/>
          <w:spacing w:val="-2"/>
          <w:lang w:val="fr-FR"/>
        </w:rPr>
      </w:pPr>
      <w:r w:rsidRPr="007C6DC9">
        <w:rPr>
          <w:lang w:val="fr-FR"/>
        </w:rPr>
        <w:t>b)</w:t>
      </w:r>
      <w:r w:rsidRPr="007C6DC9">
        <w:rPr>
          <w:lang w:val="fr-FR"/>
        </w:rPr>
        <w:tab/>
        <w:t>Aux véhicules de toutes les catégories en ce qui concerne les positions i-Size, si le constructeur du véhicule en a prévu</w:t>
      </w:r>
      <w:r>
        <w:rPr>
          <w:lang w:val="fr-FR"/>
        </w:rPr>
        <w:t>es</w:t>
      </w:r>
      <w:r w:rsidR="00E60533" w:rsidRPr="00E60533">
        <w:rPr>
          <w:lang w:val="fr-FR"/>
        </w:rPr>
        <w:t>.</w:t>
      </w:r>
      <w:r w:rsidRPr="007C6DC9">
        <w:rPr>
          <w:lang w:val="fr-FR"/>
        </w:rPr>
        <w:t> »</w:t>
      </w:r>
      <w:r w:rsidR="00E60533" w:rsidRPr="00E60533">
        <w:rPr>
          <w:lang w:val="fr-FR"/>
        </w:rPr>
        <w:t>.</w:t>
      </w:r>
    </w:p>
    <w:p w14:paraId="6C43907F" w14:textId="09504938" w:rsidR="002A47A6" w:rsidRPr="007C6DC9" w:rsidRDefault="002A47A6" w:rsidP="002A47A6">
      <w:pPr>
        <w:pStyle w:val="SingleTxtG"/>
        <w:rPr>
          <w:lang w:val="fr-FR"/>
        </w:rPr>
      </w:pPr>
      <w:r w:rsidRPr="007C6DC9">
        <w:rPr>
          <w:i/>
          <w:iCs/>
          <w:lang w:val="fr-FR"/>
        </w:rPr>
        <w:t>Ajouter les nouveaux paragraphes 2</w:t>
      </w:r>
      <w:r w:rsidR="00E60533" w:rsidRPr="00E60533">
        <w:rPr>
          <w:i/>
          <w:iCs/>
          <w:lang w:val="fr-FR"/>
        </w:rPr>
        <w:t>.</w:t>
      </w:r>
      <w:r w:rsidRPr="007C6DC9">
        <w:rPr>
          <w:i/>
          <w:iCs/>
          <w:lang w:val="fr-FR"/>
        </w:rPr>
        <w:t>25 à 2</w:t>
      </w:r>
      <w:r w:rsidR="00E60533" w:rsidRPr="00E60533">
        <w:rPr>
          <w:i/>
          <w:iCs/>
          <w:lang w:val="fr-FR"/>
        </w:rPr>
        <w:t>.</w:t>
      </w:r>
      <w:r w:rsidRPr="007C6DC9">
        <w:rPr>
          <w:i/>
          <w:iCs/>
          <w:lang w:val="fr-FR"/>
        </w:rPr>
        <w:t>31</w:t>
      </w:r>
      <w:r w:rsidRPr="007C6DC9">
        <w:rPr>
          <w:lang w:val="fr-FR"/>
        </w:rPr>
        <w:t>, libellés comme suit :</w:t>
      </w:r>
    </w:p>
    <w:p w14:paraId="770B3B0A" w14:textId="220560C1" w:rsidR="002A47A6" w:rsidRPr="008D6EB5" w:rsidRDefault="002A47A6" w:rsidP="002A47A6">
      <w:pPr>
        <w:pStyle w:val="SingleTxtG"/>
        <w:ind w:left="2268" w:hanging="1134"/>
        <w:rPr>
          <w:lang w:val="fr-FR"/>
        </w:rPr>
      </w:pPr>
      <w:r w:rsidRPr="00D912A3">
        <w:rPr>
          <w:lang w:val="fr-FR"/>
        </w:rPr>
        <w:t>« </w:t>
      </w:r>
      <w:r w:rsidRPr="008D6EB5">
        <w:rPr>
          <w:lang w:val="fr-FR"/>
        </w:rPr>
        <w:t>2</w:t>
      </w:r>
      <w:r w:rsidR="00E60533" w:rsidRPr="00E60533">
        <w:rPr>
          <w:lang w:val="fr-FR"/>
        </w:rPr>
        <w:t>.</w:t>
      </w:r>
      <w:r w:rsidRPr="008D6EB5">
        <w:rPr>
          <w:lang w:val="fr-FR"/>
        </w:rPr>
        <w:t>25</w:t>
      </w:r>
      <w:r w:rsidRPr="00D912A3">
        <w:rPr>
          <w:lang w:val="fr-FR"/>
        </w:rPr>
        <w:tab/>
      </w:r>
      <w:r w:rsidRPr="008D6EB5">
        <w:rPr>
          <w:lang w:val="fr-FR"/>
        </w:rPr>
        <w:t>Par “</w:t>
      </w:r>
      <w:r w:rsidRPr="008D6EB5">
        <w:rPr>
          <w:i/>
          <w:iCs/>
          <w:lang w:val="fr-FR"/>
        </w:rPr>
        <w:t>ancrage pour fixation inférieure</w:t>
      </w:r>
      <w:r w:rsidRPr="008D6EB5">
        <w:rPr>
          <w:lang w:val="fr-FR"/>
        </w:rPr>
        <w:t>”, un ancrage, situé sur le rail du siège</w:t>
      </w:r>
      <w:r w:rsidR="00B4714C">
        <w:rPr>
          <w:lang w:val="fr-FR"/>
        </w:rPr>
        <w:t xml:space="preserve"> </w:t>
      </w:r>
      <w:r w:rsidRPr="008D6EB5">
        <w:rPr>
          <w:lang w:val="fr-FR"/>
        </w:rPr>
        <w:t>ou sur le plancher ou à proximité du plancher du véhicule, auquel peut être fixée une patte de fixation inférieure,</w:t>
      </w:r>
      <w:r w:rsidRPr="00D912A3">
        <w:rPr>
          <w:lang w:val="fr-FR"/>
        </w:rPr>
        <w:t xml:space="preserve"> </w:t>
      </w:r>
      <w:r w:rsidRPr="008D6EB5">
        <w:rPr>
          <w:lang w:val="fr-FR"/>
        </w:rPr>
        <w:t>laquelle peut être visée ou non par l</w:t>
      </w:r>
      <w:r>
        <w:rPr>
          <w:lang w:val="fr-FR"/>
        </w:rPr>
        <w:t>’</w:t>
      </w:r>
      <w:r w:rsidRPr="008D6EB5">
        <w:rPr>
          <w:lang w:val="fr-FR"/>
        </w:rPr>
        <w:t>homologation du véhicule ;</w:t>
      </w:r>
    </w:p>
    <w:p w14:paraId="04E4E5D9" w14:textId="7716BCF4" w:rsidR="002A47A6" w:rsidRPr="008D6EB5" w:rsidRDefault="002A47A6" w:rsidP="002A47A6">
      <w:pPr>
        <w:pStyle w:val="SingleTxtG"/>
        <w:ind w:left="2268" w:hanging="1134"/>
        <w:rPr>
          <w:lang w:val="fr-FR"/>
        </w:rPr>
      </w:pPr>
      <w:r w:rsidRPr="008D6EB5">
        <w:rPr>
          <w:lang w:val="fr-FR"/>
        </w:rPr>
        <w:t>2</w:t>
      </w:r>
      <w:r w:rsidR="00E60533" w:rsidRPr="00E60533">
        <w:rPr>
          <w:lang w:val="fr-FR"/>
        </w:rPr>
        <w:t>.</w:t>
      </w:r>
      <w:r w:rsidRPr="008D6EB5">
        <w:rPr>
          <w:lang w:val="fr-FR"/>
        </w:rPr>
        <w:t>26</w:t>
      </w:r>
      <w:r w:rsidRPr="00D912A3">
        <w:rPr>
          <w:lang w:val="fr-FR"/>
        </w:rPr>
        <w:tab/>
      </w:r>
      <w:r w:rsidRPr="008D6EB5">
        <w:rPr>
          <w:lang w:val="fr-FR"/>
        </w:rPr>
        <w:t>Par “</w:t>
      </w:r>
      <w:r w:rsidRPr="008D6EB5">
        <w:rPr>
          <w:i/>
          <w:iCs/>
          <w:lang w:val="fr-FR"/>
        </w:rPr>
        <w:t>fixation inférieure</w:t>
      </w:r>
      <w:r w:rsidRPr="008D6EB5">
        <w:rPr>
          <w:lang w:val="fr-FR"/>
        </w:rPr>
        <w:t xml:space="preserve">”, un type de système </w:t>
      </w:r>
      <w:proofErr w:type="spellStart"/>
      <w:r w:rsidRPr="008D6EB5">
        <w:rPr>
          <w:lang w:val="fr-FR"/>
        </w:rPr>
        <w:t>antirotation</w:t>
      </w:r>
      <w:proofErr w:type="spellEnd"/>
      <w:r w:rsidRPr="008D6EB5">
        <w:rPr>
          <w:lang w:val="fr-FR"/>
        </w:rPr>
        <w:t xml:space="preserve"> visant à limiter la rotation vers l</w:t>
      </w:r>
      <w:r>
        <w:rPr>
          <w:lang w:val="fr-FR"/>
        </w:rPr>
        <w:t>’</w:t>
      </w:r>
      <w:r w:rsidRPr="008D6EB5">
        <w:rPr>
          <w:lang w:val="fr-FR"/>
        </w:rPr>
        <w:t>arrière d</w:t>
      </w:r>
      <w:r>
        <w:rPr>
          <w:lang w:val="fr-FR"/>
        </w:rPr>
        <w:t>’</w:t>
      </w:r>
      <w:r w:rsidRPr="008D6EB5">
        <w:rPr>
          <w:lang w:val="fr-FR"/>
        </w:rPr>
        <w:t xml:space="preserve">un </w:t>
      </w:r>
      <w:r>
        <w:rPr>
          <w:lang w:val="fr-FR"/>
        </w:rPr>
        <w:t>système (amélioré)</w:t>
      </w:r>
      <w:r w:rsidRPr="008D6EB5">
        <w:rPr>
          <w:lang w:val="fr-FR"/>
        </w:rPr>
        <w:t xml:space="preserve"> de retenue pour enfants </w:t>
      </w:r>
      <w:r>
        <w:rPr>
          <w:lang w:val="fr-FR"/>
        </w:rPr>
        <w:t>orienté vers l’arrière</w:t>
      </w:r>
      <w:r w:rsidRPr="008D6EB5">
        <w:rPr>
          <w:lang w:val="fr-FR"/>
        </w:rPr>
        <w:t> ;</w:t>
      </w:r>
    </w:p>
    <w:p w14:paraId="5C526902" w14:textId="62C73826" w:rsidR="002A47A6" w:rsidRPr="008D6EB5" w:rsidRDefault="002A47A6" w:rsidP="002A47A6">
      <w:pPr>
        <w:pStyle w:val="SingleTxtG"/>
        <w:ind w:left="2268" w:hanging="1134"/>
        <w:rPr>
          <w:lang w:val="fr-FR"/>
        </w:rPr>
      </w:pPr>
      <w:r w:rsidRPr="008D6EB5">
        <w:rPr>
          <w:lang w:val="fr-FR"/>
        </w:rPr>
        <w:t>2</w:t>
      </w:r>
      <w:r w:rsidR="00E60533" w:rsidRPr="00E60533">
        <w:rPr>
          <w:lang w:val="fr-FR"/>
        </w:rPr>
        <w:t>.</w:t>
      </w:r>
      <w:r w:rsidRPr="008D6EB5">
        <w:rPr>
          <w:lang w:val="fr-FR"/>
        </w:rPr>
        <w:t>27</w:t>
      </w:r>
      <w:r w:rsidRPr="00D912A3">
        <w:rPr>
          <w:lang w:val="fr-FR"/>
        </w:rPr>
        <w:tab/>
      </w:r>
      <w:r w:rsidRPr="008D6EB5">
        <w:rPr>
          <w:lang w:val="fr-FR"/>
        </w:rPr>
        <w:t>Par “</w:t>
      </w:r>
      <w:r w:rsidRPr="008D6EB5">
        <w:rPr>
          <w:i/>
          <w:iCs/>
          <w:lang w:val="fr-FR"/>
        </w:rPr>
        <w:t>sangle de fixation inférieure</w:t>
      </w:r>
      <w:r w:rsidRPr="008D6EB5">
        <w:rPr>
          <w:lang w:val="fr-FR"/>
        </w:rPr>
        <w:t>”, une sangle (ou équivalent) allant de l</w:t>
      </w:r>
      <w:r>
        <w:rPr>
          <w:lang w:val="fr-FR"/>
        </w:rPr>
        <w:t>’</w:t>
      </w:r>
      <w:r w:rsidRPr="008D6EB5">
        <w:rPr>
          <w:lang w:val="fr-FR"/>
        </w:rPr>
        <w:t xml:space="preserve">arrière du </w:t>
      </w:r>
      <w:r>
        <w:rPr>
          <w:lang w:val="fr-FR"/>
        </w:rPr>
        <w:t>système (amélioré)</w:t>
      </w:r>
      <w:r w:rsidRPr="008D6EB5">
        <w:rPr>
          <w:lang w:val="fr-FR"/>
        </w:rPr>
        <w:t xml:space="preserve"> de retenue pour enfants spécifique à un véhicule à un ancrage pour fixation inférieure situé dans le véhicule, qui est équipée d</w:t>
      </w:r>
      <w:r>
        <w:rPr>
          <w:lang w:val="fr-FR"/>
        </w:rPr>
        <w:t>’</w:t>
      </w:r>
      <w:r w:rsidRPr="008D6EB5">
        <w:rPr>
          <w:lang w:val="fr-FR"/>
        </w:rPr>
        <w:t>un dispositif de réglage, d</w:t>
      </w:r>
      <w:r>
        <w:rPr>
          <w:lang w:val="fr-FR"/>
        </w:rPr>
        <w:t>’</w:t>
      </w:r>
      <w:r w:rsidRPr="008D6EB5">
        <w:rPr>
          <w:lang w:val="fr-FR"/>
        </w:rPr>
        <w:t>un dispositif de relâchement de la tension et d</w:t>
      </w:r>
      <w:r>
        <w:rPr>
          <w:lang w:val="fr-FR"/>
        </w:rPr>
        <w:t>’</w:t>
      </w:r>
      <w:r w:rsidRPr="008D6EB5">
        <w:rPr>
          <w:lang w:val="fr-FR"/>
        </w:rPr>
        <w:t>un connecteur de fixation inférieure ;</w:t>
      </w:r>
    </w:p>
    <w:p w14:paraId="60934DE3" w14:textId="1E6C09EA" w:rsidR="002A47A6" w:rsidRPr="008D6EB5" w:rsidRDefault="002A47A6" w:rsidP="002A47A6">
      <w:pPr>
        <w:pStyle w:val="SingleTxtG"/>
        <w:ind w:left="2268" w:hanging="1134"/>
        <w:rPr>
          <w:lang w:val="fr-FR"/>
        </w:rPr>
      </w:pPr>
      <w:r w:rsidRPr="008D6EB5">
        <w:rPr>
          <w:lang w:val="fr-FR"/>
        </w:rPr>
        <w:t>2</w:t>
      </w:r>
      <w:r w:rsidR="00E60533" w:rsidRPr="00E60533">
        <w:rPr>
          <w:lang w:val="fr-FR"/>
        </w:rPr>
        <w:t>.</w:t>
      </w:r>
      <w:r w:rsidRPr="008D6EB5">
        <w:rPr>
          <w:lang w:val="fr-FR"/>
        </w:rPr>
        <w:t>28</w:t>
      </w:r>
      <w:r w:rsidRPr="00D912A3">
        <w:rPr>
          <w:lang w:val="fr-FR"/>
        </w:rPr>
        <w:tab/>
      </w:r>
      <w:r w:rsidRPr="008D6EB5">
        <w:rPr>
          <w:lang w:val="fr-FR"/>
        </w:rPr>
        <w:t>Par “</w:t>
      </w:r>
      <w:r w:rsidRPr="008D6EB5">
        <w:rPr>
          <w:i/>
          <w:iCs/>
          <w:lang w:val="fr-FR"/>
        </w:rPr>
        <w:t>connecteur de fixation inférieure</w:t>
      </w:r>
      <w:r w:rsidRPr="008D6EB5">
        <w:rPr>
          <w:lang w:val="fr-FR"/>
        </w:rPr>
        <w:t>”, un dispositif destiné à être accroché à une patte de fixation inférieure ;</w:t>
      </w:r>
    </w:p>
    <w:p w14:paraId="0E1FE758" w14:textId="71BE6C8C" w:rsidR="002A47A6" w:rsidRPr="008D6EB5" w:rsidRDefault="002A47A6" w:rsidP="002A47A6">
      <w:pPr>
        <w:pStyle w:val="SingleTxtG"/>
        <w:ind w:left="2268" w:hanging="1134"/>
        <w:rPr>
          <w:lang w:val="fr-FR"/>
        </w:rPr>
      </w:pPr>
      <w:r w:rsidRPr="008D6EB5">
        <w:rPr>
          <w:lang w:val="fr-FR"/>
        </w:rPr>
        <w:t>2</w:t>
      </w:r>
      <w:r w:rsidR="00E60533" w:rsidRPr="00E60533">
        <w:rPr>
          <w:lang w:val="fr-FR"/>
        </w:rPr>
        <w:t>.</w:t>
      </w:r>
      <w:r w:rsidRPr="008D6EB5">
        <w:rPr>
          <w:lang w:val="fr-FR"/>
        </w:rPr>
        <w:t>29</w:t>
      </w:r>
      <w:r w:rsidRPr="00D912A3">
        <w:rPr>
          <w:lang w:val="fr-FR"/>
        </w:rPr>
        <w:tab/>
      </w:r>
      <w:r w:rsidRPr="008D6EB5">
        <w:rPr>
          <w:lang w:val="fr-FR"/>
        </w:rPr>
        <w:t>Par “</w:t>
      </w:r>
      <w:r w:rsidRPr="008D6EB5">
        <w:rPr>
          <w:i/>
          <w:iCs/>
          <w:lang w:val="fr-FR"/>
        </w:rPr>
        <w:t>crochet de fixation inférieure</w:t>
      </w:r>
      <w:r w:rsidRPr="008D6EB5">
        <w:rPr>
          <w:lang w:val="fr-FR"/>
        </w:rPr>
        <w:t>”, un connecteur généralement utilisé pour accrocher la sangle de fixation inférieure à une patte de fixation inférieure, qui a la même forme et les mêmes dimensions que le crochet de fixation supérieure défini à la figure 3 de l</w:t>
      </w:r>
      <w:r>
        <w:rPr>
          <w:lang w:val="fr-FR"/>
        </w:rPr>
        <w:t>’</w:t>
      </w:r>
      <w:r w:rsidRPr="008D6EB5">
        <w:rPr>
          <w:lang w:val="fr-FR"/>
        </w:rPr>
        <w:t>annexe 4 du Règlement ONU n</w:t>
      </w:r>
      <w:r w:rsidRPr="008D6EB5">
        <w:rPr>
          <w:vertAlign w:val="superscript"/>
          <w:lang w:val="fr-FR"/>
        </w:rPr>
        <w:t>o</w:t>
      </w:r>
      <w:r w:rsidRPr="008D6EB5">
        <w:rPr>
          <w:lang w:val="fr-FR"/>
        </w:rPr>
        <w:t> 145 ;</w:t>
      </w:r>
    </w:p>
    <w:p w14:paraId="78FAC154" w14:textId="7A7ACC09" w:rsidR="002A47A6" w:rsidRPr="008D6EB5" w:rsidRDefault="002A47A6" w:rsidP="002A47A6">
      <w:pPr>
        <w:pStyle w:val="SingleTxtG"/>
        <w:ind w:left="2268" w:hanging="1134"/>
        <w:rPr>
          <w:lang w:val="fr-FR"/>
        </w:rPr>
      </w:pPr>
      <w:r w:rsidRPr="008D6EB5">
        <w:rPr>
          <w:lang w:val="fr-FR"/>
        </w:rPr>
        <w:t>2</w:t>
      </w:r>
      <w:r w:rsidR="00E60533" w:rsidRPr="00E60533">
        <w:rPr>
          <w:lang w:val="fr-FR"/>
        </w:rPr>
        <w:t>.</w:t>
      </w:r>
      <w:r w:rsidRPr="008D6EB5">
        <w:rPr>
          <w:lang w:val="fr-FR"/>
        </w:rPr>
        <w:t>30</w:t>
      </w:r>
      <w:r w:rsidRPr="00D912A3">
        <w:rPr>
          <w:lang w:val="fr-FR"/>
        </w:rPr>
        <w:tab/>
      </w:r>
      <w:r w:rsidRPr="008D6EB5">
        <w:rPr>
          <w:lang w:val="fr-FR"/>
        </w:rPr>
        <w:t>Par “</w:t>
      </w:r>
      <w:r w:rsidRPr="008D6EB5">
        <w:rPr>
          <w:i/>
          <w:iCs/>
          <w:lang w:val="fr-FR"/>
        </w:rPr>
        <w:t>patte de fixation inférieure</w:t>
      </w:r>
      <w:r w:rsidRPr="008D6EB5">
        <w:rPr>
          <w:lang w:val="fr-FR"/>
        </w:rPr>
        <w:t>”, la patte qui est fixée ou intégrée à l</w:t>
      </w:r>
      <w:r>
        <w:rPr>
          <w:lang w:val="fr-FR"/>
        </w:rPr>
        <w:t>’</w:t>
      </w:r>
      <w:r w:rsidRPr="008D6EB5">
        <w:rPr>
          <w:lang w:val="fr-FR"/>
        </w:rPr>
        <w:t>ancrage pour fixation inférieure ;</w:t>
      </w:r>
    </w:p>
    <w:p w14:paraId="46D7B3B8" w14:textId="6A978590" w:rsidR="002A47A6" w:rsidRPr="00D912A3" w:rsidRDefault="002A47A6" w:rsidP="002A47A6">
      <w:pPr>
        <w:pStyle w:val="SingleTxtG"/>
        <w:ind w:left="2268" w:hanging="1134"/>
        <w:rPr>
          <w:lang w:val="fr-FR"/>
        </w:rPr>
      </w:pPr>
      <w:r w:rsidRPr="008D6EB5">
        <w:rPr>
          <w:lang w:val="fr-FR"/>
        </w:rPr>
        <w:t>2</w:t>
      </w:r>
      <w:r w:rsidR="00E60533" w:rsidRPr="00E60533">
        <w:rPr>
          <w:lang w:val="fr-FR"/>
        </w:rPr>
        <w:t>.</w:t>
      </w:r>
      <w:r w:rsidRPr="008D6EB5">
        <w:rPr>
          <w:lang w:val="fr-FR"/>
        </w:rPr>
        <w:t>31</w:t>
      </w:r>
      <w:r w:rsidRPr="00D912A3">
        <w:rPr>
          <w:lang w:val="fr-FR"/>
        </w:rPr>
        <w:tab/>
      </w:r>
      <w:r w:rsidRPr="00D912A3">
        <w:rPr>
          <w:lang w:val="fr-FR"/>
        </w:rPr>
        <w:tab/>
      </w:r>
      <w:r w:rsidRPr="008D6EB5">
        <w:rPr>
          <w:lang w:val="fr-FR"/>
        </w:rPr>
        <w:t>Par “</w:t>
      </w:r>
      <w:r w:rsidRPr="008D6EB5">
        <w:rPr>
          <w:i/>
          <w:iCs/>
          <w:lang w:val="fr-FR"/>
        </w:rPr>
        <w:t>patte de fixation inférieure générique</w:t>
      </w:r>
      <w:r w:rsidRPr="008D6EB5">
        <w:rPr>
          <w:lang w:val="fr-FR"/>
        </w:rPr>
        <w:t xml:space="preserve">”, la patte de fixation générique fournie par le fabricant du </w:t>
      </w:r>
      <w:r>
        <w:rPr>
          <w:lang w:val="fr-FR"/>
        </w:rPr>
        <w:t>système</w:t>
      </w:r>
      <w:r w:rsidRPr="008D6EB5">
        <w:rPr>
          <w:lang w:val="fr-FR"/>
        </w:rPr>
        <w:t xml:space="preserve"> </w:t>
      </w:r>
      <w:r>
        <w:rPr>
          <w:lang w:val="fr-FR"/>
        </w:rPr>
        <w:t xml:space="preserve">amélioré </w:t>
      </w:r>
      <w:r w:rsidRPr="008D6EB5">
        <w:rPr>
          <w:lang w:val="fr-FR"/>
        </w:rPr>
        <w:t xml:space="preserve">de retenue pour enfants avec ledit </w:t>
      </w:r>
      <w:r>
        <w:rPr>
          <w:lang w:val="fr-FR"/>
        </w:rPr>
        <w:t>système</w:t>
      </w:r>
      <w:r w:rsidRPr="008D6EB5">
        <w:rPr>
          <w:lang w:val="fr-FR"/>
        </w:rPr>
        <w:t>, qui doit être fixée à l</w:t>
      </w:r>
      <w:r>
        <w:rPr>
          <w:lang w:val="fr-FR"/>
        </w:rPr>
        <w:t>’</w:t>
      </w:r>
      <w:r w:rsidRPr="008D6EB5">
        <w:rPr>
          <w:lang w:val="fr-FR"/>
        </w:rPr>
        <w:t>ancrage pour fixation inférieure comme spécifié par le constructeur du véhicule</w:t>
      </w:r>
      <w:r w:rsidR="00E60533" w:rsidRPr="00E60533">
        <w:rPr>
          <w:lang w:val="fr-FR"/>
        </w:rPr>
        <w:t>.</w:t>
      </w:r>
    </w:p>
    <w:p w14:paraId="5C166B97" w14:textId="13C2BFA4" w:rsidR="002A47A6" w:rsidRPr="008D6EB5" w:rsidRDefault="002A47A6" w:rsidP="002A47A6">
      <w:pPr>
        <w:pStyle w:val="SingleTxtG"/>
        <w:ind w:left="2268" w:hanging="1134"/>
        <w:rPr>
          <w:lang w:val="fr-FR"/>
        </w:rPr>
      </w:pPr>
      <w:r w:rsidRPr="008D6EB5">
        <w:rPr>
          <w:lang w:val="fr-FR"/>
        </w:rPr>
        <w:t>2</w:t>
      </w:r>
      <w:r w:rsidR="00E60533" w:rsidRPr="00E60533">
        <w:rPr>
          <w:lang w:val="fr-FR"/>
        </w:rPr>
        <w:t>.</w:t>
      </w:r>
      <w:r w:rsidRPr="008D6EB5">
        <w:rPr>
          <w:lang w:val="fr-FR"/>
        </w:rPr>
        <w:t>32</w:t>
      </w:r>
      <w:r w:rsidRPr="008D6EB5">
        <w:rPr>
          <w:lang w:val="fr-FR"/>
        </w:rPr>
        <w:tab/>
      </w:r>
      <w:r w:rsidRPr="008D6EB5">
        <w:rPr>
          <w:lang w:val="fr-FR"/>
        </w:rPr>
        <w:tab/>
        <w:t>Par “PRSF”, le point de référence pour le sens de la force, situé à l</w:t>
      </w:r>
      <w:r>
        <w:rPr>
          <w:lang w:val="fr-FR"/>
        </w:rPr>
        <w:t>’</w:t>
      </w:r>
      <w:r w:rsidRPr="008D6EB5">
        <w:rPr>
          <w:lang w:val="fr-FR"/>
        </w:rPr>
        <w:t>avant de l</w:t>
      </w:r>
      <w:r>
        <w:rPr>
          <w:lang w:val="fr-FR"/>
        </w:rPr>
        <w:t>’</w:t>
      </w:r>
      <w:r w:rsidRPr="008D6EB5">
        <w:rPr>
          <w:lang w:val="fr-FR"/>
        </w:rPr>
        <w:t>enveloppe ISO/R2, à 300 mm au-dessus du bas de l</w:t>
      </w:r>
      <w:r>
        <w:rPr>
          <w:lang w:val="fr-FR"/>
        </w:rPr>
        <w:t>’</w:t>
      </w:r>
      <w:r w:rsidRPr="008D6EB5">
        <w:rPr>
          <w:lang w:val="fr-FR"/>
        </w:rPr>
        <w:t>enveloppe en hauteur et, latéralement, sur l</w:t>
      </w:r>
      <w:r>
        <w:rPr>
          <w:lang w:val="fr-FR"/>
        </w:rPr>
        <w:t>’</w:t>
      </w:r>
      <w:r w:rsidRPr="008D6EB5">
        <w:rPr>
          <w:lang w:val="fr-FR"/>
        </w:rPr>
        <w:t>axe longitudinal de l</w:t>
      </w:r>
      <w:r>
        <w:rPr>
          <w:lang w:val="fr-FR"/>
        </w:rPr>
        <w:t>’</w:t>
      </w:r>
      <w:r w:rsidRPr="008D6EB5">
        <w:rPr>
          <w:lang w:val="fr-FR"/>
        </w:rPr>
        <w:t>enveloppe ISO/R2</w:t>
      </w:r>
      <w:r w:rsidR="00E60533" w:rsidRPr="00E60533">
        <w:rPr>
          <w:lang w:val="fr-FR"/>
        </w:rPr>
        <w:t>.</w:t>
      </w:r>
    </w:p>
    <w:p w14:paraId="632A6036" w14:textId="4F1F6974" w:rsidR="002A47A6" w:rsidRPr="007C6DC9" w:rsidRDefault="002A47A6" w:rsidP="002A47A6">
      <w:pPr>
        <w:pStyle w:val="SingleTxtG"/>
        <w:rPr>
          <w:lang w:val="fr-FR"/>
        </w:rPr>
      </w:pPr>
      <w:r w:rsidRPr="007C6DC9">
        <w:rPr>
          <w:i/>
          <w:iCs/>
          <w:lang w:val="fr-FR"/>
        </w:rPr>
        <w:t>Paragraphes 3 à 3</w:t>
      </w:r>
      <w:r w:rsidR="00E60533" w:rsidRPr="00E60533">
        <w:rPr>
          <w:i/>
          <w:iCs/>
          <w:lang w:val="fr-FR"/>
        </w:rPr>
        <w:t>.</w:t>
      </w:r>
      <w:r w:rsidRPr="007C6DC9">
        <w:rPr>
          <w:i/>
          <w:iCs/>
          <w:lang w:val="fr-FR"/>
        </w:rPr>
        <w:t>3</w:t>
      </w:r>
      <w:r w:rsidRPr="007C6DC9">
        <w:rPr>
          <w:lang w:val="fr-FR"/>
        </w:rPr>
        <w:t>, lire :</w:t>
      </w:r>
    </w:p>
    <w:p w14:paraId="6BB9E815" w14:textId="172D053B" w:rsidR="002A47A6" w:rsidRPr="007C6DC9" w:rsidRDefault="002A47A6" w:rsidP="00292B57">
      <w:pPr>
        <w:pStyle w:val="HChG"/>
        <w:ind w:left="2268"/>
        <w:rPr>
          <w:lang w:val="fr-FR"/>
        </w:rPr>
      </w:pPr>
      <w:r w:rsidRPr="007C6DC9">
        <w:rPr>
          <w:lang w:val="fr-FR"/>
        </w:rPr>
        <w:t>« 3</w:t>
      </w:r>
      <w:r w:rsidR="00E60533" w:rsidRPr="00E60533">
        <w:rPr>
          <w:lang w:val="fr-FR"/>
        </w:rPr>
        <w:t>.</w:t>
      </w:r>
      <w:r w:rsidRPr="007C6DC9">
        <w:rPr>
          <w:lang w:val="fr-FR"/>
        </w:rPr>
        <w:tab/>
        <w:t>Demande d</w:t>
      </w:r>
      <w:r>
        <w:rPr>
          <w:lang w:val="fr-FR"/>
        </w:rPr>
        <w:t>’</w:t>
      </w:r>
      <w:r w:rsidRPr="007C6DC9">
        <w:rPr>
          <w:lang w:val="fr-FR"/>
        </w:rPr>
        <w:t>homologation</w:t>
      </w:r>
    </w:p>
    <w:p w14:paraId="5609601E" w14:textId="49B6D6FF" w:rsidR="002A47A6" w:rsidRPr="007C6DC9" w:rsidRDefault="002A47A6" w:rsidP="002A47A6">
      <w:pPr>
        <w:pStyle w:val="SingleTxtG"/>
        <w:ind w:left="2268" w:hanging="1134"/>
      </w:pPr>
      <w:r w:rsidRPr="007C6DC9">
        <w:t>3</w:t>
      </w:r>
      <w:r w:rsidR="00E60533" w:rsidRPr="00E60533">
        <w:t>.</w:t>
      </w:r>
      <w:r w:rsidRPr="007C6DC9">
        <w:t>1</w:t>
      </w:r>
      <w:r w:rsidRPr="007C6DC9">
        <w:tab/>
        <w:t>La demande d</w:t>
      </w:r>
      <w:r>
        <w:t>’</w:t>
      </w:r>
      <w:r w:rsidRPr="007C6DC9">
        <w:t>homologation d</w:t>
      </w:r>
      <w:r>
        <w:t>’</w:t>
      </w:r>
      <w:r w:rsidRPr="007C6DC9">
        <w:t>un type de véhicule en ce qui concerne les systèmes d</w:t>
      </w:r>
      <w:r>
        <w:t>’</w:t>
      </w:r>
      <w:r w:rsidRPr="007C6DC9">
        <w:t>ancrages ISOFIX, les ancrages pour fixation supérieure ISOFIX</w:t>
      </w:r>
      <w:r w:rsidRPr="007C6DC9">
        <w:rPr>
          <w:b/>
          <w:bCs/>
        </w:rPr>
        <w:t xml:space="preserve">, </w:t>
      </w:r>
      <w:r w:rsidRPr="008D6EB5">
        <w:t>les ancrages pour fixation inférieure</w:t>
      </w:r>
      <w:r w:rsidRPr="007C6DC9">
        <w:t xml:space="preserve"> et, le cas échéant, les positions i-Size, doit être présentée par le constructeur du véhicule ou son représentant dûment accrédité</w:t>
      </w:r>
      <w:r w:rsidR="00E60533" w:rsidRPr="00E60533">
        <w:t>.</w:t>
      </w:r>
    </w:p>
    <w:p w14:paraId="40B94DB8" w14:textId="16110195" w:rsidR="002A47A6" w:rsidRPr="007C6DC9" w:rsidRDefault="002A47A6" w:rsidP="002A47A6">
      <w:pPr>
        <w:pStyle w:val="SingleTxtG"/>
        <w:ind w:left="2268" w:hanging="1134"/>
      </w:pPr>
      <w:r w:rsidRPr="007C6DC9">
        <w:lastRenderedPageBreak/>
        <w:t>3</w:t>
      </w:r>
      <w:r w:rsidR="00E60533" w:rsidRPr="00E60533">
        <w:t>.</w:t>
      </w:r>
      <w:r w:rsidRPr="007C6DC9">
        <w:t>2</w:t>
      </w:r>
      <w:r w:rsidRPr="007C6DC9">
        <w:tab/>
        <w:t>Elle est accompagnée des pièces mentionnées ci-après, en triple exemplaire, et des indications suivantes :</w:t>
      </w:r>
    </w:p>
    <w:p w14:paraId="1FE7581F" w14:textId="310F28AD" w:rsidR="002A47A6" w:rsidRPr="00CF2847" w:rsidRDefault="002A47A6" w:rsidP="002A47A6">
      <w:pPr>
        <w:pStyle w:val="SingleTxtG"/>
        <w:ind w:left="2268" w:hanging="1134"/>
      </w:pPr>
      <w:r w:rsidRPr="007C6DC9">
        <w:t>3</w:t>
      </w:r>
      <w:r w:rsidR="00E60533" w:rsidRPr="00E60533">
        <w:t>.</w:t>
      </w:r>
      <w:r w:rsidRPr="007C6DC9">
        <w:t>2</w:t>
      </w:r>
      <w:r w:rsidR="00E60533" w:rsidRPr="00E60533">
        <w:t>.</w:t>
      </w:r>
      <w:r w:rsidRPr="007C6DC9">
        <w:t>1</w:t>
      </w:r>
      <w:r w:rsidRPr="007C6DC9">
        <w:tab/>
      </w:r>
      <w:r w:rsidRPr="00CF2847">
        <w:t>Dessins donnant une vue d</w:t>
      </w:r>
      <w:r>
        <w:t>’</w:t>
      </w:r>
      <w:r w:rsidRPr="00CF2847">
        <w:t>ensemble de la structure du véhicule à une échelle appropriée et indiquant les emplacements des systèmes d</w:t>
      </w:r>
      <w:r>
        <w:t>’</w:t>
      </w:r>
      <w:r w:rsidRPr="00CF2847">
        <w:t xml:space="preserve">ancrages ISOFIX, des ancrages pour fixation supérieure ISOFIX </w:t>
      </w:r>
      <w:r w:rsidRPr="008D6EB5">
        <w:t xml:space="preserve">ou des ancrages pour fixation inférieure, y compris des pattes de fixation inférieure (si elles sont fournies par le constructeur) </w:t>
      </w:r>
      <w:r w:rsidRPr="00CF2847">
        <w:t>(le cas échéant) et, s</w:t>
      </w:r>
      <w:r>
        <w:t>’</w:t>
      </w:r>
      <w:r w:rsidRPr="00CF2847">
        <w:t xml:space="preserve">il existe des positions i-Size </w:t>
      </w:r>
      <w:r w:rsidRPr="008D6EB5">
        <w:t>ou s</w:t>
      </w:r>
      <w:r>
        <w:t>’</w:t>
      </w:r>
      <w:r w:rsidRPr="008D6EB5">
        <w:t>il est prévu d</w:t>
      </w:r>
      <w:r>
        <w:t>’</w:t>
      </w:r>
      <w:r w:rsidRPr="008D6EB5">
        <w:t>utiliser une jambe de force avec une place assise ni ISOFIX ni i-Size</w:t>
      </w:r>
      <w:r w:rsidRPr="00CF2847">
        <w:t>, de la surface de contact avec le plancher du véhicule, ainsi que les dessins détaillés des systèmes d</w:t>
      </w:r>
      <w:r>
        <w:t>’</w:t>
      </w:r>
      <w:r w:rsidRPr="00CF2847">
        <w:t xml:space="preserve">ancrages ISOFIX (le cas échéant), des ancrages pour fixation supérieure ISOFIX </w:t>
      </w:r>
      <w:r w:rsidRPr="008D6EB5">
        <w:t>ou des ancrages pour fixation inférieure, y compris des pattes de fixation inférieure (si elles sont fournies par le constructeur)</w:t>
      </w:r>
      <w:r w:rsidRPr="00CF2847">
        <w:t xml:space="preserve"> (le cas échéant) et des points auxquels ils sont attachés, et, s</w:t>
      </w:r>
      <w:r>
        <w:t>’</w:t>
      </w:r>
      <w:r w:rsidRPr="00CF2847">
        <w:t xml:space="preserve">il existe des positions i-Size </w:t>
      </w:r>
      <w:r w:rsidRPr="008D6EB5">
        <w:t>ou s</w:t>
      </w:r>
      <w:r>
        <w:t>’</w:t>
      </w:r>
      <w:r w:rsidRPr="008D6EB5">
        <w:t>il est prévu d</w:t>
      </w:r>
      <w:r>
        <w:t>’</w:t>
      </w:r>
      <w:r w:rsidRPr="008D6EB5">
        <w:t>utiliser d</w:t>
      </w:r>
      <w:r>
        <w:t>’</w:t>
      </w:r>
      <w:r w:rsidRPr="008D6EB5">
        <w:t>une jambe de force avec une place assise ni ISOFIX ni i-Size</w:t>
      </w:r>
      <w:r w:rsidRPr="00CF2847">
        <w:t xml:space="preserve">, de la surface de contact avec le plancher du véhicule ; </w:t>
      </w:r>
    </w:p>
    <w:p w14:paraId="092C73A8" w14:textId="4EEEF597" w:rsidR="002A47A6" w:rsidRPr="00CF2847" w:rsidRDefault="002A47A6" w:rsidP="002A47A6">
      <w:pPr>
        <w:pStyle w:val="SingleTxtG"/>
        <w:ind w:left="2268" w:hanging="1134"/>
      </w:pPr>
      <w:r w:rsidRPr="007C6DC9">
        <w:t>3</w:t>
      </w:r>
      <w:r w:rsidR="00E60533" w:rsidRPr="00E60533">
        <w:t>.</w:t>
      </w:r>
      <w:r w:rsidRPr="007C6DC9">
        <w:t>2</w:t>
      </w:r>
      <w:r w:rsidR="00E60533" w:rsidRPr="00E60533">
        <w:t>.</w:t>
      </w:r>
      <w:r w:rsidRPr="007C6DC9">
        <w:t>2</w:t>
      </w:r>
      <w:r w:rsidRPr="007C6DC9">
        <w:tab/>
      </w:r>
      <w:r w:rsidRPr="00CF2847">
        <w:t>Indication de la nature des matériaux pouvant influer sur la résistance des systèmes d</w:t>
      </w:r>
      <w:r>
        <w:t>’</w:t>
      </w:r>
      <w:r w:rsidRPr="00CF2847">
        <w:t>ancrages ISOFIX</w:t>
      </w:r>
      <w:r w:rsidRPr="008D6EB5">
        <w:t>,</w:t>
      </w:r>
      <w:r w:rsidRPr="00CF2847">
        <w:t xml:space="preserve"> des ancrages pour fixation supérieure ISOFIX </w:t>
      </w:r>
      <w:r w:rsidRPr="008D6EB5">
        <w:t>ou des ancrages pour fixation inférieure</w:t>
      </w:r>
      <w:r w:rsidRPr="00CF2847">
        <w:t>, le cas échéant, et, s</w:t>
      </w:r>
      <w:r>
        <w:t>’</w:t>
      </w:r>
      <w:r w:rsidRPr="00CF2847">
        <w:t xml:space="preserve">il existe des positions i-Size </w:t>
      </w:r>
      <w:r w:rsidRPr="008D6EB5">
        <w:t>ou s</w:t>
      </w:r>
      <w:r>
        <w:t>’</w:t>
      </w:r>
      <w:r w:rsidRPr="008D6EB5">
        <w:t>il est prévu d</w:t>
      </w:r>
      <w:r>
        <w:t>’</w:t>
      </w:r>
      <w:r w:rsidRPr="008D6EB5">
        <w:t>utiliser une jambe de force avec une place assise ni ISOFIX ni i-Size</w:t>
      </w:r>
      <w:r w:rsidRPr="00CF2847">
        <w:t xml:space="preserve">, de la surface de contact avec le plancher du véhicule ; </w:t>
      </w:r>
    </w:p>
    <w:p w14:paraId="095DB812" w14:textId="09FB8252" w:rsidR="002A47A6" w:rsidRPr="00CF2847" w:rsidRDefault="002A47A6" w:rsidP="002A47A6">
      <w:pPr>
        <w:pStyle w:val="SingleTxtG"/>
        <w:ind w:left="2268" w:hanging="1134"/>
      </w:pPr>
      <w:r w:rsidRPr="007C6DC9">
        <w:t>3</w:t>
      </w:r>
      <w:r w:rsidR="00E60533" w:rsidRPr="00E60533">
        <w:t>.</w:t>
      </w:r>
      <w:r w:rsidRPr="007C6DC9">
        <w:t>2</w:t>
      </w:r>
      <w:r w:rsidR="00E60533" w:rsidRPr="00E60533">
        <w:t>.</w:t>
      </w:r>
      <w:r w:rsidRPr="007C6DC9">
        <w:t>3</w:t>
      </w:r>
      <w:r w:rsidRPr="007C6DC9">
        <w:tab/>
      </w:r>
      <w:r w:rsidRPr="00CF2847">
        <w:t>Description technique des systèmes d</w:t>
      </w:r>
      <w:r>
        <w:t>’</w:t>
      </w:r>
      <w:r w:rsidRPr="00CF2847">
        <w:t>ancrages ISOFIX</w:t>
      </w:r>
      <w:r w:rsidRPr="008D6EB5">
        <w:t>,</w:t>
      </w:r>
      <w:r w:rsidRPr="00CF2847">
        <w:t xml:space="preserve"> des ancrages pour fixation supérieure ISOFIX </w:t>
      </w:r>
      <w:r w:rsidRPr="008D6EB5">
        <w:t>ou des ancrages pour fixation inférieure, y compris des pattes de fixation inférieure (si elles sont fournies par le constructeur)</w:t>
      </w:r>
      <w:r w:rsidRPr="00CF2847">
        <w:t>, le cas échéant ;</w:t>
      </w:r>
    </w:p>
    <w:p w14:paraId="6B6B3B51" w14:textId="70039FC3" w:rsidR="002A47A6" w:rsidRPr="00CF2847" w:rsidRDefault="002A47A6" w:rsidP="002A47A6">
      <w:pPr>
        <w:pStyle w:val="SingleTxtG"/>
        <w:ind w:left="2268" w:hanging="1134"/>
      </w:pPr>
      <w:r w:rsidRPr="007C6DC9">
        <w:t>3</w:t>
      </w:r>
      <w:r w:rsidR="00E60533" w:rsidRPr="00E60533">
        <w:t>.</w:t>
      </w:r>
      <w:r w:rsidRPr="007C6DC9">
        <w:t>2</w:t>
      </w:r>
      <w:r w:rsidR="00E60533" w:rsidRPr="00E60533">
        <w:t>.</w:t>
      </w:r>
      <w:r w:rsidRPr="007C6DC9">
        <w:t>4</w:t>
      </w:r>
      <w:r w:rsidRPr="007C6DC9">
        <w:tab/>
      </w:r>
      <w:r w:rsidRPr="00CF2847">
        <w:t>Pour les systèmes d</w:t>
      </w:r>
      <w:r>
        <w:t>’</w:t>
      </w:r>
      <w:r w:rsidRPr="00CF2847">
        <w:t xml:space="preserve">ancrages ISOFIX et les ancrages pour fixation supérieure ISOFIX </w:t>
      </w:r>
      <w:r w:rsidRPr="008D6EB5">
        <w:t xml:space="preserve">ou les ancrages pour fixation inférieure </w:t>
      </w:r>
      <w:r w:rsidRPr="00CF2847">
        <w:t>fixés à la structure du siège, le cas échéant :</w:t>
      </w:r>
    </w:p>
    <w:p w14:paraId="0BCF75C9" w14:textId="1785EB4D" w:rsidR="002A47A6" w:rsidRPr="007C6DC9" w:rsidRDefault="002A47A6" w:rsidP="002A47A6">
      <w:pPr>
        <w:pStyle w:val="SingleTxtG"/>
        <w:ind w:left="2268" w:hanging="1134"/>
      </w:pPr>
      <w:r w:rsidRPr="007C6DC9">
        <w:t>3</w:t>
      </w:r>
      <w:r w:rsidR="00E60533" w:rsidRPr="00E60533">
        <w:t>.</w:t>
      </w:r>
      <w:r w:rsidRPr="007C6DC9">
        <w:t>2</w:t>
      </w:r>
      <w:r w:rsidR="00E60533" w:rsidRPr="00E60533">
        <w:t>.</w:t>
      </w:r>
      <w:r w:rsidRPr="007C6DC9">
        <w:t>4</w:t>
      </w:r>
      <w:r w:rsidR="00E60533" w:rsidRPr="00E60533">
        <w:t>.</w:t>
      </w:r>
      <w:r w:rsidRPr="007C6DC9">
        <w:t>1</w:t>
      </w:r>
      <w:r w:rsidRPr="007C6DC9">
        <w:tab/>
        <w:t>Une description détaillée du type de véhicule en ce qui concerne la construction des sièges, de leurs ancrages et de leurs systèmes de réglage et de verrouillage ;</w:t>
      </w:r>
    </w:p>
    <w:p w14:paraId="30E64E1A" w14:textId="4481AFF2" w:rsidR="002A47A6" w:rsidRPr="007C6DC9" w:rsidRDefault="002A47A6" w:rsidP="002A47A6">
      <w:pPr>
        <w:pStyle w:val="SingleTxtG"/>
        <w:ind w:left="2268" w:hanging="1134"/>
      </w:pPr>
      <w:r w:rsidRPr="007C6DC9">
        <w:t>3</w:t>
      </w:r>
      <w:r w:rsidR="00E60533" w:rsidRPr="00E60533">
        <w:t>.</w:t>
      </w:r>
      <w:r w:rsidRPr="007C6DC9">
        <w:t>2</w:t>
      </w:r>
      <w:r w:rsidR="00E60533" w:rsidRPr="00E60533">
        <w:t>.</w:t>
      </w:r>
      <w:r w:rsidRPr="007C6DC9">
        <w:t>4</w:t>
      </w:r>
      <w:r w:rsidR="00E60533" w:rsidRPr="00E60533">
        <w:t>.</w:t>
      </w:r>
      <w:r w:rsidRPr="007C6DC9">
        <w:t>2</w:t>
      </w:r>
      <w:r w:rsidRPr="007C6DC9">
        <w:tab/>
        <w:t>Des dessins des sièges, de leur ancrage sur le véhicule et de leurs systèmes de réglage et de verrouillage, à une échelle appropriée et suffisamment détaillés ;</w:t>
      </w:r>
    </w:p>
    <w:p w14:paraId="0E4F0A20" w14:textId="70DB3F0B" w:rsidR="002A47A6" w:rsidRDefault="002A47A6" w:rsidP="002A47A6">
      <w:pPr>
        <w:pStyle w:val="SingleTxtG"/>
        <w:ind w:left="2268" w:hanging="1134"/>
      </w:pPr>
      <w:r w:rsidRPr="007C6DC9">
        <w:t>3</w:t>
      </w:r>
      <w:r w:rsidR="00E60533" w:rsidRPr="00E60533">
        <w:t>.</w:t>
      </w:r>
      <w:r w:rsidRPr="007C6DC9">
        <w:t>3</w:t>
      </w:r>
      <w:r w:rsidRPr="007C6DC9">
        <w:tab/>
        <w:t>Il doit être présenté au service technique chargé des essais d</w:t>
      </w:r>
      <w:r>
        <w:t>’</w:t>
      </w:r>
      <w:r w:rsidRPr="007C6DC9">
        <w:t xml:space="preserve">homologation, au gré du constructeur, soit un véhicule représentatif du type de véhicule à homologuer, soit les parties du véhicule considérées comme essentielles pour les essais </w:t>
      </w:r>
      <w:r w:rsidRPr="007656F8">
        <w:t>des systèmes d</w:t>
      </w:r>
      <w:r>
        <w:t>’</w:t>
      </w:r>
      <w:r w:rsidRPr="007656F8">
        <w:t xml:space="preserve">ancrages ISOFIX et des ancrages pour fixation supérieure ISOFIX </w:t>
      </w:r>
      <w:r w:rsidRPr="008D6EB5">
        <w:t>ou des ancrages pour fixation inférieure</w:t>
      </w:r>
      <w:r w:rsidRPr="007656F8">
        <w:t xml:space="preserve"> (le cas échéant), et, s</w:t>
      </w:r>
      <w:r>
        <w:t>’</w:t>
      </w:r>
      <w:r w:rsidRPr="007656F8">
        <w:t xml:space="preserve">il existe des positions i-Size </w:t>
      </w:r>
      <w:r w:rsidRPr="008D6EB5">
        <w:t>ou s</w:t>
      </w:r>
      <w:r>
        <w:t>’</w:t>
      </w:r>
      <w:r w:rsidRPr="008D6EB5">
        <w:t>il est prévu d</w:t>
      </w:r>
      <w:r>
        <w:t>’</w:t>
      </w:r>
      <w:r w:rsidRPr="008D6EB5">
        <w:t>utiliser une jambe de force avec une place assise ni ISOFIX ni i-Size</w:t>
      </w:r>
      <w:r w:rsidRPr="007656F8">
        <w:t>, pour l</w:t>
      </w:r>
      <w:r>
        <w:t>’</w:t>
      </w:r>
      <w:r w:rsidRPr="007656F8">
        <w:t>essai relatif à la</w:t>
      </w:r>
      <w:r w:rsidRPr="007C6DC9">
        <w:t xml:space="preserve"> surface de contact avec le plancher du véhicule</w:t>
      </w:r>
      <w:r w:rsidR="00E60533" w:rsidRPr="00E60533">
        <w:t>.</w:t>
      </w:r>
      <w:r w:rsidRPr="007C6DC9">
        <w:t> »</w:t>
      </w:r>
      <w:r w:rsidR="00E60533" w:rsidRPr="00E60533">
        <w:t>.</w:t>
      </w:r>
    </w:p>
    <w:p w14:paraId="141E867C" w14:textId="378C7FE2" w:rsidR="002A47A6" w:rsidRDefault="002A47A6" w:rsidP="002A47A6">
      <w:pPr>
        <w:pStyle w:val="SingleTxtG"/>
        <w:ind w:left="2268" w:hanging="1134"/>
      </w:pPr>
      <w:r w:rsidRPr="008D6EB5">
        <w:rPr>
          <w:i/>
          <w:iCs/>
        </w:rPr>
        <w:t>Paragraphe 5</w:t>
      </w:r>
      <w:r w:rsidR="00E60533" w:rsidRPr="00E60533">
        <w:rPr>
          <w:i/>
          <w:iCs/>
        </w:rPr>
        <w:t>.</w:t>
      </w:r>
      <w:r w:rsidRPr="008D6EB5">
        <w:rPr>
          <w:i/>
          <w:iCs/>
        </w:rPr>
        <w:t>3</w:t>
      </w:r>
      <w:r w:rsidR="00E60533" w:rsidRPr="00E60533">
        <w:rPr>
          <w:i/>
          <w:iCs/>
        </w:rPr>
        <w:t>.</w:t>
      </w:r>
      <w:r w:rsidRPr="008D6EB5">
        <w:rPr>
          <w:i/>
          <w:iCs/>
        </w:rPr>
        <w:t>6</w:t>
      </w:r>
      <w:r>
        <w:t>, lire :</w:t>
      </w:r>
    </w:p>
    <w:p w14:paraId="7219FFD0" w14:textId="32C990D2" w:rsidR="002A47A6" w:rsidRPr="007C6DC9" w:rsidRDefault="002A47A6" w:rsidP="002A47A6">
      <w:pPr>
        <w:pStyle w:val="SingleTxtG"/>
        <w:ind w:left="2268" w:hanging="1134"/>
      </w:pPr>
      <w:r w:rsidRPr="00026EA3">
        <w:t>«</w:t>
      </w:r>
      <w:r>
        <w:rPr>
          <w:i/>
          <w:iCs/>
        </w:rPr>
        <w:t> 5</w:t>
      </w:r>
      <w:r w:rsidR="00E60533" w:rsidRPr="00E60533">
        <w:rPr>
          <w:i/>
          <w:iCs/>
        </w:rPr>
        <w:t>.</w:t>
      </w:r>
      <w:r>
        <w:rPr>
          <w:i/>
          <w:iCs/>
        </w:rPr>
        <w:t>3</w:t>
      </w:r>
      <w:r w:rsidR="00E60533" w:rsidRPr="00E60533">
        <w:rPr>
          <w:i/>
          <w:iCs/>
        </w:rPr>
        <w:t>.</w:t>
      </w:r>
      <w:r>
        <w:rPr>
          <w:i/>
          <w:iCs/>
        </w:rPr>
        <w:t>6</w:t>
      </w:r>
      <w:r>
        <w:rPr>
          <w:i/>
          <w:iCs/>
        </w:rPr>
        <w:tab/>
      </w:r>
      <w:r w:rsidRPr="008D6EB5">
        <w:t>Nonobstant les dispositions du paragraphe 5</w:t>
      </w:r>
      <w:r w:rsidR="00E60533" w:rsidRPr="00E60533">
        <w:t>.</w:t>
      </w:r>
      <w:r w:rsidRPr="008D6EB5">
        <w:t>3</w:t>
      </w:r>
      <w:r w:rsidR="00E60533" w:rsidRPr="00E60533">
        <w:t>.</w:t>
      </w:r>
      <w:r w:rsidRPr="008D6EB5">
        <w:t>1, dans le cas des dispositifs de retenue pour enfants intégrés, le nombre minimum exigé de positions ISOFIX sera de deux, moins le nombre de dispositifs de retenue pour enfants intégrés de groupe de masse 0, ou 0+, ou 1, ou le nombre de systèmes améliorés de retenue pour enfants intégrés spécifiques au véhicule destinés aux enfants mesurant jusqu</w:t>
      </w:r>
      <w:r>
        <w:t>’</w:t>
      </w:r>
      <w:r w:rsidRPr="008D6EB5">
        <w:t>à 105 cm</w:t>
      </w:r>
      <w:r w:rsidR="00E60533" w:rsidRPr="00E60533">
        <w:t>.</w:t>
      </w:r>
      <w:r>
        <w:t> »</w:t>
      </w:r>
      <w:r w:rsidR="00E60533" w:rsidRPr="00E60533">
        <w:t>.</w:t>
      </w:r>
    </w:p>
    <w:p w14:paraId="6A77B450" w14:textId="14E5E554" w:rsidR="002A47A6" w:rsidRPr="007C6DC9" w:rsidRDefault="002A47A6" w:rsidP="002A47A6">
      <w:pPr>
        <w:pStyle w:val="SingleTxtG"/>
        <w:rPr>
          <w:lang w:val="fr-FR"/>
        </w:rPr>
      </w:pPr>
      <w:r w:rsidRPr="007C6DC9">
        <w:rPr>
          <w:i/>
          <w:iCs/>
          <w:lang w:val="fr-FR"/>
        </w:rPr>
        <w:t>Ajouter les nouveaux paragraphes 5</w:t>
      </w:r>
      <w:r w:rsidR="00E60533" w:rsidRPr="00E60533">
        <w:rPr>
          <w:i/>
          <w:iCs/>
          <w:lang w:val="fr-FR"/>
        </w:rPr>
        <w:t>.</w:t>
      </w:r>
      <w:r w:rsidRPr="007C6DC9">
        <w:rPr>
          <w:i/>
          <w:iCs/>
          <w:lang w:val="fr-FR"/>
        </w:rPr>
        <w:t>4 à 5</w:t>
      </w:r>
      <w:r w:rsidR="00E60533" w:rsidRPr="00E60533">
        <w:rPr>
          <w:i/>
          <w:iCs/>
          <w:lang w:val="fr-FR"/>
        </w:rPr>
        <w:t>.</w:t>
      </w:r>
      <w:r w:rsidRPr="007C6DC9">
        <w:rPr>
          <w:i/>
          <w:iCs/>
          <w:lang w:val="fr-FR"/>
        </w:rPr>
        <w:t>4</w:t>
      </w:r>
      <w:r w:rsidR="00E60533" w:rsidRPr="00E60533">
        <w:rPr>
          <w:i/>
          <w:iCs/>
          <w:lang w:val="fr-FR"/>
        </w:rPr>
        <w:t>.</w:t>
      </w:r>
      <w:r w:rsidRPr="007C6DC9">
        <w:rPr>
          <w:i/>
          <w:iCs/>
          <w:lang w:val="fr-FR"/>
        </w:rPr>
        <w:t>3</w:t>
      </w:r>
      <w:r w:rsidR="00E60533" w:rsidRPr="00E60533">
        <w:rPr>
          <w:i/>
          <w:iCs/>
          <w:lang w:val="fr-FR"/>
        </w:rPr>
        <w:t>.</w:t>
      </w:r>
      <w:r w:rsidRPr="007C6DC9">
        <w:rPr>
          <w:i/>
          <w:iCs/>
          <w:lang w:val="fr-FR"/>
        </w:rPr>
        <w:t>3</w:t>
      </w:r>
      <w:r w:rsidRPr="007C6DC9">
        <w:rPr>
          <w:lang w:val="fr-FR"/>
        </w:rPr>
        <w:t>, libellés comme suit :</w:t>
      </w:r>
    </w:p>
    <w:p w14:paraId="0D4D54AE" w14:textId="32CFC82E" w:rsidR="002A47A6" w:rsidRPr="008D6EB5" w:rsidRDefault="002A47A6" w:rsidP="002A47A6">
      <w:pPr>
        <w:pStyle w:val="SingleTxtG"/>
        <w:ind w:left="2268" w:hanging="1134"/>
        <w:rPr>
          <w:lang w:val="fr-FR"/>
        </w:rPr>
      </w:pPr>
      <w:r w:rsidRPr="007656F8">
        <w:rPr>
          <w:lang w:val="fr-FR"/>
        </w:rPr>
        <w:t>« </w:t>
      </w:r>
      <w:r w:rsidRPr="008D6EB5">
        <w:rPr>
          <w:lang w:val="fr-FR"/>
        </w:rPr>
        <w:t>5</w:t>
      </w:r>
      <w:r w:rsidR="00E60533" w:rsidRPr="00E60533">
        <w:rPr>
          <w:lang w:val="fr-FR"/>
        </w:rPr>
        <w:t>.</w:t>
      </w:r>
      <w:r w:rsidRPr="008D6EB5">
        <w:rPr>
          <w:lang w:val="fr-FR"/>
        </w:rPr>
        <w:t>4</w:t>
      </w:r>
      <w:r w:rsidRPr="007656F8">
        <w:rPr>
          <w:lang w:val="fr-FR"/>
        </w:rPr>
        <w:tab/>
      </w:r>
      <w:r w:rsidRPr="008D6EB5">
        <w:rPr>
          <w:lang w:val="fr-FR"/>
        </w:rPr>
        <w:t>Ancrages pour fixation inférieure</w:t>
      </w:r>
    </w:p>
    <w:p w14:paraId="6AB65519" w14:textId="589D22A3"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1</w:t>
      </w:r>
      <w:r w:rsidRPr="007656F8">
        <w:rPr>
          <w:lang w:val="fr-FR"/>
        </w:rPr>
        <w:tab/>
      </w:r>
      <w:r w:rsidRPr="008D6EB5">
        <w:rPr>
          <w:lang w:val="fr-FR"/>
        </w:rPr>
        <w:t>Applicabilité</w:t>
      </w:r>
    </w:p>
    <w:p w14:paraId="6FEBA1A1" w14:textId="2758389C"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1</w:t>
      </w:r>
      <w:r w:rsidR="00E60533" w:rsidRPr="00E60533">
        <w:rPr>
          <w:lang w:val="fr-FR"/>
        </w:rPr>
        <w:t>.</w:t>
      </w:r>
      <w:r w:rsidRPr="008D6EB5">
        <w:rPr>
          <w:lang w:val="fr-FR"/>
        </w:rPr>
        <w:t>1</w:t>
      </w:r>
      <w:r w:rsidRPr="007656F8">
        <w:rPr>
          <w:lang w:val="fr-FR"/>
        </w:rPr>
        <w:tab/>
      </w:r>
      <w:r w:rsidRPr="008D6EB5">
        <w:rPr>
          <w:lang w:val="fr-FR"/>
        </w:rPr>
        <w:t>Un type de véhicule peut être équipé d</w:t>
      </w:r>
      <w:r>
        <w:rPr>
          <w:lang w:val="fr-FR"/>
        </w:rPr>
        <w:t>’</w:t>
      </w:r>
      <w:r w:rsidRPr="008D6EB5">
        <w:rPr>
          <w:lang w:val="fr-FR"/>
        </w:rPr>
        <w:t>ancrages pour fixation inférieure satisfaisant aux prescriptions du présent Règlement</w:t>
      </w:r>
      <w:r w:rsidR="00E60533" w:rsidRPr="00E60533">
        <w:rPr>
          <w:lang w:val="fr-FR"/>
        </w:rPr>
        <w:t>.</w:t>
      </w:r>
    </w:p>
    <w:p w14:paraId="3DA49FDD" w14:textId="45F172AC" w:rsidR="002A47A6" w:rsidRPr="008D6EB5" w:rsidRDefault="002A47A6" w:rsidP="002A47A6">
      <w:pPr>
        <w:pStyle w:val="SingleTxtG"/>
        <w:ind w:left="2268" w:hanging="1134"/>
        <w:rPr>
          <w:lang w:val="fr-FR"/>
        </w:rPr>
      </w:pPr>
      <w:r w:rsidRPr="008D6EB5">
        <w:rPr>
          <w:lang w:val="fr-FR"/>
        </w:rPr>
        <w:lastRenderedPageBreak/>
        <w:t>5</w:t>
      </w:r>
      <w:r w:rsidR="00E60533" w:rsidRPr="00E60533">
        <w:rPr>
          <w:lang w:val="fr-FR"/>
        </w:rPr>
        <w:t>.</w:t>
      </w:r>
      <w:r w:rsidRPr="008D6EB5">
        <w:rPr>
          <w:lang w:val="fr-FR"/>
        </w:rPr>
        <w:t>4</w:t>
      </w:r>
      <w:r w:rsidR="00E60533" w:rsidRPr="00E60533">
        <w:rPr>
          <w:lang w:val="fr-FR"/>
        </w:rPr>
        <w:t>.</w:t>
      </w:r>
      <w:r w:rsidRPr="008D6EB5">
        <w:rPr>
          <w:lang w:val="fr-FR"/>
        </w:rPr>
        <w:t>1</w:t>
      </w:r>
      <w:r w:rsidR="00E60533" w:rsidRPr="00E60533">
        <w:rPr>
          <w:lang w:val="fr-FR"/>
        </w:rPr>
        <w:t>.</w:t>
      </w:r>
      <w:r w:rsidRPr="008D6EB5">
        <w:rPr>
          <w:lang w:val="fr-FR"/>
        </w:rPr>
        <w:t>2</w:t>
      </w:r>
      <w:r w:rsidRPr="007656F8">
        <w:rPr>
          <w:lang w:val="fr-FR"/>
        </w:rPr>
        <w:tab/>
      </w:r>
      <w:r w:rsidRPr="008D6EB5">
        <w:rPr>
          <w:lang w:val="fr-FR"/>
        </w:rPr>
        <w:t>Un type de véhicule peut être homologué sans les pattes de fixation inférieure fournies ou installées par le constructeur du véhicule, auquel cas les ancrages pour fixation inférieure spécifiés par le constructeur du véhicule doivent être homologués pour être utilisés avec des pattes de fixation inférieure génériques conformes aux spécifications du Règlement ONU n</w:t>
      </w:r>
      <w:r w:rsidRPr="008D6EB5">
        <w:rPr>
          <w:vertAlign w:val="superscript"/>
          <w:lang w:val="fr-FR"/>
        </w:rPr>
        <w:t>o</w:t>
      </w:r>
      <w:r w:rsidRPr="008D6EB5">
        <w:rPr>
          <w:lang w:val="fr-FR"/>
        </w:rPr>
        <w:t> 129</w:t>
      </w:r>
      <w:r w:rsidR="00E60533" w:rsidRPr="00E60533">
        <w:rPr>
          <w:lang w:val="fr-FR"/>
        </w:rPr>
        <w:t>.</w:t>
      </w:r>
      <w:r w:rsidRPr="007656F8">
        <w:rPr>
          <w:lang w:val="fr-FR"/>
        </w:rPr>
        <w:t xml:space="preserve"> </w:t>
      </w:r>
    </w:p>
    <w:p w14:paraId="6F95BD38" w14:textId="2689612E" w:rsidR="002A47A6" w:rsidRPr="008D6EB5" w:rsidRDefault="002A47A6" w:rsidP="002A47A6">
      <w:pPr>
        <w:pStyle w:val="SingleTxtG"/>
        <w:keepNext/>
        <w:keepLines/>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Pr="007656F8">
        <w:rPr>
          <w:lang w:val="fr-FR"/>
        </w:rPr>
        <w:tab/>
      </w:r>
      <w:r w:rsidRPr="008D6EB5">
        <w:rPr>
          <w:lang w:val="fr-FR"/>
        </w:rPr>
        <w:t>Nombre et emplacement</w:t>
      </w:r>
    </w:p>
    <w:p w14:paraId="5E8908AD" w14:textId="25DBB7D7" w:rsidR="002A47A6" w:rsidRPr="008D6EB5" w:rsidRDefault="002A47A6" w:rsidP="002A47A6">
      <w:pPr>
        <w:pStyle w:val="SingleTxtG"/>
        <w:keepNext/>
        <w:keepLines/>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1</w:t>
      </w:r>
      <w:r w:rsidRPr="007656F8">
        <w:rPr>
          <w:lang w:val="fr-FR"/>
        </w:rPr>
        <w:tab/>
      </w:r>
      <w:r w:rsidRPr="008D6EB5">
        <w:rPr>
          <w:lang w:val="fr-FR"/>
        </w:rPr>
        <w:t xml:space="preserve">Chaque place pour </w:t>
      </w:r>
      <w:r>
        <w:rPr>
          <w:lang w:val="fr-FR"/>
        </w:rPr>
        <w:t>système (amélioré)</w:t>
      </w:r>
      <w:r w:rsidRPr="008D6EB5">
        <w:rPr>
          <w:lang w:val="fr-FR"/>
        </w:rPr>
        <w:t xml:space="preserve"> de retenue pour enfants peut être équipée d</w:t>
      </w:r>
      <w:r>
        <w:rPr>
          <w:lang w:val="fr-FR"/>
        </w:rPr>
        <w:t>’</w:t>
      </w:r>
      <w:r w:rsidRPr="008D6EB5">
        <w:rPr>
          <w:lang w:val="fr-FR"/>
        </w:rPr>
        <w:t>un ou de deux ancrages pour fixation inférieure, situés dans les zones indiquées dans les figures</w:t>
      </w:r>
      <w:r w:rsidR="00A17937">
        <w:rPr>
          <w:lang w:val="fr-FR"/>
        </w:rPr>
        <w:t> </w:t>
      </w:r>
      <w:r w:rsidRPr="008D6EB5">
        <w:rPr>
          <w:lang w:val="fr-FR"/>
        </w:rPr>
        <w:t>1 à 3 de l</w:t>
      </w:r>
      <w:r>
        <w:rPr>
          <w:lang w:val="fr-FR"/>
        </w:rPr>
        <w:t>’</w:t>
      </w:r>
      <w:r w:rsidRPr="008D6EB5">
        <w:rPr>
          <w:lang w:val="fr-FR"/>
        </w:rPr>
        <w:t>annexe 6, conformément aux spécifications ci-après</w:t>
      </w:r>
      <w:r w:rsidR="00E60533" w:rsidRPr="00E60533">
        <w:rPr>
          <w:lang w:val="fr-FR"/>
        </w:rPr>
        <w:t>.</w:t>
      </w:r>
    </w:p>
    <w:p w14:paraId="4A1EAE16" w14:textId="53944929"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1</w:t>
      </w:r>
      <w:r w:rsidR="00E60533" w:rsidRPr="00E60533">
        <w:rPr>
          <w:lang w:val="fr-FR"/>
        </w:rPr>
        <w:t>.</w:t>
      </w:r>
      <w:r w:rsidRPr="008D6EB5">
        <w:rPr>
          <w:lang w:val="fr-FR"/>
        </w:rPr>
        <w:t>1</w:t>
      </w:r>
      <w:r w:rsidRPr="007656F8">
        <w:rPr>
          <w:lang w:val="fr-FR"/>
        </w:rPr>
        <w:tab/>
      </w:r>
      <w:r w:rsidRPr="008D6EB5">
        <w:rPr>
          <w:lang w:val="fr-FR"/>
        </w:rPr>
        <w:t>Dans le cas des positions ISOFIX, on obtient un point de référence pour les mesures en installant le gabarit ISO/R2 sur le siège du véhicule conformément au Règlement ONU n</w:t>
      </w:r>
      <w:r w:rsidRPr="008D6EB5">
        <w:rPr>
          <w:vertAlign w:val="superscript"/>
          <w:lang w:val="fr-FR"/>
        </w:rPr>
        <w:t>o</w:t>
      </w:r>
      <w:r w:rsidRPr="008D6EB5">
        <w:rPr>
          <w:lang w:val="fr-FR"/>
        </w:rPr>
        <w:t> 16</w:t>
      </w:r>
      <w:r w:rsidR="00E60533" w:rsidRPr="00E60533">
        <w:rPr>
          <w:lang w:val="fr-FR"/>
        </w:rPr>
        <w:t>.</w:t>
      </w:r>
      <w:r w:rsidRPr="007656F8">
        <w:rPr>
          <w:lang w:val="fr-FR"/>
        </w:rPr>
        <w:t xml:space="preserve"> </w:t>
      </w:r>
      <w:r w:rsidRPr="008D6EB5">
        <w:rPr>
          <w:lang w:val="fr-FR"/>
        </w:rPr>
        <w:t>Si le siège est réglable, il doit être reculé au maximum</w:t>
      </w:r>
      <w:r w:rsidR="00E60533" w:rsidRPr="00E60533">
        <w:rPr>
          <w:lang w:val="fr-FR"/>
        </w:rPr>
        <w:t>.</w:t>
      </w:r>
    </w:p>
    <w:p w14:paraId="160968A6" w14:textId="321DEEC3"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1</w:t>
      </w:r>
      <w:r w:rsidR="00E60533" w:rsidRPr="00E60533">
        <w:rPr>
          <w:lang w:val="fr-FR"/>
        </w:rPr>
        <w:t>.</w:t>
      </w:r>
      <w:r w:rsidRPr="008D6EB5">
        <w:rPr>
          <w:lang w:val="fr-FR"/>
        </w:rPr>
        <w:t>2</w:t>
      </w:r>
      <w:r w:rsidRPr="007656F8">
        <w:rPr>
          <w:lang w:val="fr-FR"/>
        </w:rPr>
        <w:tab/>
      </w:r>
      <w:r w:rsidRPr="008D6EB5">
        <w:rPr>
          <w:lang w:val="fr-FR"/>
        </w:rPr>
        <w:t>Dans le cas des positions non ISOFIX, on obtient le point de référence pour les mesures en installant le gabarit ISO/R2 sur le siège du véhicule selon la procédure de positionnement de l</w:t>
      </w:r>
      <w:r>
        <w:rPr>
          <w:lang w:val="fr-FR"/>
        </w:rPr>
        <w:t>’</w:t>
      </w:r>
      <w:r w:rsidRPr="008D6EB5">
        <w:rPr>
          <w:lang w:val="fr-FR"/>
        </w:rPr>
        <w:t>enveloppe décrite à l</w:t>
      </w:r>
      <w:r>
        <w:rPr>
          <w:lang w:val="fr-FR"/>
        </w:rPr>
        <w:t>’</w:t>
      </w:r>
      <w:r w:rsidRPr="008D6EB5">
        <w:rPr>
          <w:lang w:val="fr-FR"/>
        </w:rPr>
        <w:t>annexe 7</w:t>
      </w:r>
      <w:r w:rsidR="00E60533" w:rsidRPr="00E60533">
        <w:rPr>
          <w:lang w:val="fr-FR"/>
        </w:rPr>
        <w:t>.</w:t>
      </w:r>
      <w:r w:rsidRPr="007656F8">
        <w:rPr>
          <w:lang w:val="fr-FR"/>
        </w:rPr>
        <w:t xml:space="preserve"> </w:t>
      </w:r>
      <w:r w:rsidRPr="008D6EB5">
        <w:rPr>
          <w:lang w:val="fr-FR"/>
        </w:rPr>
        <w:t>Si le siège est réglable, il doit être reculé au maximum</w:t>
      </w:r>
      <w:r w:rsidR="00E60533" w:rsidRPr="00E60533">
        <w:rPr>
          <w:lang w:val="fr-FR"/>
        </w:rPr>
        <w:t>.</w:t>
      </w:r>
    </w:p>
    <w:p w14:paraId="020055F1" w14:textId="6F2BC994"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1</w:t>
      </w:r>
      <w:r w:rsidR="00E60533" w:rsidRPr="00E60533">
        <w:rPr>
          <w:lang w:val="fr-FR"/>
        </w:rPr>
        <w:t>.</w:t>
      </w:r>
      <w:r w:rsidRPr="008D6EB5">
        <w:rPr>
          <w:lang w:val="fr-FR"/>
        </w:rPr>
        <w:t>3</w:t>
      </w:r>
      <w:r w:rsidRPr="007656F8">
        <w:rPr>
          <w:lang w:val="fr-FR"/>
        </w:rPr>
        <w:tab/>
      </w:r>
      <w:r w:rsidRPr="008D6EB5">
        <w:rPr>
          <w:lang w:val="fr-FR"/>
        </w:rPr>
        <w:t>Si on choisit d</w:t>
      </w:r>
      <w:r>
        <w:rPr>
          <w:lang w:val="fr-FR"/>
        </w:rPr>
        <w:t>’</w:t>
      </w:r>
      <w:r w:rsidRPr="008D6EB5">
        <w:rPr>
          <w:lang w:val="fr-FR"/>
        </w:rPr>
        <w:t>équiper une place pour dispositif de retenue pour enfants de deux ancrages pour fixation inférieure, ceux-ci ne doivent pas nécessairement être placés de façon symétrique par rapport</w:t>
      </w:r>
      <w:r w:rsidR="00551073">
        <w:rPr>
          <w:lang w:val="fr-FR"/>
        </w:rPr>
        <w:t xml:space="preserve"> </w:t>
      </w:r>
      <w:r w:rsidRPr="008D6EB5">
        <w:rPr>
          <w:lang w:val="fr-FR"/>
        </w:rPr>
        <w:t>à l</w:t>
      </w:r>
      <w:r>
        <w:rPr>
          <w:lang w:val="fr-FR"/>
        </w:rPr>
        <w:t>’</w:t>
      </w:r>
      <w:r w:rsidRPr="008D6EB5">
        <w:rPr>
          <w:lang w:val="fr-FR"/>
        </w:rPr>
        <w:t>axe longitudinal du gabarit</w:t>
      </w:r>
      <w:r w:rsidR="00E60533" w:rsidRPr="00E60533">
        <w:rPr>
          <w:lang w:val="fr-FR"/>
        </w:rPr>
        <w:t>.</w:t>
      </w:r>
      <w:r w:rsidRPr="007656F8">
        <w:rPr>
          <w:lang w:val="fr-FR"/>
        </w:rPr>
        <w:t xml:space="preserve"> </w:t>
      </w:r>
      <w:r w:rsidRPr="008D6EB5">
        <w:rPr>
          <w:lang w:val="fr-FR"/>
        </w:rPr>
        <w:t>Néanmoins :</w:t>
      </w:r>
    </w:p>
    <w:p w14:paraId="61EDA36A" w14:textId="759FF90F"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1</w:t>
      </w:r>
      <w:r w:rsidR="00E60533" w:rsidRPr="00E60533">
        <w:rPr>
          <w:lang w:val="fr-FR"/>
        </w:rPr>
        <w:t>.</w:t>
      </w:r>
      <w:r w:rsidRPr="008D6EB5">
        <w:rPr>
          <w:lang w:val="fr-FR"/>
        </w:rPr>
        <w:t>3</w:t>
      </w:r>
      <w:r w:rsidR="00E60533" w:rsidRPr="00E60533">
        <w:rPr>
          <w:lang w:val="fr-FR"/>
        </w:rPr>
        <w:t>.</w:t>
      </w:r>
      <w:r w:rsidRPr="008D6EB5">
        <w:rPr>
          <w:lang w:val="fr-FR"/>
        </w:rPr>
        <w:t>1</w:t>
      </w:r>
      <w:r w:rsidRPr="007656F8">
        <w:rPr>
          <w:lang w:val="fr-FR"/>
        </w:rPr>
        <w:tab/>
      </w:r>
      <w:r w:rsidRPr="008D6EB5">
        <w:rPr>
          <w:lang w:val="fr-FR"/>
        </w:rPr>
        <w:t>Les ancrages ne doivent pas se situer du même côté de l</w:t>
      </w:r>
      <w:r>
        <w:rPr>
          <w:lang w:val="fr-FR"/>
        </w:rPr>
        <w:t>’</w:t>
      </w:r>
      <w:r w:rsidRPr="008D6EB5">
        <w:rPr>
          <w:lang w:val="fr-FR"/>
        </w:rPr>
        <w:t>axe longitudinal du gabarit ;</w:t>
      </w:r>
      <w:r w:rsidRPr="007656F8">
        <w:rPr>
          <w:lang w:val="fr-FR"/>
        </w:rPr>
        <w:t xml:space="preserve"> </w:t>
      </w:r>
    </w:p>
    <w:p w14:paraId="74A3016F" w14:textId="546D7B3E"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1</w:t>
      </w:r>
      <w:r w:rsidR="00E60533" w:rsidRPr="00E60533">
        <w:rPr>
          <w:lang w:val="fr-FR"/>
        </w:rPr>
        <w:t>.</w:t>
      </w:r>
      <w:r w:rsidRPr="008D6EB5">
        <w:rPr>
          <w:lang w:val="fr-FR"/>
        </w:rPr>
        <w:t>3</w:t>
      </w:r>
      <w:r w:rsidR="00E60533" w:rsidRPr="00E60533">
        <w:rPr>
          <w:lang w:val="fr-FR"/>
        </w:rPr>
        <w:t>.</w:t>
      </w:r>
      <w:r w:rsidRPr="008D6EB5">
        <w:rPr>
          <w:lang w:val="fr-FR"/>
        </w:rPr>
        <w:t>2</w:t>
      </w:r>
      <w:r w:rsidRPr="007656F8">
        <w:rPr>
          <w:lang w:val="fr-FR"/>
        </w:rPr>
        <w:tab/>
      </w:r>
      <w:r w:rsidRPr="008D6EB5">
        <w:rPr>
          <w:lang w:val="fr-FR"/>
        </w:rPr>
        <w:t>La distance entre l</w:t>
      </w:r>
      <w:r>
        <w:rPr>
          <w:lang w:val="fr-FR"/>
        </w:rPr>
        <w:t>’</w:t>
      </w:r>
      <w:r w:rsidRPr="008D6EB5">
        <w:rPr>
          <w:lang w:val="fr-FR"/>
        </w:rPr>
        <w:t>axe longitudinal des ancrages et celui du gabarit, mesuré perpendiculairement aux axes longitudinaux, ne doit pas dépasser 200 </w:t>
      </w:r>
      <w:proofErr w:type="spellStart"/>
      <w:r w:rsidRPr="008D6EB5">
        <w:rPr>
          <w:lang w:val="fr-FR"/>
        </w:rPr>
        <w:t>mm</w:t>
      </w:r>
      <w:r w:rsidR="00E60533" w:rsidRPr="00E60533">
        <w:rPr>
          <w:lang w:val="fr-FR"/>
        </w:rPr>
        <w:t>.</w:t>
      </w:r>
      <w:proofErr w:type="spellEnd"/>
    </w:p>
    <w:p w14:paraId="2C7AEDB2" w14:textId="05586BD9"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1</w:t>
      </w:r>
      <w:r w:rsidR="00E60533" w:rsidRPr="00E60533">
        <w:rPr>
          <w:lang w:val="fr-FR"/>
        </w:rPr>
        <w:t>.</w:t>
      </w:r>
      <w:r w:rsidRPr="008D6EB5">
        <w:rPr>
          <w:lang w:val="fr-FR"/>
        </w:rPr>
        <w:t>4</w:t>
      </w:r>
      <w:r w:rsidRPr="007656F8">
        <w:rPr>
          <w:lang w:val="fr-FR"/>
        </w:rPr>
        <w:tab/>
      </w:r>
      <w:r w:rsidRPr="008D6EB5">
        <w:rPr>
          <w:lang w:val="fr-FR"/>
        </w:rPr>
        <w:t>Si on choisit d</w:t>
      </w:r>
      <w:r>
        <w:rPr>
          <w:lang w:val="fr-FR"/>
        </w:rPr>
        <w:t>’</w:t>
      </w:r>
      <w:r w:rsidRPr="008D6EB5">
        <w:rPr>
          <w:lang w:val="fr-FR"/>
        </w:rPr>
        <w:t>équiper une place assise d</w:t>
      </w:r>
      <w:r>
        <w:rPr>
          <w:lang w:val="fr-FR"/>
        </w:rPr>
        <w:t>’</w:t>
      </w:r>
      <w:r w:rsidRPr="008D6EB5">
        <w:rPr>
          <w:lang w:val="fr-FR"/>
        </w:rPr>
        <w:t>un seul ancrage pour fixation inférieure, celui-ci doit être positionné à ±50 mm de l</w:t>
      </w:r>
      <w:r>
        <w:rPr>
          <w:lang w:val="fr-FR"/>
        </w:rPr>
        <w:t>’</w:t>
      </w:r>
      <w:r w:rsidRPr="008D6EB5">
        <w:rPr>
          <w:lang w:val="fr-FR"/>
        </w:rPr>
        <w:t>axe longitudinal du gabarit</w:t>
      </w:r>
      <w:r w:rsidR="00E60533" w:rsidRPr="00E60533">
        <w:rPr>
          <w:lang w:val="fr-FR"/>
        </w:rPr>
        <w:t>.</w:t>
      </w:r>
    </w:p>
    <w:p w14:paraId="02FD8E93" w14:textId="6156F2BA"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2</w:t>
      </w:r>
      <w:r w:rsidRPr="007656F8">
        <w:rPr>
          <w:lang w:val="fr-FR"/>
        </w:rPr>
        <w:tab/>
      </w:r>
      <w:r w:rsidRPr="008D6EB5">
        <w:rPr>
          <w:lang w:val="fr-FR"/>
        </w:rPr>
        <w:t>Les ancrages pour fixation inférieure peuvent être placés sous le plancher du véhicule, par exemple dans un compartiment de rangement situé sous le revêtement, si un tel emplacement peut être considéré comme acceptable du point de vue de l</w:t>
      </w:r>
      <w:r>
        <w:rPr>
          <w:lang w:val="fr-FR"/>
        </w:rPr>
        <w:t>’</w:t>
      </w:r>
      <w:r w:rsidRPr="008D6EB5">
        <w:rPr>
          <w:lang w:val="fr-FR"/>
        </w:rPr>
        <w:t>utilisabilité, en accord avec le service technique et l</w:t>
      </w:r>
      <w:r>
        <w:rPr>
          <w:lang w:val="fr-FR"/>
        </w:rPr>
        <w:t>’</w:t>
      </w:r>
      <w:r w:rsidRPr="008D6EB5">
        <w:rPr>
          <w:lang w:val="fr-FR"/>
        </w:rPr>
        <w:t>autorité d</w:t>
      </w:r>
      <w:r>
        <w:rPr>
          <w:lang w:val="fr-FR"/>
        </w:rPr>
        <w:t>’</w:t>
      </w:r>
      <w:r w:rsidRPr="008D6EB5">
        <w:rPr>
          <w:lang w:val="fr-FR"/>
        </w:rPr>
        <w:t>homologation de type</w:t>
      </w:r>
      <w:r w:rsidR="00E60533" w:rsidRPr="00E60533">
        <w:rPr>
          <w:lang w:val="fr-FR"/>
        </w:rPr>
        <w:t>.</w:t>
      </w:r>
    </w:p>
    <w:p w14:paraId="545346C3" w14:textId="517464F0"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3</w:t>
      </w:r>
      <w:r w:rsidRPr="007656F8">
        <w:rPr>
          <w:lang w:val="fr-FR"/>
        </w:rPr>
        <w:tab/>
      </w:r>
      <w:r w:rsidRPr="008D6EB5">
        <w:rPr>
          <w:lang w:val="fr-FR"/>
        </w:rPr>
        <w:t>Les ancrages pour fixation inférieure ne peuvent pas être placés dans la zone prévue pour une jambe de force, telle qu</w:t>
      </w:r>
      <w:r>
        <w:rPr>
          <w:lang w:val="fr-FR"/>
        </w:rPr>
        <w:t>’</w:t>
      </w:r>
      <w:r w:rsidRPr="008D6EB5">
        <w:rPr>
          <w:lang w:val="fr-FR"/>
        </w:rPr>
        <w:t>elle est définie aux paragraphes</w:t>
      </w:r>
      <w:r w:rsidR="00043A8D">
        <w:rPr>
          <w:lang w:val="fr-FR"/>
        </w:rPr>
        <w:t> </w:t>
      </w:r>
      <w:r w:rsidRPr="008D6EB5">
        <w:rPr>
          <w:lang w:val="fr-FR"/>
        </w:rPr>
        <w:t>5</w:t>
      </w:r>
      <w:r w:rsidR="00E60533" w:rsidRPr="00E60533">
        <w:rPr>
          <w:lang w:val="fr-FR"/>
        </w:rPr>
        <w:t>.</w:t>
      </w:r>
      <w:r w:rsidRPr="008D6EB5">
        <w:rPr>
          <w:lang w:val="fr-FR"/>
        </w:rPr>
        <w:t>2</w:t>
      </w:r>
      <w:r w:rsidR="00E60533" w:rsidRPr="00E60533">
        <w:rPr>
          <w:lang w:val="fr-FR"/>
        </w:rPr>
        <w:t>.</w:t>
      </w:r>
      <w:r w:rsidRPr="008D6EB5">
        <w:rPr>
          <w:lang w:val="fr-FR"/>
        </w:rPr>
        <w:t>4</w:t>
      </w:r>
      <w:r w:rsidR="00E60533" w:rsidRPr="00E60533">
        <w:rPr>
          <w:lang w:val="fr-FR"/>
        </w:rPr>
        <w:t>.</w:t>
      </w:r>
      <w:r w:rsidRPr="008D6EB5">
        <w:rPr>
          <w:lang w:val="fr-FR"/>
        </w:rPr>
        <w:t>2 et 5</w:t>
      </w:r>
      <w:r w:rsidR="00E60533" w:rsidRPr="00E60533">
        <w:rPr>
          <w:lang w:val="fr-FR"/>
        </w:rPr>
        <w:t>.</w:t>
      </w:r>
      <w:r w:rsidRPr="008D6EB5">
        <w:rPr>
          <w:lang w:val="fr-FR"/>
        </w:rPr>
        <w:t>2</w:t>
      </w:r>
      <w:r w:rsidR="00E60533" w:rsidRPr="00E60533">
        <w:rPr>
          <w:lang w:val="fr-FR"/>
        </w:rPr>
        <w:t>.</w:t>
      </w:r>
      <w:r w:rsidRPr="008D6EB5">
        <w:rPr>
          <w:lang w:val="fr-FR"/>
        </w:rPr>
        <w:t>4</w:t>
      </w:r>
      <w:r w:rsidR="00E60533" w:rsidRPr="00E60533">
        <w:rPr>
          <w:lang w:val="fr-FR"/>
        </w:rPr>
        <w:t>.</w:t>
      </w:r>
      <w:r w:rsidRPr="008D6EB5">
        <w:rPr>
          <w:lang w:val="fr-FR"/>
        </w:rPr>
        <w:t>4 (le volume imparti au socle de la jambe de force)</w:t>
      </w:r>
      <w:r w:rsidR="00E60533" w:rsidRPr="00E60533">
        <w:rPr>
          <w:lang w:val="fr-FR"/>
        </w:rPr>
        <w:t>.</w:t>
      </w:r>
    </w:p>
    <w:p w14:paraId="19CE8AE0" w14:textId="4AC3DEE5"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2</w:t>
      </w:r>
      <w:r w:rsidR="00E60533" w:rsidRPr="00E60533">
        <w:rPr>
          <w:lang w:val="fr-FR"/>
        </w:rPr>
        <w:t>.</w:t>
      </w:r>
      <w:r w:rsidRPr="008D6EB5">
        <w:rPr>
          <w:lang w:val="fr-FR"/>
        </w:rPr>
        <w:t>4</w:t>
      </w:r>
      <w:r w:rsidRPr="007656F8">
        <w:rPr>
          <w:lang w:val="fr-FR"/>
        </w:rPr>
        <w:tab/>
      </w:r>
      <w:r w:rsidRPr="008D6EB5">
        <w:rPr>
          <w:lang w:val="fr-FR"/>
        </w:rPr>
        <w:t>Il est autorisé de modifier le passage de la sangle de fixation inférieure, mais en veillant à ce que cela n</w:t>
      </w:r>
      <w:r>
        <w:rPr>
          <w:lang w:val="fr-FR"/>
        </w:rPr>
        <w:t>’</w:t>
      </w:r>
      <w:r w:rsidRPr="008D6EB5">
        <w:rPr>
          <w:lang w:val="fr-FR"/>
        </w:rPr>
        <w:t>entrave pas le fonctionnement des fixations inférieures ni n</w:t>
      </w:r>
      <w:r>
        <w:rPr>
          <w:lang w:val="fr-FR"/>
        </w:rPr>
        <w:t>’</w:t>
      </w:r>
      <w:r w:rsidRPr="008D6EB5">
        <w:rPr>
          <w:lang w:val="fr-FR"/>
        </w:rPr>
        <w:t>abîme des parties fragiles de l</w:t>
      </w:r>
      <w:r>
        <w:rPr>
          <w:lang w:val="fr-FR"/>
        </w:rPr>
        <w:t>’</w:t>
      </w:r>
      <w:r w:rsidRPr="008D6EB5">
        <w:rPr>
          <w:lang w:val="fr-FR"/>
        </w:rPr>
        <w:t>intérieur du véhicule</w:t>
      </w:r>
      <w:r w:rsidR="00E60533" w:rsidRPr="00E60533">
        <w:rPr>
          <w:lang w:val="fr-FR"/>
        </w:rPr>
        <w:t>.</w:t>
      </w:r>
    </w:p>
    <w:p w14:paraId="23B26A4D" w14:textId="03B71DD9"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3</w:t>
      </w:r>
      <w:r w:rsidRPr="007656F8">
        <w:rPr>
          <w:lang w:val="fr-FR"/>
        </w:rPr>
        <w:tab/>
      </w:r>
      <w:r w:rsidRPr="008D6EB5">
        <w:rPr>
          <w:lang w:val="fr-FR"/>
        </w:rPr>
        <w:t>Conception</w:t>
      </w:r>
    </w:p>
    <w:p w14:paraId="0EA4C4EC" w14:textId="25CF1734"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3</w:t>
      </w:r>
      <w:r w:rsidR="00E60533" w:rsidRPr="00E60533">
        <w:rPr>
          <w:lang w:val="fr-FR"/>
        </w:rPr>
        <w:t>.</w:t>
      </w:r>
      <w:r w:rsidRPr="008D6EB5">
        <w:rPr>
          <w:lang w:val="fr-FR"/>
        </w:rPr>
        <w:t>1</w:t>
      </w:r>
      <w:r w:rsidRPr="007656F8">
        <w:rPr>
          <w:lang w:val="fr-FR"/>
        </w:rPr>
        <w:tab/>
      </w:r>
      <w:r w:rsidRPr="008D6EB5">
        <w:rPr>
          <w:lang w:val="fr-FR"/>
        </w:rPr>
        <w:t>La patte de fixation inférieure doit présenter une ouverture (carrée, ronde ou en demi-cercle) et</w:t>
      </w:r>
      <w:r w:rsidR="00551073">
        <w:rPr>
          <w:lang w:val="fr-FR"/>
        </w:rPr>
        <w:t xml:space="preserve"> </w:t>
      </w:r>
      <w:r w:rsidRPr="008D6EB5">
        <w:rPr>
          <w:lang w:val="fr-FR"/>
        </w:rPr>
        <w:t>un espace libre permettant de fixer un connecteur de fixation inférieure standard conforme à la figure 3 de l</w:t>
      </w:r>
      <w:r>
        <w:rPr>
          <w:lang w:val="fr-FR"/>
        </w:rPr>
        <w:t>’</w:t>
      </w:r>
      <w:r w:rsidRPr="008D6EB5">
        <w:rPr>
          <w:lang w:val="fr-FR"/>
        </w:rPr>
        <w:t>annexe 4</w:t>
      </w:r>
      <w:r w:rsidR="00E60533" w:rsidRPr="00E60533">
        <w:rPr>
          <w:lang w:val="fr-FR"/>
        </w:rPr>
        <w:t>.</w:t>
      </w:r>
    </w:p>
    <w:p w14:paraId="62234702" w14:textId="717D506F" w:rsidR="002A47A6" w:rsidRPr="008D6EB5" w:rsidRDefault="002A47A6" w:rsidP="002A47A6">
      <w:pPr>
        <w:pStyle w:val="SingleTxtG"/>
        <w:ind w:left="2268" w:hanging="1134"/>
        <w:rPr>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3</w:t>
      </w:r>
      <w:r w:rsidR="00E60533" w:rsidRPr="00E60533">
        <w:rPr>
          <w:lang w:val="fr-FR"/>
        </w:rPr>
        <w:t>.</w:t>
      </w:r>
      <w:r w:rsidRPr="008D6EB5">
        <w:rPr>
          <w:lang w:val="fr-FR"/>
        </w:rPr>
        <w:t>2</w:t>
      </w:r>
      <w:r w:rsidRPr="007656F8">
        <w:rPr>
          <w:lang w:val="fr-FR"/>
        </w:rPr>
        <w:tab/>
      </w:r>
      <w:r w:rsidRPr="008D6EB5">
        <w:rPr>
          <w:lang w:val="fr-FR"/>
        </w:rPr>
        <w:t>Dans le cas d</w:t>
      </w:r>
      <w:r>
        <w:rPr>
          <w:lang w:val="fr-FR"/>
        </w:rPr>
        <w:t>’</w:t>
      </w:r>
      <w:r w:rsidRPr="008D6EB5">
        <w:rPr>
          <w:lang w:val="fr-FR"/>
        </w:rPr>
        <w:t xml:space="preserve">un ancrage conçu pour être utilisé pour deux places pour </w:t>
      </w:r>
      <w:r>
        <w:rPr>
          <w:lang w:val="fr-FR"/>
        </w:rPr>
        <w:t>système (amélioré)</w:t>
      </w:r>
      <w:r w:rsidRPr="008D6EB5">
        <w:rPr>
          <w:lang w:val="fr-FR"/>
        </w:rPr>
        <w:t xml:space="preserve"> de retenue pour enfants adjacentes, l</w:t>
      </w:r>
      <w:r>
        <w:rPr>
          <w:lang w:val="fr-FR"/>
        </w:rPr>
        <w:t>’</w:t>
      </w:r>
      <w:r w:rsidRPr="008D6EB5">
        <w:rPr>
          <w:lang w:val="fr-FR"/>
        </w:rPr>
        <w:t>ouverture et l</w:t>
      </w:r>
      <w:r>
        <w:rPr>
          <w:lang w:val="fr-FR"/>
        </w:rPr>
        <w:t>’</w:t>
      </w:r>
      <w:r w:rsidRPr="008D6EB5">
        <w:rPr>
          <w:lang w:val="fr-FR"/>
        </w:rPr>
        <w:t>espace libre de la patte de fixation doivent permettre d</w:t>
      </w:r>
      <w:r>
        <w:rPr>
          <w:lang w:val="fr-FR"/>
        </w:rPr>
        <w:t>’</w:t>
      </w:r>
      <w:r w:rsidRPr="008D6EB5">
        <w:rPr>
          <w:lang w:val="fr-FR"/>
        </w:rPr>
        <w:t>accrocher simultanément deux connecteurs de fixation inférieure standards</w:t>
      </w:r>
      <w:r w:rsidR="00E60533" w:rsidRPr="00E60533">
        <w:rPr>
          <w:lang w:val="fr-FR"/>
        </w:rPr>
        <w:t>.</w:t>
      </w:r>
    </w:p>
    <w:p w14:paraId="7E67F72F" w14:textId="59BB253D" w:rsidR="002A47A6" w:rsidRPr="007C6DC9" w:rsidRDefault="002A47A6" w:rsidP="002A47A6">
      <w:pPr>
        <w:pStyle w:val="SingleTxtG"/>
        <w:ind w:left="2268" w:hanging="1134"/>
        <w:rPr>
          <w:b/>
          <w:lang w:val="fr-FR"/>
        </w:rPr>
      </w:pPr>
      <w:r w:rsidRPr="008D6EB5">
        <w:rPr>
          <w:lang w:val="fr-FR"/>
        </w:rPr>
        <w:t>5</w:t>
      </w:r>
      <w:r w:rsidR="00E60533" w:rsidRPr="00E60533">
        <w:rPr>
          <w:lang w:val="fr-FR"/>
        </w:rPr>
        <w:t>.</w:t>
      </w:r>
      <w:r w:rsidRPr="008D6EB5">
        <w:rPr>
          <w:lang w:val="fr-FR"/>
        </w:rPr>
        <w:t>4</w:t>
      </w:r>
      <w:r w:rsidR="00E60533" w:rsidRPr="00E60533">
        <w:rPr>
          <w:lang w:val="fr-FR"/>
        </w:rPr>
        <w:t>.</w:t>
      </w:r>
      <w:r w:rsidRPr="008D6EB5">
        <w:rPr>
          <w:lang w:val="fr-FR"/>
        </w:rPr>
        <w:t>3</w:t>
      </w:r>
      <w:r w:rsidR="00E60533" w:rsidRPr="00E60533">
        <w:rPr>
          <w:lang w:val="fr-FR"/>
        </w:rPr>
        <w:t>.</w:t>
      </w:r>
      <w:r w:rsidRPr="008D6EB5">
        <w:rPr>
          <w:lang w:val="fr-FR"/>
        </w:rPr>
        <w:t>3</w:t>
      </w:r>
      <w:r w:rsidRPr="007656F8">
        <w:rPr>
          <w:lang w:val="fr-FR"/>
        </w:rPr>
        <w:tab/>
      </w:r>
      <w:r w:rsidRPr="008D6EB5">
        <w:rPr>
          <w:lang w:val="fr-FR"/>
        </w:rPr>
        <w:t>L</w:t>
      </w:r>
      <w:r>
        <w:rPr>
          <w:lang w:val="fr-FR"/>
        </w:rPr>
        <w:t>’</w:t>
      </w:r>
      <w:r w:rsidRPr="008D6EB5">
        <w:rPr>
          <w:lang w:val="fr-FR"/>
        </w:rPr>
        <w:t>ancrage pour fixation inférieure doit être conçu de manière à éviter que les passagers ne se blessent accidentellement, par exemple avec le moins possible d</w:t>
      </w:r>
      <w:r>
        <w:rPr>
          <w:lang w:val="fr-FR"/>
        </w:rPr>
        <w:t>’</w:t>
      </w:r>
      <w:r w:rsidRPr="008D6EB5">
        <w:rPr>
          <w:lang w:val="fr-FR"/>
        </w:rPr>
        <w:t>arêtes vives et de saillies</w:t>
      </w:r>
      <w:r w:rsidR="00E60533" w:rsidRPr="00E60533">
        <w:rPr>
          <w:lang w:val="fr-FR"/>
        </w:rPr>
        <w:t>.</w:t>
      </w:r>
      <w:r w:rsidR="00043A8D">
        <w:rPr>
          <w:lang w:val="fr-FR"/>
        </w:rPr>
        <w:t xml:space="preserve"> </w:t>
      </w:r>
      <w:r w:rsidRPr="008D6EB5">
        <w:rPr>
          <w:lang w:val="fr-FR"/>
        </w:rPr>
        <w:t xml:space="preserve">Les ancrages pour fixation inférieure conformes </w:t>
      </w:r>
      <w:r w:rsidRPr="008D6EB5">
        <w:rPr>
          <w:lang w:val="fr-FR"/>
        </w:rPr>
        <w:lastRenderedPageBreak/>
        <w:t xml:space="preserve">au Règlement ONU </w:t>
      </w:r>
      <w:r w:rsidR="00043A8D" w:rsidRPr="00043A8D">
        <w:rPr>
          <w:rFonts w:eastAsia="MS Mincho"/>
          <w:lang w:val="fr-FR"/>
        </w:rPr>
        <w:t>n</w:t>
      </w:r>
      <w:r w:rsidR="00043A8D" w:rsidRPr="00043A8D">
        <w:rPr>
          <w:rFonts w:eastAsia="MS Mincho"/>
          <w:vertAlign w:val="superscript"/>
          <w:lang w:val="fr-FR"/>
        </w:rPr>
        <w:t>o</w:t>
      </w:r>
      <w:r w:rsidR="00043A8D">
        <w:rPr>
          <w:lang w:val="fr-FR"/>
        </w:rPr>
        <w:t> </w:t>
      </w:r>
      <w:r w:rsidRPr="008D6EB5">
        <w:rPr>
          <w:lang w:val="fr-FR"/>
        </w:rPr>
        <w:t xml:space="preserve">21 et/ou au Règlement ONU </w:t>
      </w:r>
      <w:r w:rsidR="00043A8D" w:rsidRPr="00043A8D">
        <w:rPr>
          <w:rFonts w:eastAsia="MS Mincho"/>
          <w:lang w:val="fr-FR"/>
        </w:rPr>
        <w:t>n</w:t>
      </w:r>
      <w:r w:rsidR="00043A8D" w:rsidRPr="00043A8D">
        <w:rPr>
          <w:rFonts w:eastAsia="MS Mincho"/>
          <w:vertAlign w:val="superscript"/>
          <w:lang w:val="fr-FR"/>
        </w:rPr>
        <w:t>o</w:t>
      </w:r>
      <w:r w:rsidR="00043A8D">
        <w:rPr>
          <w:lang w:val="fr-FR"/>
        </w:rPr>
        <w:t> </w:t>
      </w:r>
      <w:r w:rsidRPr="008D6EB5">
        <w:rPr>
          <w:lang w:val="fr-FR"/>
        </w:rPr>
        <w:t>17 sont considérés comme conformes aux dispositions du présent paragraphe</w:t>
      </w:r>
      <w:r w:rsidR="00E60533" w:rsidRPr="00E60533">
        <w:rPr>
          <w:lang w:val="fr-FR"/>
        </w:rPr>
        <w:t>.</w:t>
      </w:r>
      <w:r>
        <w:rPr>
          <w:lang w:val="fr-FR"/>
        </w:rPr>
        <w:t> </w:t>
      </w:r>
      <w:r w:rsidRPr="007656F8">
        <w:rPr>
          <w:lang w:val="fr-FR"/>
        </w:rPr>
        <w:t>»</w:t>
      </w:r>
      <w:r w:rsidR="00E60533" w:rsidRPr="00E60533">
        <w:rPr>
          <w:lang w:val="fr-FR"/>
        </w:rPr>
        <w:t>.</w:t>
      </w:r>
    </w:p>
    <w:p w14:paraId="7582AFA5" w14:textId="3F797E4D" w:rsidR="002A47A6" w:rsidRPr="007C6DC9" w:rsidRDefault="002A47A6" w:rsidP="002A47A6">
      <w:pPr>
        <w:pStyle w:val="SingleTxtG"/>
        <w:keepNext/>
        <w:keepLines/>
        <w:rPr>
          <w:lang w:val="fr-FR"/>
        </w:rPr>
      </w:pPr>
      <w:r w:rsidRPr="007C6DC9">
        <w:rPr>
          <w:i/>
          <w:iCs/>
          <w:lang w:val="fr-FR"/>
        </w:rPr>
        <w:t>Paragraphes 6</w:t>
      </w:r>
      <w:r w:rsidR="00E60533" w:rsidRPr="00E60533">
        <w:rPr>
          <w:i/>
          <w:iCs/>
          <w:lang w:val="fr-FR"/>
        </w:rPr>
        <w:t>.</w:t>
      </w:r>
      <w:r w:rsidRPr="007C6DC9">
        <w:rPr>
          <w:i/>
          <w:iCs/>
          <w:lang w:val="fr-FR"/>
        </w:rPr>
        <w:t>2</w:t>
      </w:r>
      <w:r w:rsidR="00E60533" w:rsidRPr="00E60533">
        <w:rPr>
          <w:i/>
          <w:iCs/>
          <w:lang w:val="fr-FR"/>
        </w:rPr>
        <w:t>.</w:t>
      </w:r>
      <w:r w:rsidRPr="007C6DC9">
        <w:rPr>
          <w:i/>
          <w:iCs/>
          <w:lang w:val="fr-FR"/>
        </w:rPr>
        <w:t>4</w:t>
      </w:r>
      <w:r w:rsidR="00E60533" w:rsidRPr="00E60533">
        <w:rPr>
          <w:i/>
          <w:iCs/>
          <w:lang w:val="fr-FR"/>
        </w:rPr>
        <w:t>.</w:t>
      </w:r>
      <w:r w:rsidRPr="007C6DC9">
        <w:rPr>
          <w:i/>
          <w:iCs/>
          <w:lang w:val="fr-FR"/>
        </w:rPr>
        <w:t>3 à 6</w:t>
      </w:r>
      <w:r w:rsidR="00E60533" w:rsidRPr="00E60533">
        <w:rPr>
          <w:i/>
          <w:iCs/>
          <w:lang w:val="fr-FR"/>
        </w:rPr>
        <w:t>.</w:t>
      </w:r>
      <w:r w:rsidRPr="007C6DC9">
        <w:rPr>
          <w:i/>
          <w:iCs/>
          <w:lang w:val="fr-FR"/>
        </w:rPr>
        <w:t>2</w:t>
      </w:r>
      <w:r w:rsidR="00E60533" w:rsidRPr="00E60533">
        <w:rPr>
          <w:i/>
          <w:iCs/>
          <w:lang w:val="fr-FR"/>
        </w:rPr>
        <w:t>.</w:t>
      </w:r>
      <w:r w:rsidRPr="007C6DC9">
        <w:rPr>
          <w:i/>
          <w:iCs/>
          <w:lang w:val="fr-FR"/>
        </w:rPr>
        <w:t>4</w:t>
      </w:r>
      <w:r w:rsidR="00E60533" w:rsidRPr="00E60533">
        <w:rPr>
          <w:i/>
          <w:iCs/>
          <w:lang w:val="fr-FR"/>
        </w:rPr>
        <w:t>.</w:t>
      </w:r>
      <w:r w:rsidRPr="007C6DC9">
        <w:rPr>
          <w:i/>
          <w:iCs/>
          <w:lang w:val="fr-FR"/>
        </w:rPr>
        <w:t>5</w:t>
      </w:r>
      <w:r w:rsidRPr="007C6DC9">
        <w:rPr>
          <w:lang w:val="fr-FR"/>
        </w:rPr>
        <w:t>,</w:t>
      </w:r>
      <w:r w:rsidRPr="007C6DC9">
        <w:rPr>
          <w:i/>
          <w:iCs/>
          <w:lang w:val="fr-FR"/>
        </w:rPr>
        <w:t xml:space="preserve"> </w:t>
      </w:r>
      <w:r w:rsidRPr="007C6DC9">
        <w:rPr>
          <w:lang w:val="fr-FR"/>
        </w:rPr>
        <w:t>lire :</w:t>
      </w:r>
    </w:p>
    <w:p w14:paraId="31994A99" w14:textId="42E5820D" w:rsidR="002A47A6" w:rsidRPr="007C6DC9" w:rsidRDefault="002A47A6" w:rsidP="002A47A6">
      <w:pPr>
        <w:pStyle w:val="SingleTxtG"/>
        <w:keepNext/>
        <w:keepLines/>
        <w:ind w:left="2268" w:hanging="1134"/>
      </w:pPr>
      <w:r w:rsidRPr="007C6DC9">
        <w:t>« 6</w:t>
      </w:r>
      <w:r w:rsidR="00E60533" w:rsidRPr="00E60533">
        <w:t>.</w:t>
      </w:r>
      <w:r w:rsidRPr="007C6DC9">
        <w:t>2</w:t>
      </w:r>
      <w:r w:rsidR="00E60533" w:rsidRPr="00E60533">
        <w:t>.</w:t>
      </w:r>
      <w:r w:rsidRPr="007C6DC9">
        <w:t>4</w:t>
      </w:r>
      <w:r w:rsidR="00E60533" w:rsidRPr="00E60533">
        <w:t>.</w:t>
      </w:r>
      <w:r w:rsidRPr="007C6DC9">
        <w:t>3</w:t>
      </w:r>
      <w:r w:rsidRPr="007C6DC9">
        <w:tab/>
        <w:t>Essais sur les systèmes d</w:t>
      </w:r>
      <w:r>
        <w:t>’</w:t>
      </w:r>
      <w:r w:rsidRPr="007C6DC9">
        <w:t>ancrages ISOFIX uniquement :</w:t>
      </w:r>
    </w:p>
    <w:p w14:paraId="60CF9A95" w14:textId="2EEBF1F6" w:rsidR="002A47A6" w:rsidRPr="007C6DC9" w:rsidRDefault="002A47A6" w:rsidP="002A47A6">
      <w:pPr>
        <w:pStyle w:val="SingleTxtG"/>
        <w:keepNext/>
        <w:keepLines/>
        <w:ind w:left="2268" w:hanging="1134"/>
      </w:pPr>
      <w:r w:rsidRPr="007C6DC9">
        <w:t>6</w:t>
      </w:r>
      <w:r w:rsidR="00E60533" w:rsidRPr="00E60533">
        <w:t>.</w:t>
      </w:r>
      <w:r w:rsidRPr="007C6DC9">
        <w:t>2</w:t>
      </w:r>
      <w:r w:rsidR="00E60533" w:rsidRPr="00E60533">
        <w:t>.</w:t>
      </w:r>
      <w:r w:rsidRPr="007C6DC9">
        <w:t>4</w:t>
      </w:r>
      <w:r w:rsidR="00E60533" w:rsidRPr="00E60533">
        <w:t>.</w:t>
      </w:r>
      <w:r w:rsidRPr="007C6DC9">
        <w:t>3</w:t>
      </w:r>
      <w:r w:rsidR="00E60533" w:rsidRPr="00E60533">
        <w:t>.</w:t>
      </w:r>
      <w:r w:rsidRPr="007C6DC9">
        <w:t>1</w:t>
      </w:r>
      <w:r w:rsidRPr="007C6DC9">
        <w:tab/>
        <w:t>Essai de force vers l</w:t>
      </w:r>
      <w:r>
        <w:t>’</w:t>
      </w:r>
      <w:r w:rsidRPr="007C6DC9">
        <w:t>avant :</w:t>
      </w:r>
    </w:p>
    <w:p w14:paraId="176A3F84" w14:textId="304E2709" w:rsidR="002A47A6" w:rsidRPr="003A1863" w:rsidRDefault="002A47A6" w:rsidP="002A47A6">
      <w:pPr>
        <w:pStyle w:val="SingleTxtG"/>
        <w:ind w:left="2268"/>
      </w:pPr>
      <w:r w:rsidRPr="007C6DC9">
        <w:tab/>
        <w:t>Le déplacement horizontal (après précharge) du point X du DAFS durant l</w:t>
      </w:r>
      <w:r>
        <w:t>’</w:t>
      </w:r>
      <w:r w:rsidRPr="007C6DC9">
        <w:t>application de la force de 8 kN ± 0,25 kN doit être limité à 125 mm et la déformation permanente, incluant la rupture partielle ou la casse, d</w:t>
      </w:r>
      <w:r>
        <w:t>’</w:t>
      </w:r>
      <w:r w:rsidRPr="007C6DC9">
        <w:t xml:space="preserve">un ancrage inférieur ISOFIX ou de la zone environnante ne constituera pas un échec si la force requise est maintenue pendant le laps de temps </w:t>
      </w:r>
      <w:r w:rsidRPr="003A1863">
        <w:t xml:space="preserve">requis </w:t>
      </w:r>
      <w:r w:rsidRPr="008D6EB5">
        <w:t>et si la déformation ne constitue pas un risque supplémentaire pour des composants de sécurité adjacents du véhicule, en accord avec le service technique et l</w:t>
      </w:r>
      <w:r>
        <w:t>’</w:t>
      </w:r>
      <w:r w:rsidRPr="008D6EB5">
        <w:t>autorité d</w:t>
      </w:r>
      <w:r>
        <w:t>’</w:t>
      </w:r>
      <w:r w:rsidRPr="008D6EB5">
        <w:t>homologation de type</w:t>
      </w:r>
      <w:r w:rsidR="00E60533" w:rsidRPr="00E60533">
        <w:t>.</w:t>
      </w:r>
    </w:p>
    <w:p w14:paraId="62136851" w14:textId="3F56F9B4" w:rsidR="002A47A6" w:rsidRPr="007C6DC9" w:rsidRDefault="002A47A6" w:rsidP="002A47A6">
      <w:pPr>
        <w:pStyle w:val="SingleTxtG"/>
        <w:ind w:left="2268" w:hanging="1134"/>
      </w:pPr>
      <w:r w:rsidRPr="007C6DC9">
        <w:t>6</w:t>
      </w:r>
      <w:r w:rsidR="00E60533" w:rsidRPr="00E60533">
        <w:t>.</w:t>
      </w:r>
      <w:r w:rsidRPr="007C6DC9">
        <w:t>2</w:t>
      </w:r>
      <w:r w:rsidR="00E60533" w:rsidRPr="00E60533">
        <w:t>.</w:t>
      </w:r>
      <w:r w:rsidRPr="007C6DC9">
        <w:t>4</w:t>
      </w:r>
      <w:r w:rsidR="00E60533" w:rsidRPr="00E60533">
        <w:t>.</w:t>
      </w:r>
      <w:r w:rsidRPr="007C6DC9">
        <w:t>3</w:t>
      </w:r>
      <w:r w:rsidR="00E60533" w:rsidRPr="00E60533">
        <w:t>.</w:t>
      </w:r>
      <w:r w:rsidRPr="007C6DC9">
        <w:t>2</w:t>
      </w:r>
      <w:r w:rsidRPr="007C6DC9">
        <w:tab/>
        <w:t>Essai d</w:t>
      </w:r>
      <w:r>
        <w:t>’</w:t>
      </w:r>
      <w:r w:rsidRPr="007C6DC9">
        <w:t>application de force oblique :</w:t>
      </w:r>
    </w:p>
    <w:p w14:paraId="1D95E290" w14:textId="185A23FD" w:rsidR="002A47A6" w:rsidRPr="003A1863" w:rsidRDefault="002A47A6" w:rsidP="002A47A6">
      <w:pPr>
        <w:pStyle w:val="SingleTxtG"/>
        <w:ind w:left="2268"/>
      </w:pPr>
      <w:r w:rsidRPr="007C6DC9">
        <w:tab/>
        <w:t>Le déplacement, dans le sens d</w:t>
      </w:r>
      <w:r>
        <w:t>’</w:t>
      </w:r>
      <w:r w:rsidRPr="007C6DC9">
        <w:t>application de la force (après précharge), du point X du DAFS durant l</w:t>
      </w:r>
      <w:r>
        <w:t>’</w:t>
      </w:r>
      <w:r w:rsidRPr="007C6DC9">
        <w:t>application de la force de 5 kN ± 0,25 kN doit être limité à 125 mm et la déformation permanente, incluant la rupture partielle ou la casse, d</w:t>
      </w:r>
      <w:r>
        <w:t>’</w:t>
      </w:r>
      <w:r w:rsidRPr="007C6DC9">
        <w:t xml:space="preserve">un ancrage inférieur ISOFIX ou de la zone environnante ne </w:t>
      </w:r>
      <w:r w:rsidRPr="003A1863">
        <w:t xml:space="preserve">constituera pas un échec si la force requise est maintenue pendant le laps de temps requis </w:t>
      </w:r>
      <w:r w:rsidRPr="008D6EB5">
        <w:t>et si la déformation ne constitue pas un risque supplémentaire pour des composants de sécurité adjacents du véhicule, en accord avec le service technique et l</w:t>
      </w:r>
      <w:r>
        <w:t>’</w:t>
      </w:r>
      <w:r w:rsidRPr="008D6EB5">
        <w:t>autorité d</w:t>
      </w:r>
      <w:r>
        <w:t>’</w:t>
      </w:r>
      <w:r w:rsidRPr="008D6EB5">
        <w:t>homologation de type</w:t>
      </w:r>
      <w:r w:rsidR="00E60533" w:rsidRPr="00E60533">
        <w:t>.</w:t>
      </w:r>
    </w:p>
    <w:p w14:paraId="1A2180D0" w14:textId="68BDB078" w:rsidR="002A47A6" w:rsidRPr="007C6DC9" w:rsidRDefault="002A47A6" w:rsidP="002A47A6">
      <w:pPr>
        <w:pStyle w:val="SingleTxtG"/>
        <w:ind w:left="2268" w:hanging="1134"/>
      </w:pPr>
      <w:r w:rsidRPr="007C6DC9">
        <w:t>6</w:t>
      </w:r>
      <w:r w:rsidR="00E60533" w:rsidRPr="00E60533">
        <w:t>.</w:t>
      </w:r>
      <w:r w:rsidRPr="007C6DC9">
        <w:t>2</w:t>
      </w:r>
      <w:r w:rsidR="00E60533" w:rsidRPr="00E60533">
        <w:t>.</w:t>
      </w:r>
      <w:r w:rsidRPr="007C6DC9">
        <w:t>4</w:t>
      </w:r>
      <w:r w:rsidR="00E60533" w:rsidRPr="00E60533">
        <w:t>.</w:t>
      </w:r>
      <w:r w:rsidRPr="007C6DC9">
        <w:t>4</w:t>
      </w:r>
      <w:r w:rsidRPr="007C6DC9">
        <w:tab/>
        <w:t>Essai des systèmes d</w:t>
      </w:r>
      <w:r>
        <w:t>’</w:t>
      </w:r>
      <w:r w:rsidRPr="007C6DC9">
        <w:t>ancrages ISOFIX et des ancrages pour fixation supérieure ISOFIX :</w:t>
      </w:r>
    </w:p>
    <w:p w14:paraId="12575E84" w14:textId="5F55148E" w:rsidR="002A47A6" w:rsidRPr="007C6DC9" w:rsidRDefault="002A47A6" w:rsidP="002A47A6">
      <w:pPr>
        <w:pStyle w:val="SingleTxtG"/>
        <w:ind w:left="2268"/>
      </w:pPr>
      <w:r w:rsidRPr="007C6DC9">
        <w:tab/>
        <w:t>Une précharge de 50 N ± 5 N devra être appliquée entre le DAFS et les ancrages de fixation supérieure</w:t>
      </w:r>
      <w:r w:rsidR="00E60533" w:rsidRPr="00E60533">
        <w:t>.</w:t>
      </w:r>
      <w:r w:rsidRPr="007C6DC9">
        <w:t xml:space="preserve"> Le déplacement horizontal (après précharge) du point X du DAFS durant l</w:t>
      </w:r>
      <w:r>
        <w:t>’</w:t>
      </w:r>
      <w:r w:rsidRPr="007C6DC9">
        <w:t>application de la force de 8 kN ± 0,25 kN doit être limité à 125 mm et la déformation permanente, incluant la rupture partielle ou la casse, d</w:t>
      </w:r>
      <w:r>
        <w:t>’</w:t>
      </w:r>
      <w:r w:rsidRPr="007C6DC9">
        <w:t>un ancrage inférieur ou d</w:t>
      </w:r>
      <w:r>
        <w:t>’</w:t>
      </w:r>
      <w:r w:rsidRPr="007C6DC9">
        <w:t xml:space="preserve">un ancrage pour fixation supérieure ISOFIX ou de la zone environnante ne constituera pas un échec si la force </w:t>
      </w:r>
      <w:r w:rsidRPr="003A1863">
        <w:t xml:space="preserve">requise est maintenue pendant le laps de temps requis </w:t>
      </w:r>
      <w:r w:rsidRPr="008D6EB5">
        <w:t>et si la déformation ne constitue pas un risque supplémentaire pour des composants de sécurité adjacents du véhicule, en accord avec le service technique et l</w:t>
      </w:r>
      <w:r>
        <w:t>’</w:t>
      </w:r>
      <w:r w:rsidRPr="008D6EB5">
        <w:t>autorité d</w:t>
      </w:r>
      <w:r>
        <w:t>’</w:t>
      </w:r>
      <w:r w:rsidRPr="008D6EB5">
        <w:t>homologation de type</w:t>
      </w:r>
      <w:r w:rsidR="00E60533" w:rsidRPr="00E60533">
        <w:t>.</w:t>
      </w:r>
    </w:p>
    <w:p w14:paraId="3CD1B536" w14:textId="05CB9A89" w:rsidR="002A47A6" w:rsidRPr="007C6DC9" w:rsidRDefault="002A47A6" w:rsidP="002A47A6">
      <w:pPr>
        <w:pStyle w:val="SingleTxtG"/>
        <w:ind w:left="2268" w:hanging="1134"/>
        <w:rPr>
          <w:bCs/>
        </w:rPr>
      </w:pPr>
      <w:r w:rsidRPr="007C6DC9">
        <w:t>6</w:t>
      </w:r>
      <w:r w:rsidR="00E60533" w:rsidRPr="00E60533">
        <w:t>.</w:t>
      </w:r>
      <w:r w:rsidRPr="007C6DC9">
        <w:t>2</w:t>
      </w:r>
      <w:r w:rsidR="00E60533" w:rsidRPr="00E60533">
        <w:t>.</w:t>
      </w:r>
      <w:r w:rsidRPr="007C6DC9">
        <w:t>4</w:t>
      </w:r>
      <w:r w:rsidR="00E60533" w:rsidRPr="00E60533">
        <w:t>.</w:t>
      </w:r>
      <w:r w:rsidRPr="007C6DC9">
        <w:t>5</w:t>
      </w:r>
      <w:r w:rsidRPr="007C6DC9">
        <w:tab/>
        <w:t>Essai applicable aux positions i-Size :</w:t>
      </w:r>
    </w:p>
    <w:p w14:paraId="5421A87D" w14:textId="1BF653B9" w:rsidR="002A47A6" w:rsidRPr="007C6DC9" w:rsidRDefault="002A47A6" w:rsidP="002A47A6">
      <w:pPr>
        <w:pStyle w:val="SingleTxtG"/>
        <w:ind w:left="2268"/>
        <w:rPr>
          <w:bCs/>
        </w:rPr>
      </w:pPr>
      <w:r w:rsidRPr="007C6DC9">
        <w:tab/>
        <w:t>Outre les essais décrits aux paragraphes 6</w:t>
      </w:r>
      <w:r w:rsidR="00E60533" w:rsidRPr="00E60533">
        <w:t>.</w:t>
      </w:r>
      <w:r w:rsidRPr="007C6DC9">
        <w:t>2</w:t>
      </w:r>
      <w:r w:rsidR="00E60533" w:rsidRPr="00E60533">
        <w:t>.</w:t>
      </w:r>
      <w:r w:rsidRPr="007C6DC9">
        <w:t>4</w:t>
      </w:r>
      <w:r w:rsidR="00E60533" w:rsidRPr="00E60533">
        <w:t>.</w:t>
      </w:r>
      <w:r w:rsidRPr="007C6DC9">
        <w:t>3 et 6</w:t>
      </w:r>
      <w:r w:rsidR="00E60533" w:rsidRPr="00E60533">
        <w:t>.</w:t>
      </w:r>
      <w:r w:rsidRPr="007C6DC9">
        <w:t>2</w:t>
      </w:r>
      <w:r w:rsidR="00E60533" w:rsidRPr="00E60533">
        <w:t>.</w:t>
      </w:r>
      <w:r w:rsidRPr="007C6DC9">
        <w:t>4</w:t>
      </w:r>
      <w:r w:rsidR="00E60533" w:rsidRPr="00E60533">
        <w:t>.</w:t>
      </w:r>
      <w:r w:rsidRPr="007C6DC9">
        <w:t>4, on effectuera un essai à l</w:t>
      </w:r>
      <w:r>
        <w:t>’</w:t>
      </w:r>
      <w:r w:rsidRPr="007C6DC9">
        <w:t>aide d</w:t>
      </w:r>
      <w:r>
        <w:t>’</w:t>
      </w:r>
      <w:r w:rsidRPr="007C6DC9">
        <w:t>un dispositif d</w:t>
      </w:r>
      <w:r>
        <w:t>’</w:t>
      </w:r>
      <w:r w:rsidRPr="007C6DC9">
        <w:t>application de force statique modifié, consistant en un DAFS et un dispositif d</w:t>
      </w:r>
      <w:r>
        <w:t>’</w:t>
      </w:r>
      <w:r w:rsidRPr="007C6DC9">
        <w:t>essai de la jambe de force, comme indiqué à la figure</w:t>
      </w:r>
      <w:r>
        <w:t> </w:t>
      </w:r>
      <w:r w:rsidRPr="007C6DC9">
        <w:t>3 de l</w:t>
      </w:r>
      <w:r>
        <w:t>’</w:t>
      </w:r>
      <w:r w:rsidRPr="007C6DC9">
        <w:t>annexe 5</w:t>
      </w:r>
      <w:r w:rsidR="00E60533" w:rsidRPr="00E60533">
        <w:t>.</w:t>
      </w:r>
      <w:r w:rsidRPr="007C6DC9">
        <w:t xml:space="preserve"> Le dispositif d</w:t>
      </w:r>
      <w:r>
        <w:t>’</w:t>
      </w:r>
      <w:r w:rsidRPr="007C6DC9">
        <w:t>essai de la jambe de force doit être réglé en longueur et en largeur pour l</w:t>
      </w:r>
      <w:r>
        <w:t>’</w:t>
      </w:r>
      <w:r w:rsidRPr="007C6DC9">
        <w:t>évaluation de la surface de contact avec le plancher du véhicule, comme indiqué au paragraphe 5</w:t>
      </w:r>
      <w:r w:rsidR="00E60533" w:rsidRPr="00E60533">
        <w:t>.</w:t>
      </w:r>
      <w:r w:rsidRPr="007C6DC9">
        <w:t>2</w:t>
      </w:r>
      <w:r w:rsidR="00E60533" w:rsidRPr="00E60533">
        <w:t>.</w:t>
      </w:r>
      <w:r w:rsidRPr="007C6DC9">
        <w:t>4</w:t>
      </w:r>
      <w:r w:rsidR="00E60533" w:rsidRPr="00E60533">
        <w:t>.</w:t>
      </w:r>
      <w:r w:rsidRPr="007C6DC9">
        <w:t>2 (voir aussi les figures</w:t>
      </w:r>
      <w:r>
        <w:t> </w:t>
      </w:r>
      <w:r w:rsidRPr="007C6DC9">
        <w:t>1 et 2 de l</w:t>
      </w:r>
      <w:r>
        <w:t>’</w:t>
      </w:r>
      <w:r w:rsidRPr="007C6DC9">
        <w:t>annexe 5 du présent Règlement)</w:t>
      </w:r>
      <w:r w:rsidR="00E60533" w:rsidRPr="00E60533">
        <w:t>.</w:t>
      </w:r>
      <w:r w:rsidRPr="007C6DC9">
        <w:t xml:space="preserve"> La hauteur du dispositif d</w:t>
      </w:r>
      <w:r>
        <w:t>’</w:t>
      </w:r>
      <w:r w:rsidRPr="007C6DC9">
        <w:t>essai de la jambe de force doit être réglée de telle sorte que le socle de la jambe de force soit en contact avec la surface supérieure du plancher du véhicule</w:t>
      </w:r>
      <w:r w:rsidR="00E60533" w:rsidRPr="00E60533">
        <w:t>.</w:t>
      </w:r>
      <w:r w:rsidRPr="007C6DC9">
        <w:t xml:space="preserve"> Lorsque le réglage de la hauteur se fait par paliers, il faut choisir la première encoche où le socle est bien calé sur le plancher ; en cas de réglage continu, l</w:t>
      </w:r>
      <w:r>
        <w:t>’</w:t>
      </w:r>
      <w:r w:rsidRPr="007C6DC9">
        <w:t>angle de tangage du DAFS doit être augmenté de 1,5 ± 0,5° en raison de l</w:t>
      </w:r>
      <w:r>
        <w:t>’</w:t>
      </w:r>
      <w:r w:rsidRPr="007C6DC9">
        <w:t>ajustement de la hauteur du dispositif d</w:t>
      </w:r>
      <w:r>
        <w:t>’</w:t>
      </w:r>
      <w:r w:rsidRPr="007C6DC9">
        <w:t>essai de la jambe de force</w:t>
      </w:r>
      <w:r w:rsidR="00E60533" w:rsidRPr="00E60533">
        <w:t>.</w:t>
      </w:r>
    </w:p>
    <w:p w14:paraId="2A49B561" w14:textId="1C59D6DA" w:rsidR="002A47A6" w:rsidRPr="007C6DC9" w:rsidRDefault="002A47A6" w:rsidP="002A47A6">
      <w:pPr>
        <w:pStyle w:val="SingleTxtG"/>
        <w:ind w:left="2268"/>
      </w:pPr>
      <w:r w:rsidRPr="007C6DC9">
        <w:tab/>
        <w:t>Le déplacement horizontal (après précharge) du point X du DAFS durant l</w:t>
      </w:r>
      <w:r>
        <w:t>’</w:t>
      </w:r>
      <w:r w:rsidRPr="007C6DC9">
        <w:t>application de la force de 8 kN ± 0,25 kN doit être limité à 125 mm, et la déformation permanente, y compris la rupture partielle ou la casse d</w:t>
      </w:r>
      <w:r>
        <w:t>’</w:t>
      </w:r>
      <w:r w:rsidRPr="007C6DC9">
        <w:t xml:space="preserve">un ancrage inférieur ISOFIX et de la surface de contact avec le plancher du véhicule ou de la zone environnante, ne constitue pas un échec si la force </w:t>
      </w:r>
      <w:r w:rsidRPr="002E23EB">
        <w:t xml:space="preserve">requise est maintenue pendant le laps de temps requis </w:t>
      </w:r>
      <w:r w:rsidRPr="008D6EB5">
        <w:t xml:space="preserve">et si la déformation ne </w:t>
      </w:r>
      <w:r w:rsidRPr="008D6EB5">
        <w:lastRenderedPageBreak/>
        <w:t>constitue pas un risque supplémentaire pour des composants de sécurité adjacents du véhicule, en accord avec le service technique et l</w:t>
      </w:r>
      <w:r>
        <w:t>’</w:t>
      </w:r>
      <w:r w:rsidRPr="008D6EB5">
        <w:t>autorité d</w:t>
      </w:r>
      <w:r>
        <w:t>’</w:t>
      </w:r>
      <w:r w:rsidRPr="008D6EB5">
        <w:t>homologation de type</w:t>
      </w:r>
      <w:r w:rsidR="00E60533" w:rsidRPr="00E60533">
        <w:t>.</w:t>
      </w:r>
      <w:r w:rsidRPr="007C6DC9">
        <w:t> »</w:t>
      </w:r>
      <w:r w:rsidR="00E60533" w:rsidRPr="00E60533">
        <w:t>.</w:t>
      </w:r>
    </w:p>
    <w:p w14:paraId="68C00847" w14:textId="483CA495" w:rsidR="002A47A6" w:rsidRPr="007C6DC9" w:rsidRDefault="002A47A6" w:rsidP="002A47A6">
      <w:pPr>
        <w:pStyle w:val="SingleTxtG"/>
        <w:rPr>
          <w:lang w:val="fr-FR"/>
        </w:rPr>
      </w:pPr>
      <w:r w:rsidRPr="007C6DC9">
        <w:rPr>
          <w:i/>
          <w:iCs/>
          <w:lang w:val="fr-FR"/>
        </w:rPr>
        <w:t>Ajouter les nouveaux paragraphes 6</w:t>
      </w:r>
      <w:r w:rsidR="00E60533" w:rsidRPr="00E60533">
        <w:rPr>
          <w:i/>
          <w:iCs/>
          <w:lang w:val="fr-FR"/>
        </w:rPr>
        <w:t>.</w:t>
      </w:r>
      <w:r w:rsidRPr="007C6DC9">
        <w:rPr>
          <w:i/>
          <w:iCs/>
          <w:lang w:val="fr-FR"/>
        </w:rPr>
        <w:t>3 à 6</w:t>
      </w:r>
      <w:r w:rsidR="00E60533" w:rsidRPr="00E60533">
        <w:rPr>
          <w:i/>
          <w:iCs/>
          <w:lang w:val="fr-FR"/>
        </w:rPr>
        <w:t>.</w:t>
      </w:r>
      <w:r w:rsidRPr="007C6DC9">
        <w:rPr>
          <w:i/>
          <w:iCs/>
          <w:lang w:val="fr-FR"/>
        </w:rPr>
        <w:t>3</w:t>
      </w:r>
      <w:r w:rsidR="00E60533" w:rsidRPr="00E60533">
        <w:rPr>
          <w:i/>
          <w:iCs/>
          <w:lang w:val="fr-FR"/>
        </w:rPr>
        <w:t>.</w:t>
      </w:r>
      <w:r w:rsidRPr="007C6DC9">
        <w:rPr>
          <w:i/>
          <w:iCs/>
          <w:lang w:val="fr-FR"/>
        </w:rPr>
        <w:t>5</w:t>
      </w:r>
      <w:r w:rsidRPr="007C6DC9">
        <w:rPr>
          <w:lang w:val="fr-FR"/>
        </w:rPr>
        <w:t>, libellés comme suit :</w:t>
      </w:r>
    </w:p>
    <w:p w14:paraId="2A0A74EB" w14:textId="0B5D55FB" w:rsidR="002A47A6" w:rsidRPr="008D6EB5" w:rsidRDefault="002A47A6" w:rsidP="002A47A6">
      <w:pPr>
        <w:pStyle w:val="SingleTxtG"/>
        <w:ind w:left="2268" w:hanging="1134"/>
        <w:rPr>
          <w:lang w:val="fr-FR"/>
        </w:rPr>
      </w:pPr>
      <w:r w:rsidRPr="002E23EB">
        <w:rPr>
          <w:lang w:val="fr-FR"/>
        </w:rPr>
        <w:t>« </w:t>
      </w:r>
      <w:r w:rsidRPr="008D6EB5">
        <w:rPr>
          <w:lang w:val="fr-FR"/>
        </w:rPr>
        <w:t>6</w:t>
      </w:r>
      <w:r w:rsidR="00E60533" w:rsidRPr="00E60533">
        <w:rPr>
          <w:lang w:val="fr-FR"/>
        </w:rPr>
        <w:t>.</w:t>
      </w:r>
      <w:r w:rsidRPr="008D6EB5">
        <w:rPr>
          <w:lang w:val="fr-FR"/>
        </w:rPr>
        <w:t>3</w:t>
      </w:r>
      <w:r w:rsidRPr="002E23EB">
        <w:rPr>
          <w:lang w:val="fr-FR"/>
        </w:rPr>
        <w:tab/>
      </w:r>
      <w:r w:rsidRPr="008D6EB5">
        <w:rPr>
          <w:lang w:val="fr-FR"/>
        </w:rPr>
        <w:t>Prescriptions relatives à la résistance des ancrages pour fixation inférieure</w:t>
      </w:r>
    </w:p>
    <w:p w14:paraId="6E342F23" w14:textId="3AE8768A"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1</w:t>
      </w:r>
      <w:r w:rsidRPr="002E23EB">
        <w:rPr>
          <w:lang w:val="fr-FR"/>
        </w:rPr>
        <w:tab/>
      </w:r>
      <w:r w:rsidRPr="008D6EB5">
        <w:rPr>
          <w:lang w:val="fr-FR"/>
        </w:rPr>
        <w:t>Si les ancrages pour fixation inférieure sont intégrés ou fixés à un siège homologué conformément au paragraphe 6</w:t>
      </w:r>
      <w:r w:rsidR="00E60533" w:rsidRPr="00E60533">
        <w:rPr>
          <w:lang w:val="fr-FR"/>
        </w:rPr>
        <w:t>.</w:t>
      </w:r>
      <w:r w:rsidRPr="008D6EB5">
        <w:rPr>
          <w:lang w:val="fr-FR"/>
        </w:rPr>
        <w:t>4</w:t>
      </w:r>
      <w:r w:rsidR="00E60533" w:rsidRPr="00E60533">
        <w:rPr>
          <w:lang w:val="fr-FR"/>
        </w:rPr>
        <w:t>.</w:t>
      </w:r>
      <w:r w:rsidRPr="008D6EB5">
        <w:rPr>
          <w:lang w:val="fr-FR"/>
        </w:rPr>
        <w:t>4 du Règlement ONU n</w:t>
      </w:r>
      <w:r w:rsidRPr="008D6EB5">
        <w:rPr>
          <w:vertAlign w:val="superscript"/>
          <w:lang w:val="fr-FR"/>
        </w:rPr>
        <w:t>o</w:t>
      </w:r>
      <w:r w:rsidRPr="008D6EB5">
        <w:rPr>
          <w:lang w:val="fr-FR"/>
        </w:rPr>
        <w:t> 14, l</w:t>
      </w:r>
      <w:r>
        <w:rPr>
          <w:lang w:val="fr-FR"/>
        </w:rPr>
        <w:t>’</w:t>
      </w:r>
      <w:r w:rsidRPr="008D6EB5">
        <w:rPr>
          <w:lang w:val="fr-FR"/>
        </w:rPr>
        <w:t>essai peut être effectué au niveau des composants (par exemple, sur le rail du siège)</w:t>
      </w:r>
      <w:r w:rsidR="00E60533" w:rsidRPr="00E60533">
        <w:rPr>
          <w:lang w:val="fr-FR"/>
        </w:rPr>
        <w:t>.</w:t>
      </w:r>
    </w:p>
    <w:p w14:paraId="630154C3" w14:textId="11AD4922"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2</w:t>
      </w:r>
      <w:r w:rsidRPr="002E23EB">
        <w:rPr>
          <w:lang w:val="fr-FR"/>
        </w:rPr>
        <w:tab/>
      </w:r>
      <w:r w:rsidRPr="008D6EB5">
        <w:rPr>
          <w:lang w:val="fr-FR"/>
        </w:rPr>
        <w:t>Pendant l</w:t>
      </w:r>
      <w:r>
        <w:rPr>
          <w:lang w:val="fr-FR"/>
        </w:rPr>
        <w:t>’</w:t>
      </w:r>
      <w:r w:rsidRPr="008D6EB5">
        <w:rPr>
          <w:lang w:val="fr-FR"/>
        </w:rPr>
        <w:t xml:space="preserve">essai de résistance, tous les composants intérieurs pertinents (par exemple, le siège situé devant la place pour </w:t>
      </w:r>
      <w:r>
        <w:rPr>
          <w:lang w:val="fr-FR"/>
        </w:rPr>
        <w:t>système (amélioré)</w:t>
      </w:r>
      <w:r w:rsidRPr="008D6EB5">
        <w:rPr>
          <w:lang w:val="fr-FR"/>
        </w:rPr>
        <w:t xml:space="preserve"> de retenue pour enfants) doivent être montés</w:t>
      </w:r>
      <w:r w:rsidR="00E60533" w:rsidRPr="00E60533">
        <w:rPr>
          <w:lang w:val="fr-FR"/>
        </w:rPr>
        <w:t>.</w:t>
      </w:r>
      <w:r w:rsidRPr="002E23EB">
        <w:rPr>
          <w:lang w:val="fr-FR"/>
        </w:rPr>
        <w:t xml:space="preserve"> </w:t>
      </w:r>
      <w:r w:rsidRPr="008D6EB5">
        <w:rPr>
          <w:lang w:val="fr-FR"/>
        </w:rPr>
        <w:t>Sauf recommandation contraire du constructeur du véhicule, les sièges réglables doivent être positionnés comme suit :</w:t>
      </w:r>
    </w:p>
    <w:p w14:paraId="451DB134" w14:textId="1BB80540"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2</w:t>
      </w:r>
      <w:r w:rsidR="00E60533" w:rsidRPr="00E60533">
        <w:rPr>
          <w:lang w:val="fr-FR"/>
        </w:rPr>
        <w:t>.</w:t>
      </w:r>
      <w:r w:rsidRPr="008D6EB5">
        <w:rPr>
          <w:lang w:val="fr-FR"/>
        </w:rPr>
        <w:t>1</w:t>
      </w:r>
      <w:r w:rsidRPr="002E23EB">
        <w:rPr>
          <w:lang w:val="fr-FR"/>
        </w:rPr>
        <w:tab/>
      </w:r>
      <w:r w:rsidRPr="008D6EB5">
        <w:rPr>
          <w:lang w:val="fr-FR"/>
        </w:rPr>
        <w:t>Longitudinalement, le plus près possible de la position médiane entre le siège reculé au maximum et le siège avancé au maximum ;</w:t>
      </w:r>
    </w:p>
    <w:p w14:paraId="1F23F51B" w14:textId="00F84C2C"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2</w:t>
      </w:r>
      <w:r w:rsidR="00E60533" w:rsidRPr="00E60533">
        <w:rPr>
          <w:lang w:val="fr-FR"/>
        </w:rPr>
        <w:t>.</w:t>
      </w:r>
      <w:r w:rsidRPr="008D6EB5">
        <w:rPr>
          <w:lang w:val="fr-FR"/>
        </w:rPr>
        <w:t>2</w:t>
      </w:r>
      <w:r w:rsidRPr="002E23EB">
        <w:rPr>
          <w:lang w:val="fr-FR"/>
        </w:rPr>
        <w:tab/>
      </w:r>
      <w:r w:rsidRPr="008D6EB5">
        <w:rPr>
          <w:lang w:val="fr-FR"/>
        </w:rPr>
        <w:t>Verticalement, le plus près possible de la position médiane de réglage en hauteur</w:t>
      </w:r>
      <w:r w:rsidR="00E60533" w:rsidRPr="00E60533">
        <w:rPr>
          <w:lang w:val="fr-FR"/>
        </w:rPr>
        <w:t>.</w:t>
      </w:r>
    </w:p>
    <w:p w14:paraId="417EBEC9" w14:textId="03DD9B18" w:rsidR="002A47A6" w:rsidRPr="008D6EB5" w:rsidRDefault="002A47A6" w:rsidP="002A47A6">
      <w:pPr>
        <w:pStyle w:val="SingleTxtG"/>
        <w:ind w:left="2268" w:hanging="1134"/>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3</w:t>
      </w:r>
      <w:r w:rsidRPr="002E23EB">
        <w:rPr>
          <w:lang w:val="fr-FR"/>
        </w:rPr>
        <w:tab/>
      </w:r>
      <w:r w:rsidRPr="008D6EB5">
        <w:rPr>
          <w:lang w:val="fr-FR"/>
        </w:rPr>
        <w:t xml:space="preserve">Une force de 2 500 N </w:t>
      </w:r>
      <w:r w:rsidRPr="002E23EB">
        <w:t>± 50 N</w:t>
      </w:r>
      <w:r w:rsidRPr="008D6EB5">
        <w:rPr>
          <w:lang w:val="fr-FR"/>
        </w:rPr>
        <w:t xml:space="preserve"> est appliquée à chaque patte de fixation inférieure, au moyen d</w:t>
      </w:r>
      <w:r>
        <w:rPr>
          <w:lang w:val="fr-FR"/>
        </w:rPr>
        <w:t>’</w:t>
      </w:r>
      <w:r w:rsidRPr="008D6EB5">
        <w:rPr>
          <w:lang w:val="fr-FR"/>
        </w:rPr>
        <w:t>une sangle de fixation inférieure représentative, d</w:t>
      </w:r>
      <w:r>
        <w:rPr>
          <w:lang w:val="fr-FR"/>
        </w:rPr>
        <w:t>’</w:t>
      </w:r>
      <w:r w:rsidRPr="008D6EB5">
        <w:rPr>
          <w:lang w:val="fr-FR"/>
        </w:rPr>
        <w:t>une largeur de 38 mm ± 3 mm, munie, à une extrémité, d</w:t>
      </w:r>
      <w:r>
        <w:rPr>
          <w:lang w:val="fr-FR"/>
        </w:rPr>
        <w:t>’</w:t>
      </w:r>
      <w:r w:rsidRPr="008D6EB5">
        <w:rPr>
          <w:lang w:val="fr-FR"/>
        </w:rPr>
        <w:t>une pièce permettant l</w:t>
      </w:r>
      <w:r>
        <w:rPr>
          <w:lang w:val="fr-FR"/>
        </w:rPr>
        <w:t>’</w:t>
      </w:r>
      <w:r w:rsidRPr="008D6EB5">
        <w:rPr>
          <w:lang w:val="fr-FR"/>
        </w:rPr>
        <w:t>application de la force et, à l</w:t>
      </w:r>
      <w:r>
        <w:rPr>
          <w:lang w:val="fr-FR"/>
        </w:rPr>
        <w:t>’</w:t>
      </w:r>
      <w:r w:rsidRPr="008D6EB5">
        <w:rPr>
          <w:lang w:val="fr-FR"/>
        </w:rPr>
        <w:t>autre extrémité, d</w:t>
      </w:r>
      <w:r>
        <w:rPr>
          <w:lang w:val="fr-FR"/>
        </w:rPr>
        <w:t>’</w:t>
      </w:r>
      <w:r w:rsidRPr="008D6EB5">
        <w:rPr>
          <w:lang w:val="fr-FR"/>
        </w:rPr>
        <w:t xml:space="preserve">un crochet de fixation inférieure pouvant être accroché à la patte de fixation inférieure, ou de tout autre dispositif convenu par le constructeur et le service technique et décrit dans le </w:t>
      </w:r>
      <w:r>
        <w:rPr>
          <w:lang w:val="fr-FR"/>
        </w:rPr>
        <w:t>procès-verbal</w:t>
      </w:r>
      <w:r w:rsidRPr="008D6EB5">
        <w:rPr>
          <w:lang w:val="fr-FR"/>
        </w:rPr>
        <w:t xml:space="preserve"> d</w:t>
      </w:r>
      <w:r>
        <w:rPr>
          <w:lang w:val="fr-FR"/>
        </w:rPr>
        <w:t>’</w:t>
      </w:r>
      <w:r w:rsidRPr="008D6EB5">
        <w:rPr>
          <w:lang w:val="fr-FR"/>
        </w:rPr>
        <w:t>essai</w:t>
      </w:r>
      <w:r w:rsidR="00E60533" w:rsidRPr="00E60533">
        <w:rPr>
          <w:lang w:val="fr-FR"/>
        </w:rPr>
        <w:t>.</w:t>
      </w:r>
      <w:r w:rsidRPr="002E23EB">
        <w:rPr>
          <w:lang w:val="fr-FR"/>
        </w:rPr>
        <w:t xml:space="preserve"> </w:t>
      </w:r>
      <w:r w:rsidRPr="008D6EB5">
        <w:rPr>
          <w:lang w:val="fr-FR"/>
        </w:rPr>
        <w:t>Si la ou les pattes ne sont pas fournies par le constructeur du véhicule, les efforts sont transmis à l</w:t>
      </w:r>
      <w:r>
        <w:rPr>
          <w:lang w:val="fr-FR"/>
        </w:rPr>
        <w:t>’</w:t>
      </w:r>
      <w:r w:rsidRPr="008D6EB5">
        <w:rPr>
          <w:lang w:val="fr-FR"/>
        </w:rPr>
        <w:t>ancrage pour fixation inférieure après installation d</w:t>
      </w:r>
      <w:r>
        <w:rPr>
          <w:lang w:val="fr-FR"/>
        </w:rPr>
        <w:t>’</w:t>
      </w:r>
      <w:r w:rsidRPr="008D6EB5">
        <w:rPr>
          <w:lang w:val="fr-FR"/>
        </w:rPr>
        <w:t>une patte de fixation inférieure générique</w:t>
      </w:r>
      <w:r w:rsidR="00E60533" w:rsidRPr="00E60533">
        <w:rPr>
          <w:lang w:val="fr-FR"/>
        </w:rPr>
        <w:t>.</w:t>
      </w:r>
      <w:r w:rsidRPr="002E23EB">
        <w:rPr>
          <w:lang w:val="fr-FR"/>
        </w:rPr>
        <w:t xml:space="preserve"> </w:t>
      </w:r>
      <w:r w:rsidRPr="008D6EB5">
        <w:rPr>
          <w:lang w:val="fr-FR"/>
        </w:rPr>
        <w:t>Dans le cas d</w:t>
      </w:r>
      <w:r>
        <w:rPr>
          <w:lang w:val="fr-FR"/>
        </w:rPr>
        <w:t>’</w:t>
      </w:r>
      <w:r w:rsidRPr="008D6EB5">
        <w:rPr>
          <w:lang w:val="fr-FR"/>
        </w:rPr>
        <w:t xml:space="preserve">un ancrage destiné à servir à deux places pour </w:t>
      </w:r>
      <w:r>
        <w:rPr>
          <w:lang w:val="fr-FR"/>
        </w:rPr>
        <w:t>système (amélioré)</w:t>
      </w:r>
      <w:r w:rsidRPr="008D6EB5">
        <w:rPr>
          <w:lang w:val="fr-FR"/>
        </w:rPr>
        <w:t xml:space="preserve"> de retenue pour enfants adjacentes, ou s</w:t>
      </w:r>
      <w:r>
        <w:rPr>
          <w:lang w:val="fr-FR"/>
        </w:rPr>
        <w:t>’</w:t>
      </w:r>
      <w:r w:rsidRPr="008D6EB5">
        <w:rPr>
          <w:lang w:val="fr-FR"/>
        </w:rPr>
        <w:t>il n</w:t>
      </w:r>
      <w:r>
        <w:rPr>
          <w:lang w:val="fr-FR"/>
        </w:rPr>
        <w:t>’</w:t>
      </w:r>
      <w:r w:rsidRPr="008D6EB5">
        <w:rPr>
          <w:lang w:val="fr-FR"/>
        </w:rPr>
        <w:t>y a qu</w:t>
      </w:r>
      <w:r>
        <w:rPr>
          <w:lang w:val="fr-FR"/>
        </w:rPr>
        <w:t>’</w:t>
      </w:r>
      <w:r w:rsidRPr="008D6EB5">
        <w:rPr>
          <w:lang w:val="fr-FR"/>
        </w:rPr>
        <w:t xml:space="preserve">un ancrage pour fixation inférieure, on applique une force de 5 000 N </w:t>
      </w:r>
      <w:r w:rsidRPr="002E23EB">
        <w:t>± 100 N</w:t>
      </w:r>
      <w:r w:rsidR="00E60533" w:rsidRPr="00E60533">
        <w:t>.</w:t>
      </w:r>
      <w:r w:rsidRPr="008D6EB5">
        <w:t xml:space="preserve"> À la demande du constructeur,</w:t>
      </w:r>
      <w:r w:rsidRPr="002E23EB">
        <w:t xml:space="preserve"> </w:t>
      </w:r>
      <w:r>
        <w:rPr>
          <w:lang w:val="fr-FR"/>
        </w:rPr>
        <w:t>les ancrages peuvent être soumis à des essais avec des charges plus élevées s’ils satisfont aux prescriptions</w:t>
      </w:r>
      <w:r w:rsidR="00E60533" w:rsidRPr="00E60533">
        <w:t>.</w:t>
      </w:r>
    </w:p>
    <w:p w14:paraId="366A04C7" w14:textId="300EEF27"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4</w:t>
      </w:r>
      <w:r w:rsidRPr="00CA5124">
        <w:rPr>
          <w:lang w:val="fr-FR"/>
        </w:rPr>
        <w:tab/>
      </w:r>
      <w:r w:rsidRPr="008D6EB5">
        <w:rPr>
          <w:lang w:val="fr-FR"/>
        </w:rPr>
        <w:t>La force :</w:t>
      </w:r>
    </w:p>
    <w:p w14:paraId="1C462561" w14:textId="24C16CBF"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4</w:t>
      </w:r>
      <w:r w:rsidR="00E60533" w:rsidRPr="00E60533">
        <w:rPr>
          <w:lang w:val="fr-FR"/>
        </w:rPr>
        <w:t>.</w:t>
      </w:r>
      <w:r w:rsidRPr="008D6EB5">
        <w:rPr>
          <w:lang w:val="fr-FR"/>
        </w:rPr>
        <w:t>1</w:t>
      </w:r>
      <w:r w:rsidRPr="00CA5124">
        <w:rPr>
          <w:lang w:val="fr-FR"/>
        </w:rPr>
        <w:tab/>
      </w:r>
      <w:r w:rsidRPr="008D6EB5">
        <w:rPr>
          <w:lang w:val="fr-FR"/>
        </w:rPr>
        <w:t>Est appliquée dans un sens déterminé en fonction du PRSF, avec une tolérance de ±20 mm dans tous les sens indiqués dans la figure 3 de l</w:t>
      </w:r>
      <w:r>
        <w:rPr>
          <w:lang w:val="fr-FR"/>
        </w:rPr>
        <w:t>’</w:t>
      </w:r>
      <w:r w:rsidRPr="008D6EB5">
        <w:rPr>
          <w:lang w:val="fr-FR"/>
        </w:rPr>
        <w:t>annexe 6, le PRSF étant situé latéralement sur l</w:t>
      </w:r>
      <w:r>
        <w:rPr>
          <w:lang w:val="fr-FR"/>
        </w:rPr>
        <w:t>’</w:t>
      </w:r>
      <w:r w:rsidRPr="008D6EB5">
        <w:rPr>
          <w:lang w:val="fr-FR"/>
        </w:rPr>
        <w:t>axe longitudinal de l</w:t>
      </w:r>
      <w:r>
        <w:rPr>
          <w:lang w:val="fr-FR"/>
        </w:rPr>
        <w:t>’</w:t>
      </w:r>
      <w:r w:rsidRPr="008D6EB5">
        <w:rPr>
          <w:lang w:val="fr-FR"/>
        </w:rPr>
        <w:t>enveloppe ISO/R2 ;</w:t>
      </w:r>
    </w:p>
    <w:p w14:paraId="4A14C0F8" w14:textId="55CF17B8"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4</w:t>
      </w:r>
      <w:r w:rsidR="00E60533" w:rsidRPr="00E60533">
        <w:rPr>
          <w:lang w:val="fr-FR"/>
        </w:rPr>
        <w:t>.</w:t>
      </w:r>
      <w:r w:rsidRPr="008D6EB5">
        <w:rPr>
          <w:lang w:val="fr-FR"/>
        </w:rPr>
        <w:t>2</w:t>
      </w:r>
      <w:r w:rsidRPr="00CA5124">
        <w:rPr>
          <w:lang w:val="fr-FR"/>
        </w:rPr>
        <w:tab/>
      </w:r>
      <w:r w:rsidRPr="008D6EB5">
        <w:rPr>
          <w:lang w:val="fr-FR"/>
        </w:rPr>
        <w:t>Doit être atteinte en 30 s et maintenue pendant au moins 0,2 s</w:t>
      </w:r>
      <w:r w:rsidR="00E60533" w:rsidRPr="00E60533">
        <w:rPr>
          <w:lang w:val="fr-FR"/>
        </w:rPr>
        <w:t>.</w:t>
      </w:r>
    </w:p>
    <w:p w14:paraId="193BD5EB" w14:textId="30B7D728"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4</w:t>
      </w:r>
      <w:r w:rsidR="00E60533" w:rsidRPr="00E60533">
        <w:rPr>
          <w:lang w:val="fr-FR"/>
        </w:rPr>
        <w:t>.</w:t>
      </w:r>
      <w:r w:rsidRPr="008D6EB5">
        <w:rPr>
          <w:lang w:val="fr-FR"/>
        </w:rPr>
        <w:t>3</w:t>
      </w:r>
      <w:r w:rsidRPr="00CA5124">
        <w:rPr>
          <w:lang w:val="fr-FR"/>
        </w:rPr>
        <w:tab/>
      </w:r>
      <w:r w:rsidRPr="008D6EB5">
        <w:rPr>
          <w:lang w:val="fr-FR"/>
        </w:rPr>
        <w:t>Si l</w:t>
      </w:r>
      <w:r>
        <w:rPr>
          <w:lang w:val="fr-FR"/>
        </w:rPr>
        <w:t>’</w:t>
      </w:r>
      <w:r w:rsidRPr="008D6EB5">
        <w:rPr>
          <w:lang w:val="fr-FR"/>
        </w:rPr>
        <w:t>essai doit être effectué pour différents PRSF, un point de référence situé à ±15 degrés de celui pour lequel l</w:t>
      </w:r>
      <w:r>
        <w:rPr>
          <w:lang w:val="fr-FR"/>
        </w:rPr>
        <w:t>’</w:t>
      </w:r>
      <w:r w:rsidRPr="008D6EB5">
        <w:rPr>
          <w:lang w:val="fr-FR"/>
        </w:rPr>
        <w:t>essai a été effectué est jugé conforme aux prescriptions</w:t>
      </w:r>
      <w:r w:rsidR="00E60533" w:rsidRPr="00E60533">
        <w:rPr>
          <w:lang w:val="fr-FR"/>
        </w:rPr>
        <w:t>.</w:t>
      </w:r>
    </w:p>
    <w:p w14:paraId="278A5A76" w14:textId="225DF7EC" w:rsidR="002A47A6" w:rsidRPr="008D6EB5" w:rsidRDefault="002A47A6" w:rsidP="002A47A6">
      <w:pPr>
        <w:pStyle w:val="SingleTxtG"/>
        <w:ind w:left="2268" w:hanging="1134"/>
        <w:rPr>
          <w:lang w:val="fr-FR"/>
        </w:rPr>
      </w:pPr>
      <w:r w:rsidRPr="008D6EB5">
        <w:rPr>
          <w:lang w:val="fr-FR"/>
        </w:rPr>
        <w:t>6</w:t>
      </w:r>
      <w:r w:rsidR="00E60533" w:rsidRPr="00E60533">
        <w:rPr>
          <w:lang w:val="fr-FR"/>
        </w:rPr>
        <w:t>.</w:t>
      </w:r>
      <w:r w:rsidRPr="008D6EB5">
        <w:rPr>
          <w:lang w:val="fr-FR"/>
        </w:rPr>
        <w:t>3</w:t>
      </w:r>
      <w:r w:rsidR="00E60533" w:rsidRPr="00E60533">
        <w:rPr>
          <w:lang w:val="fr-FR"/>
        </w:rPr>
        <w:t>.</w:t>
      </w:r>
      <w:r w:rsidRPr="008D6EB5">
        <w:rPr>
          <w:lang w:val="fr-FR"/>
        </w:rPr>
        <w:t>5</w:t>
      </w:r>
      <w:r w:rsidRPr="00CA5124">
        <w:rPr>
          <w:lang w:val="fr-FR"/>
        </w:rPr>
        <w:tab/>
      </w:r>
      <w:r w:rsidRPr="008D6EB5">
        <w:rPr>
          <w:lang w:val="fr-FR"/>
        </w:rPr>
        <w:t>Lors d</w:t>
      </w:r>
      <w:r>
        <w:rPr>
          <w:lang w:val="fr-FR"/>
        </w:rPr>
        <w:t>’</w:t>
      </w:r>
      <w:r w:rsidRPr="008D6EB5">
        <w:rPr>
          <w:lang w:val="fr-FR"/>
        </w:rPr>
        <w:t>essais effectués conformément aux paragraphes 6</w:t>
      </w:r>
      <w:r w:rsidR="00E60533" w:rsidRPr="00E60533">
        <w:rPr>
          <w:lang w:val="fr-FR"/>
        </w:rPr>
        <w:t>.</w:t>
      </w:r>
      <w:r w:rsidRPr="008D6EB5">
        <w:rPr>
          <w:lang w:val="fr-FR"/>
        </w:rPr>
        <w:t>3</w:t>
      </w:r>
      <w:r w:rsidR="00E60533" w:rsidRPr="00E60533">
        <w:rPr>
          <w:lang w:val="fr-FR"/>
        </w:rPr>
        <w:t>.</w:t>
      </w:r>
      <w:r w:rsidRPr="008D6EB5">
        <w:rPr>
          <w:lang w:val="fr-FR"/>
        </w:rPr>
        <w:t>3 et 6</w:t>
      </w:r>
      <w:r w:rsidR="00E60533" w:rsidRPr="00E60533">
        <w:rPr>
          <w:lang w:val="fr-FR"/>
        </w:rPr>
        <w:t>.</w:t>
      </w:r>
      <w:r w:rsidRPr="008D6EB5">
        <w:rPr>
          <w:lang w:val="fr-FR"/>
        </w:rPr>
        <w:t>3</w:t>
      </w:r>
      <w:r w:rsidR="00E60533" w:rsidRPr="00E60533">
        <w:rPr>
          <w:lang w:val="fr-FR"/>
        </w:rPr>
        <w:t>.</w:t>
      </w:r>
      <w:r w:rsidRPr="008D6EB5">
        <w:rPr>
          <w:lang w:val="fr-FR"/>
        </w:rPr>
        <w:t xml:space="preserve">4, une déformation permanente incluant la rupture partielle ou la casse de tout ancrage inférieur ou de la zone environnante ne constituera pas un échec si la force requise est maintenue pendant le laps de temps requis et si la déformation ne constitue pas un risque supplémentaire pour des </w:t>
      </w:r>
      <w:r w:rsidRPr="007E0378">
        <w:t>composants de sécurité</w:t>
      </w:r>
      <w:r w:rsidRPr="005E0361">
        <w:rPr>
          <w:lang w:val="fr-FR"/>
        </w:rPr>
        <w:t xml:space="preserve"> </w:t>
      </w:r>
      <w:r w:rsidRPr="008D6EB5">
        <w:rPr>
          <w:lang w:val="fr-FR"/>
        </w:rPr>
        <w:t>du véhicule, en accord avec le service technique et l</w:t>
      </w:r>
      <w:r>
        <w:rPr>
          <w:lang w:val="fr-FR"/>
        </w:rPr>
        <w:t>’</w:t>
      </w:r>
      <w:r w:rsidRPr="008D6EB5">
        <w:rPr>
          <w:lang w:val="fr-FR"/>
        </w:rPr>
        <w:t>autorité d</w:t>
      </w:r>
      <w:r>
        <w:rPr>
          <w:lang w:val="fr-FR"/>
        </w:rPr>
        <w:t>’</w:t>
      </w:r>
      <w:r w:rsidRPr="008D6EB5">
        <w:rPr>
          <w:lang w:val="fr-FR"/>
        </w:rPr>
        <w:t>homologation de type</w:t>
      </w:r>
      <w:r w:rsidR="00E60533" w:rsidRPr="00E60533">
        <w:rPr>
          <w:lang w:val="fr-FR"/>
        </w:rPr>
        <w:t>.</w:t>
      </w:r>
      <w:r w:rsidR="00027D31">
        <w:rPr>
          <w:lang w:val="fr-FR"/>
        </w:rPr>
        <w:t> </w:t>
      </w:r>
      <w:r w:rsidRPr="00CA5124">
        <w:rPr>
          <w:lang w:val="fr-FR"/>
        </w:rPr>
        <w:t>»</w:t>
      </w:r>
      <w:r w:rsidR="00E60533" w:rsidRPr="00E60533">
        <w:rPr>
          <w:lang w:val="fr-FR"/>
        </w:rPr>
        <w:t>.</w:t>
      </w:r>
    </w:p>
    <w:p w14:paraId="01BD1C4A" w14:textId="453282C2" w:rsidR="002A47A6" w:rsidRPr="00CA5124" w:rsidRDefault="002A47A6" w:rsidP="002A47A6">
      <w:pPr>
        <w:pStyle w:val="SingleTxtG"/>
        <w:rPr>
          <w:lang w:val="fr-FR"/>
        </w:rPr>
      </w:pPr>
      <w:r w:rsidRPr="00CA5124">
        <w:rPr>
          <w:i/>
          <w:iCs/>
          <w:lang w:val="fr-FR"/>
        </w:rPr>
        <w:t>Ajouter les nouveaux paragraphes 12 à 12</w:t>
      </w:r>
      <w:r w:rsidR="00E60533" w:rsidRPr="00E60533">
        <w:rPr>
          <w:i/>
          <w:iCs/>
          <w:lang w:val="fr-FR"/>
        </w:rPr>
        <w:t>.</w:t>
      </w:r>
      <w:r w:rsidRPr="00CA5124">
        <w:rPr>
          <w:i/>
          <w:iCs/>
          <w:lang w:val="fr-FR"/>
        </w:rPr>
        <w:t>4</w:t>
      </w:r>
      <w:r w:rsidRPr="00CA5124">
        <w:rPr>
          <w:lang w:val="fr-FR"/>
        </w:rPr>
        <w:t>, libellés comme suit :</w:t>
      </w:r>
    </w:p>
    <w:p w14:paraId="4EF2F7EE" w14:textId="50C10ECB" w:rsidR="002A47A6" w:rsidRPr="008D6EB5" w:rsidRDefault="002A47A6" w:rsidP="002A47A6">
      <w:pPr>
        <w:pStyle w:val="SingleTxtG"/>
        <w:ind w:left="2268" w:hanging="1134"/>
        <w:rPr>
          <w:lang w:val="fr-FR"/>
        </w:rPr>
      </w:pPr>
      <w:r w:rsidRPr="00CA5124">
        <w:rPr>
          <w:lang w:val="fr-FR"/>
        </w:rPr>
        <w:t>« </w:t>
      </w:r>
      <w:r w:rsidRPr="008D6EB5">
        <w:rPr>
          <w:lang w:val="fr-FR"/>
        </w:rPr>
        <w:t>12</w:t>
      </w:r>
      <w:r w:rsidR="00E60533" w:rsidRPr="00E60533">
        <w:rPr>
          <w:lang w:val="fr-FR"/>
        </w:rPr>
        <w:t>.</w:t>
      </w:r>
      <w:r w:rsidRPr="00CA5124">
        <w:rPr>
          <w:lang w:val="fr-FR"/>
        </w:rPr>
        <w:tab/>
      </w:r>
      <w:r w:rsidRPr="008D6EB5">
        <w:rPr>
          <w:lang w:val="fr-FR"/>
        </w:rPr>
        <w:t>Dispositions transitoires</w:t>
      </w:r>
    </w:p>
    <w:p w14:paraId="5A1E5661" w14:textId="390AF24E" w:rsidR="002A47A6" w:rsidRPr="008D6EB5" w:rsidRDefault="002A47A6" w:rsidP="002A47A6">
      <w:pPr>
        <w:pStyle w:val="SingleTxtG"/>
        <w:ind w:left="2268" w:hanging="1134"/>
        <w:rPr>
          <w:lang w:val="fr-FR"/>
        </w:rPr>
      </w:pPr>
      <w:r w:rsidRPr="008D6EB5">
        <w:rPr>
          <w:lang w:val="fr-FR"/>
        </w:rPr>
        <w:t>12</w:t>
      </w:r>
      <w:r w:rsidR="00E60533" w:rsidRPr="00E60533">
        <w:rPr>
          <w:lang w:val="fr-FR"/>
        </w:rPr>
        <w:t>.</w:t>
      </w:r>
      <w:r w:rsidRPr="008D6EB5">
        <w:rPr>
          <w:lang w:val="fr-FR"/>
        </w:rPr>
        <w:t>1</w:t>
      </w:r>
      <w:r w:rsidRPr="00CA5124">
        <w:rPr>
          <w:lang w:val="fr-FR"/>
        </w:rPr>
        <w:tab/>
      </w:r>
      <w:r w:rsidRPr="008D6EB5">
        <w:rPr>
          <w:lang w:val="fr-FR"/>
        </w:rPr>
        <w:t>À compter de la date officielle d</w:t>
      </w:r>
      <w:r>
        <w:rPr>
          <w:lang w:val="fr-FR"/>
        </w:rPr>
        <w:t>’</w:t>
      </w:r>
      <w:r w:rsidRPr="008D6EB5">
        <w:rPr>
          <w:lang w:val="fr-FR"/>
        </w:rPr>
        <w:t>entrée en vigueur de la série 01 d</w:t>
      </w:r>
      <w:r>
        <w:rPr>
          <w:lang w:val="fr-FR"/>
        </w:rPr>
        <w:t>’</w:t>
      </w:r>
      <w:r w:rsidRPr="008D6EB5">
        <w:rPr>
          <w:lang w:val="fr-FR"/>
        </w:rPr>
        <w:t>amendements, aucune Partie contractante appliquant le présent Règlement ne pourra refuser d</w:t>
      </w:r>
      <w:r>
        <w:rPr>
          <w:lang w:val="fr-FR"/>
        </w:rPr>
        <w:t>’</w:t>
      </w:r>
      <w:r w:rsidRPr="008D6EB5">
        <w:rPr>
          <w:lang w:val="fr-FR"/>
        </w:rPr>
        <w:t>accorder ou d</w:t>
      </w:r>
      <w:r>
        <w:rPr>
          <w:lang w:val="fr-FR"/>
        </w:rPr>
        <w:t>’</w:t>
      </w:r>
      <w:r w:rsidRPr="008D6EB5">
        <w:rPr>
          <w:lang w:val="fr-FR"/>
        </w:rPr>
        <w:t>accepter une homologation</w:t>
      </w:r>
      <w:r w:rsidRPr="007C6DC9">
        <w:rPr>
          <w:b/>
          <w:bCs/>
          <w:lang w:val="fr-FR"/>
        </w:rPr>
        <w:t xml:space="preserve"> </w:t>
      </w:r>
      <w:r w:rsidRPr="008D6EB5">
        <w:rPr>
          <w:lang w:val="fr-FR"/>
        </w:rPr>
        <w:t>de type ONU en vertu dudit Règlement tel que modifié par la série 01 d</w:t>
      </w:r>
      <w:r>
        <w:rPr>
          <w:lang w:val="fr-FR"/>
        </w:rPr>
        <w:t>’</w:t>
      </w:r>
      <w:r w:rsidRPr="008D6EB5">
        <w:rPr>
          <w:lang w:val="fr-FR"/>
        </w:rPr>
        <w:t>amendements</w:t>
      </w:r>
      <w:r w:rsidR="00E60533" w:rsidRPr="00E60533">
        <w:rPr>
          <w:lang w:val="fr-FR"/>
        </w:rPr>
        <w:t>.</w:t>
      </w:r>
      <w:r w:rsidRPr="00CA5124">
        <w:rPr>
          <w:lang w:val="fr-FR"/>
        </w:rPr>
        <w:t xml:space="preserve"> </w:t>
      </w:r>
    </w:p>
    <w:p w14:paraId="58E4ADD0" w14:textId="440E68BD" w:rsidR="002A47A6" w:rsidRPr="008D6EB5" w:rsidRDefault="002A47A6" w:rsidP="002A47A6">
      <w:pPr>
        <w:pStyle w:val="SingleTxtG"/>
        <w:ind w:left="2268" w:hanging="1134"/>
        <w:rPr>
          <w:lang w:val="fr-FR"/>
        </w:rPr>
      </w:pPr>
      <w:r w:rsidRPr="008D6EB5">
        <w:rPr>
          <w:lang w:val="fr-FR"/>
        </w:rPr>
        <w:lastRenderedPageBreak/>
        <w:t>12</w:t>
      </w:r>
      <w:r w:rsidR="00E60533" w:rsidRPr="00E60533">
        <w:rPr>
          <w:lang w:val="fr-FR"/>
        </w:rPr>
        <w:t>.</w:t>
      </w:r>
      <w:r w:rsidRPr="008D6EB5">
        <w:rPr>
          <w:lang w:val="fr-FR"/>
        </w:rPr>
        <w:t>2</w:t>
      </w:r>
      <w:r w:rsidRPr="00CA5124">
        <w:rPr>
          <w:lang w:val="fr-FR"/>
        </w:rPr>
        <w:tab/>
      </w:r>
      <w:r w:rsidRPr="008D6EB5">
        <w:rPr>
          <w:lang w:val="fr-FR"/>
        </w:rPr>
        <w:t>À compter du 1</w:t>
      </w:r>
      <w:r w:rsidRPr="008D6EB5">
        <w:rPr>
          <w:vertAlign w:val="superscript"/>
          <w:lang w:val="fr-FR"/>
        </w:rPr>
        <w:t>er</w:t>
      </w:r>
      <w:r w:rsidRPr="008D6EB5">
        <w:rPr>
          <w:lang w:val="fr-FR"/>
        </w:rPr>
        <w:t> septembre 2026, les Parties contractantes appliquant le présent Règlement ne seront plus tenues d</w:t>
      </w:r>
      <w:r>
        <w:rPr>
          <w:lang w:val="fr-FR"/>
        </w:rPr>
        <w:t>’</w:t>
      </w:r>
      <w:r w:rsidRPr="008D6EB5">
        <w:rPr>
          <w:lang w:val="fr-FR"/>
        </w:rPr>
        <w:t>accepter les homologations de type ONU établies conformément aux précédentes séries d</w:t>
      </w:r>
      <w:r>
        <w:rPr>
          <w:lang w:val="fr-FR"/>
        </w:rPr>
        <w:t>’</w:t>
      </w:r>
      <w:r w:rsidRPr="008D6EB5">
        <w:rPr>
          <w:lang w:val="fr-FR"/>
        </w:rPr>
        <w:t>amendements, délivrées pour la première fois après le 1</w:t>
      </w:r>
      <w:r w:rsidRPr="008D6EB5">
        <w:rPr>
          <w:vertAlign w:val="superscript"/>
          <w:lang w:val="fr-FR"/>
        </w:rPr>
        <w:t>er</w:t>
      </w:r>
      <w:r w:rsidRPr="008D6EB5">
        <w:rPr>
          <w:lang w:val="fr-FR"/>
        </w:rPr>
        <w:t> septembre 2026</w:t>
      </w:r>
      <w:r w:rsidR="00E60533" w:rsidRPr="00E60533">
        <w:rPr>
          <w:lang w:val="fr-FR"/>
        </w:rPr>
        <w:t>.</w:t>
      </w:r>
      <w:r w:rsidRPr="00CA5124">
        <w:rPr>
          <w:lang w:val="fr-FR"/>
        </w:rPr>
        <w:t xml:space="preserve"> </w:t>
      </w:r>
    </w:p>
    <w:p w14:paraId="57ECF7F3" w14:textId="585FE60B" w:rsidR="002A47A6" w:rsidRPr="008D6EB5" w:rsidRDefault="002A47A6" w:rsidP="002A47A6">
      <w:pPr>
        <w:pStyle w:val="SingleTxtG"/>
        <w:ind w:left="2268" w:hanging="1134"/>
        <w:rPr>
          <w:lang w:val="fr-FR"/>
        </w:rPr>
      </w:pPr>
      <w:r w:rsidRPr="008D6EB5">
        <w:t>12</w:t>
      </w:r>
      <w:r w:rsidR="00E60533" w:rsidRPr="00E60533">
        <w:rPr>
          <w:lang w:val="fr-FR"/>
        </w:rPr>
        <w:t>.</w:t>
      </w:r>
      <w:r w:rsidRPr="008D6EB5">
        <w:rPr>
          <w:lang w:val="fr-FR"/>
        </w:rPr>
        <w:t>3</w:t>
      </w:r>
      <w:r w:rsidRPr="00CA5124">
        <w:rPr>
          <w:lang w:val="fr-FR"/>
        </w:rPr>
        <w:tab/>
      </w:r>
      <w:r w:rsidRPr="008D6EB5">
        <w:rPr>
          <w:lang w:val="fr-FR"/>
        </w:rPr>
        <w:t>À compter du 1</w:t>
      </w:r>
      <w:r w:rsidRPr="008D6EB5">
        <w:rPr>
          <w:vertAlign w:val="superscript"/>
          <w:lang w:val="fr-FR"/>
        </w:rPr>
        <w:t>er</w:t>
      </w:r>
      <w:r w:rsidRPr="008D6EB5">
        <w:rPr>
          <w:lang w:val="fr-FR"/>
        </w:rPr>
        <w:t> septembre 2027, les Parties contractantes appliquant le présent Règlement ne seront plus tenues d</w:t>
      </w:r>
      <w:r>
        <w:rPr>
          <w:lang w:val="fr-FR"/>
        </w:rPr>
        <w:t>’</w:t>
      </w:r>
      <w:r w:rsidRPr="008D6EB5">
        <w:rPr>
          <w:lang w:val="fr-FR"/>
        </w:rPr>
        <w:t>accepter les homologations de type délivrées en vertu des précédentes séries d</w:t>
      </w:r>
      <w:r>
        <w:rPr>
          <w:lang w:val="fr-FR"/>
        </w:rPr>
        <w:t>’</w:t>
      </w:r>
      <w:r w:rsidRPr="008D6EB5">
        <w:rPr>
          <w:lang w:val="fr-FR"/>
        </w:rPr>
        <w:t>amendements audit Règlement</w:t>
      </w:r>
      <w:r w:rsidR="00E60533" w:rsidRPr="00E60533">
        <w:rPr>
          <w:lang w:val="fr-FR"/>
        </w:rPr>
        <w:t>.</w:t>
      </w:r>
    </w:p>
    <w:p w14:paraId="38F11AFE" w14:textId="588641E0" w:rsidR="002A47A6" w:rsidRPr="008D6EB5" w:rsidRDefault="002A47A6" w:rsidP="002A47A6">
      <w:pPr>
        <w:pStyle w:val="SingleTxtG"/>
        <w:ind w:left="2268" w:hanging="1134"/>
        <w:rPr>
          <w:lang w:val="fr-FR"/>
        </w:rPr>
      </w:pPr>
      <w:r w:rsidRPr="008D6EB5">
        <w:rPr>
          <w:lang w:val="fr-FR"/>
        </w:rPr>
        <w:t>12</w:t>
      </w:r>
      <w:r w:rsidR="00E60533" w:rsidRPr="00E60533">
        <w:rPr>
          <w:lang w:val="fr-FR"/>
        </w:rPr>
        <w:t>.</w:t>
      </w:r>
      <w:r w:rsidRPr="008D6EB5">
        <w:rPr>
          <w:lang w:val="fr-FR"/>
        </w:rPr>
        <w:t>4</w:t>
      </w:r>
      <w:r w:rsidRPr="00CA5124">
        <w:rPr>
          <w:lang w:val="fr-FR"/>
        </w:rPr>
        <w:tab/>
      </w:r>
      <w:r w:rsidRPr="008D6EB5">
        <w:rPr>
          <w:lang w:val="fr-FR"/>
        </w:rPr>
        <w:t>Nonobstant les dispositions des paragraphes</w:t>
      </w:r>
      <w:r w:rsidR="00A92F5B">
        <w:rPr>
          <w:lang w:val="fr-FR"/>
        </w:rPr>
        <w:t> </w:t>
      </w:r>
      <w:r w:rsidRPr="008D6EB5">
        <w:rPr>
          <w:lang w:val="fr-FR"/>
        </w:rPr>
        <w:t>12</w:t>
      </w:r>
      <w:r w:rsidR="00E60533" w:rsidRPr="00E60533">
        <w:rPr>
          <w:lang w:val="fr-FR"/>
        </w:rPr>
        <w:t>.</w:t>
      </w:r>
      <w:r w:rsidRPr="008D6EB5">
        <w:rPr>
          <w:lang w:val="fr-FR"/>
        </w:rPr>
        <w:t>2 et 12</w:t>
      </w:r>
      <w:r w:rsidR="00E60533" w:rsidRPr="00E60533">
        <w:rPr>
          <w:lang w:val="fr-FR"/>
        </w:rPr>
        <w:t>.</w:t>
      </w:r>
      <w:r w:rsidRPr="008D6EB5">
        <w:rPr>
          <w:lang w:val="fr-FR"/>
        </w:rPr>
        <w:t>3, les Parties contractantes appliquant le présent Règlement continueront de reconnaître les homologations de type ONU délivrées au titre des précédentes séries d</w:t>
      </w:r>
      <w:r>
        <w:rPr>
          <w:lang w:val="fr-FR"/>
        </w:rPr>
        <w:t>’</w:t>
      </w:r>
      <w:r w:rsidRPr="008D6EB5">
        <w:rPr>
          <w:lang w:val="fr-FR"/>
        </w:rPr>
        <w:t>amendements audit Règlement pour les types de véhicules non concernés par les modifications apportées par la série 01 d</w:t>
      </w:r>
      <w:r>
        <w:rPr>
          <w:lang w:val="fr-FR"/>
        </w:rPr>
        <w:t>’</w:t>
      </w:r>
      <w:r w:rsidRPr="008D6EB5">
        <w:rPr>
          <w:lang w:val="fr-FR"/>
        </w:rPr>
        <w:t>amendements et d</w:t>
      </w:r>
      <w:r>
        <w:rPr>
          <w:lang w:val="fr-FR"/>
        </w:rPr>
        <w:t>’</w:t>
      </w:r>
      <w:r w:rsidRPr="008D6EB5">
        <w:rPr>
          <w:lang w:val="fr-FR"/>
        </w:rPr>
        <w:t>accorder des extensions pour les homologations en question</w:t>
      </w:r>
      <w:r w:rsidR="00E60533" w:rsidRPr="00E60533">
        <w:rPr>
          <w:lang w:val="fr-FR"/>
        </w:rPr>
        <w:t>.</w:t>
      </w:r>
      <w:r w:rsidRPr="00CA5124">
        <w:rPr>
          <w:lang w:val="fr-FR"/>
        </w:rPr>
        <w:t> »</w:t>
      </w:r>
      <w:r w:rsidR="00E60533" w:rsidRPr="00E60533">
        <w:rPr>
          <w:lang w:val="fr-FR"/>
        </w:rPr>
        <w:t>.</w:t>
      </w:r>
    </w:p>
    <w:p w14:paraId="14A54377" w14:textId="77777777" w:rsidR="002A47A6" w:rsidRPr="007C6DC9" w:rsidRDefault="002A47A6" w:rsidP="002A47A6">
      <w:pPr>
        <w:rPr>
          <w:i/>
          <w:iCs/>
          <w:lang w:val="fr-FR"/>
        </w:rPr>
      </w:pPr>
      <w:r w:rsidRPr="007C6DC9">
        <w:rPr>
          <w:i/>
          <w:iCs/>
          <w:lang w:val="fr-FR"/>
        </w:rPr>
        <w:br w:type="page"/>
      </w:r>
    </w:p>
    <w:p w14:paraId="2319E0C2" w14:textId="77777777" w:rsidR="002A47A6" w:rsidRPr="007C6DC9" w:rsidRDefault="002A47A6" w:rsidP="002A47A6">
      <w:pPr>
        <w:pStyle w:val="SingleTxtG"/>
        <w:rPr>
          <w:lang w:val="fr-FR"/>
        </w:rPr>
      </w:pPr>
      <w:r w:rsidRPr="007C6DC9">
        <w:rPr>
          <w:i/>
          <w:iCs/>
          <w:lang w:val="fr-FR"/>
        </w:rPr>
        <w:lastRenderedPageBreak/>
        <w:t>Annexe 1</w:t>
      </w:r>
      <w:r w:rsidRPr="007C6DC9">
        <w:rPr>
          <w:lang w:val="fr-FR"/>
        </w:rPr>
        <w:t>, lire :</w:t>
      </w:r>
    </w:p>
    <w:p w14:paraId="32D0329E" w14:textId="77777777" w:rsidR="002A47A6" w:rsidRPr="007C6DC9" w:rsidRDefault="002A47A6" w:rsidP="002A47A6">
      <w:pPr>
        <w:pStyle w:val="HChG"/>
        <w:rPr>
          <w:lang w:val="fr-FR"/>
        </w:rPr>
      </w:pPr>
      <w:r w:rsidRPr="007C6DC9">
        <w:rPr>
          <w:lang w:val="fr-FR"/>
        </w:rPr>
        <w:t>« Annexe 1</w:t>
      </w:r>
    </w:p>
    <w:p w14:paraId="78329D74" w14:textId="77777777" w:rsidR="002A47A6" w:rsidRPr="007C6DC9" w:rsidRDefault="002A47A6" w:rsidP="002A47A6">
      <w:pPr>
        <w:pStyle w:val="HChG"/>
        <w:rPr>
          <w:lang w:val="fr-FR"/>
        </w:rPr>
      </w:pPr>
      <w:r w:rsidRPr="007C6DC9">
        <w:rPr>
          <w:lang w:val="fr-FR"/>
        </w:rPr>
        <w:tab/>
      </w:r>
      <w:r w:rsidRPr="007C6DC9">
        <w:rPr>
          <w:lang w:val="fr-FR"/>
        </w:rPr>
        <w:tab/>
        <w:t>Communication</w:t>
      </w:r>
    </w:p>
    <w:p w14:paraId="57618BC8" w14:textId="121C4C26" w:rsidR="002A47A6" w:rsidRDefault="002A47A6" w:rsidP="001978A7">
      <w:pPr>
        <w:pStyle w:val="SingleTxtG"/>
        <w:rPr>
          <w:lang w:val="fr-FR"/>
        </w:rPr>
      </w:pPr>
      <w:r w:rsidRPr="007C6DC9">
        <w:rPr>
          <w:lang w:val="fr-FR"/>
        </w:rPr>
        <w:t>(format maximal : A4 (210 x 297 mm))</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704350" w:rsidRPr="00D96394" w14:paraId="17F6F425" w14:textId="77777777" w:rsidTr="00117F9C">
        <w:tc>
          <w:tcPr>
            <w:tcW w:w="3402" w:type="dxa"/>
          </w:tcPr>
          <w:bookmarkStart w:id="0" w:name="_MON_1420453160"/>
          <w:bookmarkStart w:id="1" w:name="_MON_1420453756"/>
          <w:bookmarkEnd w:id="0"/>
          <w:bookmarkEnd w:id="1"/>
          <w:p w14:paraId="6D0C9CA8" w14:textId="377AEE13" w:rsidR="00704350" w:rsidRPr="00D96394" w:rsidRDefault="00704350" w:rsidP="00117F9C">
            <w:pPr>
              <w:pStyle w:val="SingleTxtG"/>
              <w:spacing w:after="0"/>
              <w:ind w:left="0"/>
            </w:pPr>
            <w:r w:rsidRPr="00D96394">
              <w:object w:dxaOrig="1684" w:dyaOrig="1675" w14:anchorId="17107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84pt;height:83.55pt" o:ole="">
                  <v:imagedata r:id="rId9" o:title=""/>
                </v:shape>
                <o:OLEObject Type="Embed" ProgID="Word.Picture.8" ShapeID="_x0000_i1106" DrawAspect="Content" ObjectID="_1757405535" r:id="rId10"/>
              </w:object>
            </w:r>
            <w:r w:rsidRPr="001978A7">
              <w:rPr>
                <w:rStyle w:val="Appelnotedebasdep"/>
                <w:color w:val="FFFFFF" w:themeColor="background1"/>
              </w:rPr>
              <w:footnoteReference w:id="3"/>
            </w:r>
          </w:p>
        </w:tc>
        <w:tc>
          <w:tcPr>
            <w:tcW w:w="3969" w:type="dxa"/>
          </w:tcPr>
          <w:p w14:paraId="17E2C741" w14:textId="4D3A93B6" w:rsidR="00704350" w:rsidRPr="00D96394" w:rsidRDefault="00704350" w:rsidP="00117F9C">
            <w:pPr>
              <w:ind w:left="1701" w:hanging="1701"/>
            </w:pPr>
            <w:r w:rsidRPr="00D96394">
              <w:t>Émanant de</w:t>
            </w:r>
            <w:r w:rsidR="00F46FA4">
              <w:t> </w:t>
            </w:r>
            <w:r w:rsidRPr="00D96394">
              <w:t>:</w:t>
            </w:r>
            <w:r w:rsidRPr="00D96394">
              <w:tab/>
              <w:t>Nom de l’administration</w:t>
            </w:r>
            <w:r w:rsidR="00F46FA4">
              <w:t> </w:t>
            </w:r>
            <w:r w:rsidRPr="00D96394">
              <w:t>:</w:t>
            </w:r>
          </w:p>
          <w:p w14:paraId="7202C394" w14:textId="77777777" w:rsidR="00704350" w:rsidRPr="00D96394" w:rsidRDefault="00704350" w:rsidP="00117F9C">
            <w:pPr>
              <w:pStyle w:val="SingleTxtG"/>
              <w:tabs>
                <w:tab w:val="right" w:leader="dot" w:pos="3686"/>
              </w:tabs>
              <w:spacing w:after="0"/>
              <w:ind w:left="1701" w:right="0"/>
            </w:pPr>
            <w:r w:rsidRPr="00D96394">
              <w:tab/>
            </w:r>
          </w:p>
          <w:p w14:paraId="6F160318" w14:textId="77777777" w:rsidR="00704350" w:rsidRPr="00D96394" w:rsidRDefault="00704350" w:rsidP="00117F9C">
            <w:pPr>
              <w:pStyle w:val="SingleTxtG"/>
              <w:tabs>
                <w:tab w:val="right" w:leader="dot" w:pos="3686"/>
              </w:tabs>
              <w:spacing w:after="0"/>
              <w:ind w:left="1701" w:right="0"/>
            </w:pPr>
            <w:r w:rsidRPr="00D96394">
              <w:tab/>
            </w:r>
          </w:p>
          <w:p w14:paraId="3A819326" w14:textId="77777777" w:rsidR="00704350" w:rsidRPr="00D96394" w:rsidRDefault="00704350" w:rsidP="00117F9C">
            <w:pPr>
              <w:pStyle w:val="SingleTxtG"/>
              <w:tabs>
                <w:tab w:val="right" w:leader="dot" w:pos="3686"/>
              </w:tabs>
              <w:spacing w:after="0"/>
              <w:ind w:left="1701" w:right="0"/>
            </w:pPr>
            <w:r w:rsidRPr="00D96394">
              <w:tab/>
            </w:r>
          </w:p>
        </w:tc>
      </w:tr>
    </w:tbl>
    <w:p w14:paraId="66ECBC85" w14:textId="024FDA05" w:rsidR="002A47A6" w:rsidRPr="007C6DC9" w:rsidRDefault="002A47A6" w:rsidP="00704350">
      <w:pPr>
        <w:pStyle w:val="SingleTxtG"/>
        <w:kinsoku/>
        <w:overflowPunct/>
        <w:autoSpaceDE/>
        <w:autoSpaceDN/>
        <w:adjustRightInd/>
        <w:snapToGrid/>
        <w:spacing w:before="120"/>
        <w:ind w:left="2552" w:hanging="1418"/>
        <w:jc w:val="left"/>
        <w:rPr>
          <w:lang w:val="fr-FR"/>
        </w:rPr>
      </w:pPr>
      <w:r w:rsidRPr="007C6DC9">
        <w:rPr>
          <w:lang w:val="fr-FR"/>
        </w:rPr>
        <w:t>concernant</w:t>
      </w:r>
      <w:r w:rsidR="001978A7">
        <w:rPr>
          <w:rStyle w:val="Appelnotedebasdep"/>
        </w:rPr>
        <w:footnoteReference w:id="4"/>
      </w:r>
      <w:r w:rsidRPr="007C6DC9">
        <w:rPr>
          <w:lang w:val="fr-FR"/>
        </w:rPr>
        <w:t> :</w:t>
      </w:r>
      <w:r w:rsidRPr="007C6DC9">
        <w:rPr>
          <w:lang w:val="fr-FR"/>
        </w:rPr>
        <w:tab/>
        <w:t>Délivrance d</w:t>
      </w:r>
      <w:r>
        <w:rPr>
          <w:lang w:val="fr-FR"/>
        </w:rPr>
        <w:t>’</w:t>
      </w:r>
      <w:r w:rsidRPr="007C6DC9">
        <w:rPr>
          <w:lang w:val="fr-FR"/>
        </w:rPr>
        <w:t>une homologation</w:t>
      </w:r>
      <w:r w:rsidR="00704350">
        <w:rPr>
          <w:lang w:val="fr-FR"/>
        </w:rPr>
        <w:t xml:space="preserve"> </w:t>
      </w:r>
      <w:r w:rsidR="00704350">
        <w:rPr>
          <w:lang w:val="fr-FR"/>
        </w:rPr>
        <w:br/>
      </w:r>
      <w:r w:rsidRPr="007C6DC9">
        <w:rPr>
          <w:lang w:val="fr-FR"/>
        </w:rPr>
        <w:t>Extension d</w:t>
      </w:r>
      <w:r>
        <w:rPr>
          <w:lang w:val="fr-FR"/>
        </w:rPr>
        <w:t>’</w:t>
      </w:r>
      <w:r w:rsidRPr="007C6DC9">
        <w:rPr>
          <w:lang w:val="fr-FR"/>
        </w:rPr>
        <w:t>homologation</w:t>
      </w:r>
      <w:r w:rsidR="00704350">
        <w:rPr>
          <w:lang w:val="fr-FR"/>
        </w:rPr>
        <w:t xml:space="preserve"> </w:t>
      </w:r>
      <w:r w:rsidR="00704350">
        <w:rPr>
          <w:lang w:val="fr-FR"/>
        </w:rPr>
        <w:br/>
      </w:r>
      <w:r w:rsidRPr="007C6DC9">
        <w:rPr>
          <w:lang w:val="fr-FR"/>
        </w:rPr>
        <w:t>Refus d</w:t>
      </w:r>
      <w:r>
        <w:rPr>
          <w:lang w:val="fr-FR"/>
        </w:rPr>
        <w:t>’</w:t>
      </w:r>
      <w:r w:rsidRPr="007C6DC9">
        <w:rPr>
          <w:lang w:val="fr-FR"/>
        </w:rPr>
        <w:t>homologation</w:t>
      </w:r>
      <w:r w:rsidR="00704350">
        <w:rPr>
          <w:lang w:val="fr-FR"/>
        </w:rPr>
        <w:t xml:space="preserve"> </w:t>
      </w:r>
      <w:r w:rsidR="00704350">
        <w:rPr>
          <w:lang w:val="fr-FR"/>
        </w:rPr>
        <w:br/>
      </w:r>
      <w:r w:rsidRPr="007C6DC9">
        <w:rPr>
          <w:lang w:val="fr-FR"/>
        </w:rPr>
        <w:t>Retrait d</w:t>
      </w:r>
      <w:r>
        <w:rPr>
          <w:lang w:val="fr-FR"/>
        </w:rPr>
        <w:t>’</w:t>
      </w:r>
      <w:r w:rsidRPr="007C6DC9">
        <w:rPr>
          <w:lang w:val="fr-FR"/>
        </w:rPr>
        <w:t>homologation</w:t>
      </w:r>
      <w:r w:rsidR="00704350">
        <w:rPr>
          <w:lang w:val="fr-FR"/>
        </w:rPr>
        <w:t xml:space="preserve"> </w:t>
      </w:r>
      <w:r w:rsidR="00704350">
        <w:rPr>
          <w:lang w:val="fr-FR"/>
        </w:rPr>
        <w:br/>
      </w:r>
      <w:r w:rsidRPr="007C6DC9">
        <w:rPr>
          <w:lang w:val="fr-FR"/>
        </w:rPr>
        <w:t>Arrêt définitif de la production</w:t>
      </w:r>
    </w:p>
    <w:p w14:paraId="23093979" w14:textId="7D6AD573" w:rsidR="002A47A6" w:rsidRPr="00C8553D" w:rsidRDefault="002A47A6" w:rsidP="002A47A6">
      <w:pPr>
        <w:pStyle w:val="SingleTxtG"/>
        <w:spacing w:before="240"/>
      </w:pPr>
      <w:r w:rsidRPr="00C8553D">
        <w:t>d</w:t>
      </w:r>
      <w:r>
        <w:t>’</w:t>
      </w:r>
      <w:r w:rsidRPr="00C8553D">
        <w:t>un type de véhicule en ce qui concerne</w:t>
      </w:r>
      <w:r>
        <w:t xml:space="preserve"> </w:t>
      </w:r>
      <w:r w:rsidRPr="00C8553D">
        <w:t>les systèmes d</w:t>
      </w:r>
      <w:r>
        <w:t>’</w:t>
      </w:r>
      <w:r w:rsidRPr="00C8553D">
        <w:t xml:space="preserve">ancrages ISOFIX, les ancrages </w:t>
      </w:r>
      <w:r w:rsidRPr="008D6EB5">
        <w:t xml:space="preserve">pour fixation supérieure </w:t>
      </w:r>
      <w:r w:rsidRPr="00C8553D">
        <w:t>ISOFIX</w:t>
      </w:r>
      <w:r w:rsidRPr="008D6EB5">
        <w:t>,</w:t>
      </w:r>
      <w:r w:rsidRPr="00C8553D">
        <w:t xml:space="preserve"> les positions i-Size </w:t>
      </w:r>
      <w:r w:rsidRPr="008D6EB5">
        <w:t>et les ancrages pour fixation inférieure, le cas échéant</w:t>
      </w:r>
      <w:r w:rsidRPr="00C8553D">
        <w:t>, en application du Règlement ONU n</w:t>
      </w:r>
      <w:r w:rsidRPr="00C8553D">
        <w:rPr>
          <w:vertAlign w:val="superscript"/>
        </w:rPr>
        <w:t>o</w:t>
      </w:r>
      <w:r w:rsidRPr="00C8553D">
        <w:t> 145</w:t>
      </w:r>
      <w:r w:rsidR="00E60533" w:rsidRPr="00E60533">
        <w:t>.</w:t>
      </w:r>
    </w:p>
    <w:p w14:paraId="62A8E5D4" w14:textId="43A18581" w:rsidR="002A47A6" w:rsidRPr="007C6DC9" w:rsidRDefault="002A47A6" w:rsidP="00704350">
      <w:pPr>
        <w:pStyle w:val="SingleTxtG"/>
        <w:tabs>
          <w:tab w:val="right" w:leader="dot" w:pos="4253"/>
          <w:tab w:val="left" w:pos="4536"/>
          <w:tab w:val="right" w:leader="dot" w:pos="8505"/>
        </w:tabs>
        <w:kinsoku/>
        <w:overflowPunct/>
        <w:autoSpaceDE/>
        <w:autoSpaceDN/>
        <w:adjustRightInd/>
        <w:snapToGrid/>
        <w:jc w:val="left"/>
      </w:pPr>
      <w:r w:rsidRPr="007C6DC9">
        <w:t>N</w:t>
      </w:r>
      <w:r w:rsidRPr="007C6DC9">
        <w:rPr>
          <w:vertAlign w:val="superscript"/>
        </w:rPr>
        <w:t>o</w:t>
      </w:r>
      <w:r w:rsidRPr="007C6DC9">
        <w:t xml:space="preserve"> d</w:t>
      </w:r>
      <w:r>
        <w:t>’</w:t>
      </w:r>
      <w:r w:rsidRPr="007C6DC9">
        <w:t xml:space="preserve">homologation : </w:t>
      </w:r>
      <w:r w:rsidR="00704350" w:rsidRPr="00D96394">
        <w:tab/>
      </w:r>
      <w:r w:rsidR="00704350">
        <w:tab/>
      </w:r>
      <w:r w:rsidRPr="007C6DC9">
        <w:t>N</w:t>
      </w:r>
      <w:r w:rsidRPr="007C6DC9">
        <w:rPr>
          <w:vertAlign w:val="superscript"/>
        </w:rPr>
        <w:t>o</w:t>
      </w:r>
      <w:r w:rsidRPr="007C6DC9">
        <w:t xml:space="preserve"> d</w:t>
      </w:r>
      <w:r>
        <w:t>’</w:t>
      </w:r>
      <w:r w:rsidRPr="007C6DC9">
        <w:t xml:space="preserve">extension : </w:t>
      </w:r>
      <w:r w:rsidR="00704350">
        <w:tab/>
      </w:r>
    </w:p>
    <w:p w14:paraId="0485E55D" w14:textId="3600B046" w:rsidR="002A47A6" w:rsidRPr="008D6EB5" w:rsidRDefault="002A47A6" w:rsidP="00704350">
      <w:pPr>
        <w:pStyle w:val="SingleTxtG"/>
        <w:tabs>
          <w:tab w:val="right" w:leader="dot" w:pos="8505"/>
        </w:tabs>
        <w:kinsoku/>
        <w:overflowPunct/>
        <w:autoSpaceDE/>
        <w:autoSpaceDN/>
        <w:adjustRightInd/>
        <w:snapToGrid/>
        <w:ind w:left="1701" w:hanging="567"/>
        <w:jc w:val="left"/>
        <w:rPr>
          <w:rFonts w:eastAsia="Times New Roman"/>
          <w:lang w:eastAsia="fr-FR"/>
        </w:rPr>
      </w:pPr>
      <w:r w:rsidRPr="008D6EB5">
        <w:rPr>
          <w:rFonts w:eastAsia="Times New Roman"/>
          <w:lang w:eastAsia="fr-FR"/>
        </w:rPr>
        <w:t>1</w:t>
      </w:r>
      <w:r w:rsidR="00E60533" w:rsidRPr="00E60533">
        <w:rPr>
          <w:rFonts w:eastAsia="Times New Roman"/>
          <w:lang w:eastAsia="fr-FR"/>
        </w:rPr>
        <w:t>.</w:t>
      </w:r>
      <w:r w:rsidRPr="008D6EB5">
        <w:rPr>
          <w:rFonts w:eastAsia="Times New Roman"/>
          <w:lang w:eastAsia="fr-FR"/>
        </w:rPr>
        <w:tab/>
        <w:t>Marque de fabrique ou de commerce du véhicule à moteur :</w:t>
      </w:r>
      <w:r w:rsidRPr="008D6EB5">
        <w:rPr>
          <w:rFonts w:eastAsia="Times New Roman"/>
          <w:lang w:eastAsia="fr-FR"/>
        </w:rPr>
        <w:tab/>
      </w:r>
      <w:r w:rsidRPr="008D6EB5">
        <w:rPr>
          <w:rFonts w:eastAsia="Times New Roman"/>
          <w:lang w:eastAsia="fr-FR"/>
        </w:rPr>
        <w:tab/>
      </w:r>
    </w:p>
    <w:p w14:paraId="1FBCD11E" w14:textId="1EB7391E" w:rsidR="002A47A6" w:rsidRPr="008D6EB5" w:rsidRDefault="002A47A6" w:rsidP="00704350">
      <w:pPr>
        <w:pStyle w:val="SingleTxtG"/>
        <w:tabs>
          <w:tab w:val="right" w:leader="dot" w:pos="8505"/>
        </w:tabs>
        <w:kinsoku/>
        <w:overflowPunct/>
        <w:autoSpaceDE/>
        <w:autoSpaceDN/>
        <w:adjustRightInd/>
        <w:snapToGrid/>
        <w:ind w:left="1701" w:hanging="567"/>
        <w:jc w:val="left"/>
        <w:rPr>
          <w:rFonts w:eastAsia="Times New Roman"/>
          <w:lang w:eastAsia="fr-FR"/>
        </w:rPr>
      </w:pPr>
      <w:r w:rsidRPr="008D6EB5">
        <w:rPr>
          <w:rFonts w:eastAsia="Times New Roman"/>
          <w:lang w:eastAsia="fr-FR"/>
        </w:rPr>
        <w:t>2</w:t>
      </w:r>
      <w:r w:rsidR="00E60533" w:rsidRPr="00E60533">
        <w:rPr>
          <w:rFonts w:eastAsia="Times New Roman"/>
          <w:lang w:eastAsia="fr-FR"/>
        </w:rPr>
        <w:t>.</w:t>
      </w:r>
      <w:r w:rsidRPr="008D6EB5">
        <w:rPr>
          <w:rFonts w:eastAsia="Times New Roman"/>
          <w:lang w:eastAsia="fr-FR"/>
        </w:rPr>
        <w:tab/>
        <w:t>Type du véhicule :</w:t>
      </w:r>
      <w:r w:rsidRPr="008D6EB5">
        <w:rPr>
          <w:rFonts w:eastAsia="Times New Roman"/>
          <w:lang w:eastAsia="fr-FR"/>
        </w:rPr>
        <w:tab/>
      </w:r>
      <w:r w:rsidRPr="008D6EB5">
        <w:rPr>
          <w:rFonts w:eastAsia="Times New Roman"/>
          <w:lang w:eastAsia="fr-FR"/>
        </w:rPr>
        <w:tab/>
      </w:r>
    </w:p>
    <w:p w14:paraId="29AF2572" w14:textId="67E7FD59" w:rsidR="002A47A6" w:rsidRPr="008D6EB5" w:rsidRDefault="002A47A6" w:rsidP="00704350">
      <w:pPr>
        <w:pStyle w:val="SingleTxtG"/>
        <w:tabs>
          <w:tab w:val="right" w:leader="dot" w:pos="8505"/>
        </w:tabs>
        <w:kinsoku/>
        <w:overflowPunct/>
        <w:autoSpaceDE/>
        <w:autoSpaceDN/>
        <w:adjustRightInd/>
        <w:snapToGrid/>
        <w:ind w:left="1701" w:hanging="567"/>
        <w:jc w:val="left"/>
        <w:rPr>
          <w:rFonts w:eastAsia="Times New Roman"/>
          <w:lang w:eastAsia="fr-FR"/>
        </w:rPr>
      </w:pPr>
      <w:r w:rsidRPr="008D6EB5">
        <w:rPr>
          <w:rFonts w:eastAsia="Times New Roman"/>
          <w:lang w:eastAsia="fr-FR"/>
        </w:rPr>
        <w:t>3</w:t>
      </w:r>
      <w:r w:rsidR="00E60533" w:rsidRPr="00E60533">
        <w:rPr>
          <w:rFonts w:eastAsia="Times New Roman"/>
          <w:lang w:eastAsia="fr-FR"/>
        </w:rPr>
        <w:t>.</w:t>
      </w:r>
      <w:r w:rsidRPr="008D6EB5">
        <w:rPr>
          <w:rFonts w:eastAsia="Times New Roman"/>
          <w:lang w:eastAsia="fr-FR"/>
        </w:rPr>
        <w:tab/>
        <w:t>Nom et adresse du constructeur :</w:t>
      </w:r>
      <w:r w:rsidRPr="008D6EB5">
        <w:rPr>
          <w:rFonts w:eastAsia="Times New Roman"/>
          <w:lang w:eastAsia="fr-FR"/>
        </w:rPr>
        <w:tab/>
      </w:r>
      <w:r w:rsidRPr="008D6EB5">
        <w:rPr>
          <w:rFonts w:eastAsia="Times New Roman"/>
          <w:lang w:eastAsia="fr-FR"/>
        </w:rPr>
        <w:tab/>
      </w:r>
    </w:p>
    <w:p w14:paraId="3F3C4D12" w14:textId="7596F3CA" w:rsidR="002A47A6" w:rsidRPr="008D6EB5" w:rsidRDefault="002A47A6" w:rsidP="00704350">
      <w:pPr>
        <w:pStyle w:val="SingleTxtG"/>
        <w:tabs>
          <w:tab w:val="right" w:leader="dot" w:pos="8505"/>
        </w:tabs>
        <w:kinsoku/>
        <w:overflowPunct/>
        <w:autoSpaceDE/>
        <w:autoSpaceDN/>
        <w:adjustRightInd/>
        <w:snapToGrid/>
        <w:ind w:left="1701" w:hanging="567"/>
        <w:jc w:val="left"/>
        <w:rPr>
          <w:rFonts w:eastAsia="Times New Roman"/>
          <w:lang w:eastAsia="fr-FR"/>
        </w:rPr>
      </w:pPr>
      <w:r w:rsidRPr="008D6EB5">
        <w:rPr>
          <w:rFonts w:eastAsia="Times New Roman"/>
          <w:lang w:eastAsia="fr-FR"/>
        </w:rPr>
        <w:t>4</w:t>
      </w:r>
      <w:r w:rsidR="00E60533" w:rsidRPr="00E60533">
        <w:rPr>
          <w:rFonts w:eastAsia="Times New Roman"/>
          <w:lang w:eastAsia="fr-FR"/>
        </w:rPr>
        <w:t>.</w:t>
      </w:r>
      <w:r w:rsidRPr="008D6EB5">
        <w:rPr>
          <w:rFonts w:eastAsia="Times New Roman"/>
          <w:lang w:eastAsia="fr-FR"/>
        </w:rPr>
        <w:tab/>
        <w:t>Le cas échéant, nom et adresse du représentant du constructeur :</w:t>
      </w:r>
      <w:r w:rsidRPr="008D6EB5">
        <w:rPr>
          <w:rFonts w:eastAsia="Times New Roman"/>
          <w:lang w:eastAsia="fr-FR"/>
        </w:rPr>
        <w:tab/>
      </w:r>
      <w:r w:rsidRPr="008D6EB5">
        <w:rPr>
          <w:rFonts w:eastAsia="Times New Roman"/>
          <w:lang w:eastAsia="fr-FR"/>
        </w:rPr>
        <w:tab/>
      </w:r>
    </w:p>
    <w:p w14:paraId="07659065" w14:textId="06A073F7" w:rsidR="002A47A6" w:rsidRPr="008D6EB5" w:rsidRDefault="002A47A6" w:rsidP="002A47A6">
      <w:pPr>
        <w:tabs>
          <w:tab w:val="left" w:pos="1700"/>
          <w:tab w:val="left" w:leader="dot" w:pos="8505"/>
        </w:tabs>
        <w:kinsoku/>
        <w:overflowPunct/>
        <w:autoSpaceDE/>
        <w:autoSpaceDN/>
        <w:adjustRightInd/>
        <w:snapToGrid/>
        <w:spacing w:after="120"/>
        <w:ind w:left="1134" w:right="1134"/>
        <w:jc w:val="both"/>
        <w:rPr>
          <w:rFonts w:eastAsia="Times New Roman"/>
          <w:lang w:eastAsia="fr-FR"/>
        </w:rPr>
      </w:pPr>
      <w:r w:rsidRPr="008D6EB5">
        <w:rPr>
          <w:rFonts w:eastAsia="Times New Roman"/>
          <w:lang w:eastAsia="fr-FR"/>
        </w:rPr>
        <w:tab/>
      </w:r>
      <w:r w:rsidRPr="008D6EB5">
        <w:rPr>
          <w:rFonts w:eastAsia="Times New Roman"/>
          <w:lang w:eastAsia="fr-FR"/>
        </w:rPr>
        <w:tab/>
      </w:r>
      <w:r w:rsidRPr="008D6EB5">
        <w:rPr>
          <w:rFonts w:eastAsia="Times New Roman"/>
          <w:lang w:eastAsia="fr-FR"/>
        </w:rPr>
        <w:tab/>
      </w:r>
    </w:p>
    <w:p w14:paraId="5E6138E6" w14:textId="77777777" w:rsidR="002A47A6" w:rsidRPr="008D6EB5" w:rsidRDefault="002A47A6" w:rsidP="002A47A6">
      <w:pPr>
        <w:suppressAutoHyphens w:val="0"/>
        <w:kinsoku/>
        <w:overflowPunct/>
        <w:autoSpaceDE/>
        <w:autoSpaceDN/>
        <w:adjustRightInd/>
        <w:snapToGrid/>
        <w:spacing w:after="200" w:line="276" w:lineRule="auto"/>
        <w:rPr>
          <w:rFonts w:eastAsia="Times New Roman"/>
          <w:lang w:eastAsia="fr-FR"/>
        </w:rPr>
      </w:pPr>
      <w:r w:rsidRPr="008D6EB5">
        <w:rPr>
          <w:rFonts w:eastAsia="Times New Roman"/>
          <w:lang w:eastAsia="fr-FR"/>
        </w:rPr>
        <w:br w:type="page"/>
      </w:r>
    </w:p>
    <w:p w14:paraId="52D0B0F6" w14:textId="77D16A90" w:rsidR="002A47A6" w:rsidRPr="008233B1" w:rsidRDefault="002A47A6" w:rsidP="00704350">
      <w:pPr>
        <w:kinsoku/>
        <w:overflowPunct/>
        <w:autoSpaceDE/>
        <w:autoSpaceDN/>
        <w:adjustRightInd/>
        <w:snapToGrid/>
        <w:spacing w:after="120"/>
        <w:ind w:left="1134" w:right="1134"/>
        <w:jc w:val="both"/>
      </w:pPr>
      <w:r w:rsidRPr="008233B1">
        <w:lastRenderedPageBreak/>
        <w:t>5</w:t>
      </w:r>
      <w:r w:rsidR="00E60533" w:rsidRPr="00E60533">
        <w:t>.</w:t>
      </w:r>
      <w:r w:rsidRPr="008233B1">
        <w:tab/>
        <w:t>Description des sièges</w:t>
      </w:r>
      <w:r w:rsidRPr="00F46FA4">
        <w:rPr>
          <w:sz w:val="18"/>
          <w:szCs w:val="18"/>
          <w:vertAlign w:val="superscript"/>
        </w:rPr>
        <w:t>2</w:t>
      </w:r>
      <w:r w:rsidRPr="008233B1">
        <w:t> :</w:t>
      </w:r>
    </w:p>
    <w:p w14:paraId="2B21AC4E" w14:textId="3FE79740" w:rsidR="002A47A6" w:rsidRPr="008233B1" w:rsidRDefault="002A47A6" w:rsidP="002A47A6">
      <w:pPr>
        <w:kinsoku/>
        <w:overflowPunct/>
        <w:autoSpaceDE/>
        <w:autoSpaceDN/>
        <w:adjustRightInd/>
        <w:snapToGrid/>
        <w:ind w:left="1701" w:right="1133"/>
        <w:rPr>
          <w:lang w:val="fr-FR"/>
        </w:rPr>
      </w:pPr>
      <w:r w:rsidRPr="008233B1">
        <w:rPr>
          <w:lang w:val="fr-FR"/>
        </w:rPr>
        <w:t>Applique une force supplémentaire conformément au paragraphe 6</w:t>
      </w:r>
      <w:r w:rsidR="00E60533" w:rsidRPr="00E60533">
        <w:rPr>
          <w:lang w:val="fr-FR"/>
        </w:rPr>
        <w:t>.</w:t>
      </w:r>
      <w:r w:rsidRPr="008233B1">
        <w:rPr>
          <w:lang w:val="fr-FR"/>
        </w:rPr>
        <w:t>2</w:t>
      </w:r>
      <w:r w:rsidR="00E60533" w:rsidRPr="00E60533">
        <w:rPr>
          <w:lang w:val="fr-FR"/>
        </w:rPr>
        <w:t>.</w:t>
      </w:r>
      <w:r w:rsidRPr="008233B1">
        <w:rPr>
          <w:lang w:val="fr-FR"/>
        </w:rPr>
        <w:t>5</w:t>
      </w:r>
      <w:r w:rsidR="00E60533" w:rsidRPr="00E60533">
        <w:rPr>
          <w:lang w:val="fr-FR"/>
        </w:rPr>
        <w:t>.</w:t>
      </w:r>
      <w:r w:rsidRPr="008233B1">
        <w:rPr>
          <w:lang w:val="fr-FR"/>
        </w:rPr>
        <w:t>1 du présent Règlement ONU : Oui/Non</w:t>
      </w:r>
      <w:r w:rsidRPr="00F46FA4">
        <w:rPr>
          <w:sz w:val="18"/>
          <w:szCs w:val="18"/>
          <w:vertAlign w:val="superscript"/>
          <w:lang w:val="fr-FR"/>
        </w:rPr>
        <w:t>2</w:t>
      </w:r>
    </w:p>
    <w:p w14:paraId="45DBE522" w14:textId="5D9D0219" w:rsidR="002A47A6" w:rsidRPr="008233B1" w:rsidRDefault="002A47A6" w:rsidP="00704350">
      <w:pPr>
        <w:tabs>
          <w:tab w:val="left" w:leader="dot" w:pos="8505"/>
        </w:tabs>
        <w:kinsoku/>
        <w:overflowPunct/>
        <w:autoSpaceDE/>
        <w:autoSpaceDN/>
        <w:adjustRightInd/>
        <w:snapToGrid/>
        <w:ind w:left="1560" w:firstLine="141"/>
        <w:rPr>
          <w:lang w:val="fr-FR"/>
        </w:rPr>
      </w:pPr>
      <w:r w:rsidRPr="008233B1">
        <w:rPr>
          <w:lang w:val="fr-FR"/>
        </w:rPr>
        <w:t>Force supplémentaire :</w:t>
      </w:r>
      <w:r w:rsidR="00704350">
        <w:rPr>
          <w:lang w:val="fr-FR"/>
        </w:rPr>
        <w:tab/>
      </w:r>
    </w:p>
    <w:p w14:paraId="1FF2170E" w14:textId="59A0007D" w:rsidR="002A47A6" w:rsidRPr="008233B1" w:rsidRDefault="002A47A6" w:rsidP="002A47A6">
      <w:pPr>
        <w:kinsoku/>
        <w:overflowPunct/>
        <w:autoSpaceDE/>
        <w:autoSpaceDN/>
        <w:adjustRightInd/>
        <w:snapToGrid/>
        <w:ind w:left="1701" w:right="1133"/>
        <w:rPr>
          <w:lang w:val="fr-FR"/>
        </w:rPr>
      </w:pPr>
      <w:r w:rsidRPr="008233B1">
        <w:rPr>
          <w:lang w:val="fr-FR"/>
        </w:rPr>
        <w:t>Utilise l</w:t>
      </w:r>
      <w:r>
        <w:rPr>
          <w:lang w:val="fr-FR"/>
        </w:rPr>
        <w:t>’</w:t>
      </w:r>
      <w:r w:rsidRPr="008233B1">
        <w:rPr>
          <w:lang w:val="fr-FR"/>
        </w:rPr>
        <w:t>exemption autorisée par la note au paragraphe 6</w:t>
      </w:r>
      <w:r w:rsidR="00E60533" w:rsidRPr="00E60533">
        <w:rPr>
          <w:lang w:val="fr-FR"/>
        </w:rPr>
        <w:t>.</w:t>
      </w:r>
      <w:r w:rsidRPr="008233B1">
        <w:rPr>
          <w:lang w:val="fr-FR"/>
        </w:rPr>
        <w:t>2</w:t>
      </w:r>
      <w:r w:rsidR="00E60533" w:rsidRPr="00E60533">
        <w:rPr>
          <w:lang w:val="fr-FR"/>
        </w:rPr>
        <w:t>.</w:t>
      </w:r>
      <w:r w:rsidRPr="008233B1">
        <w:rPr>
          <w:lang w:val="fr-FR"/>
        </w:rPr>
        <w:t>5</w:t>
      </w:r>
      <w:r w:rsidR="00E60533" w:rsidRPr="00E60533">
        <w:rPr>
          <w:lang w:val="fr-FR"/>
        </w:rPr>
        <w:t>.</w:t>
      </w:r>
      <w:r w:rsidRPr="008233B1">
        <w:rPr>
          <w:lang w:val="fr-FR"/>
        </w:rPr>
        <w:t xml:space="preserve">1, fondée sur </w:t>
      </w:r>
      <w:r w:rsidRPr="008233B1">
        <w:rPr>
          <w:lang w:val="fr-FR"/>
        </w:rPr>
        <w:br/>
        <w:t xml:space="preserve">la conformité des ancrages de ceintures de sécurité aux prescriptions </w:t>
      </w:r>
      <w:r w:rsidRPr="008233B1">
        <w:rPr>
          <w:lang w:val="fr-FR"/>
        </w:rPr>
        <w:br/>
        <w:t>du paragraphe 6</w:t>
      </w:r>
      <w:r w:rsidR="00E60533" w:rsidRPr="00E60533">
        <w:rPr>
          <w:lang w:val="fr-FR"/>
        </w:rPr>
        <w:t>.</w:t>
      </w:r>
      <w:r w:rsidRPr="008233B1">
        <w:rPr>
          <w:lang w:val="fr-FR"/>
        </w:rPr>
        <w:t>4</w:t>
      </w:r>
      <w:r w:rsidR="00E60533" w:rsidRPr="00E60533">
        <w:rPr>
          <w:lang w:val="fr-FR"/>
        </w:rPr>
        <w:t>.</w:t>
      </w:r>
      <w:r w:rsidRPr="008233B1">
        <w:rPr>
          <w:lang w:val="fr-FR"/>
        </w:rPr>
        <w:t>4 du Règlement ONU n</w:t>
      </w:r>
      <w:r w:rsidRPr="008233B1">
        <w:rPr>
          <w:vertAlign w:val="superscript"/>
          <w:lang w:val="fr-FR"/>
        </w:rPr>
        <w:t>o</w:t>
      </w:r>
      <w:r w:rsidRPr="008233B1">
        <w:rPr>
          <w:lang w:val="fr-FR"/>
        </w:rPr>
        <w:t> 14 : Oui/Non</w:t>
      </w:r>
      <w:r w:rsidRPr="00F46FA4">
        <w:rPr>
          <w:sz w:val="18"/>
          <w:szCs w:val="18"/>
          <w:vertAlign w:val="superscript"/>
          <w:lang w:val="fr-FR"/>
        </w:rPr>
        <w:t>2</w:t>
      </w:r>
    </w:p>
    <w:p w14:paraId="256B356D" w14:textId="22D540CF" w:rsidR="002A47A6" w:rsidRPr="008233B1" w:rsidRDefault="002A47A6" w:rsidP="00103C99">
      <w:pPr>
        <w:tabs>
          <w:tab w:val="left" w:leader="dot" w:pos="8505"/>
        </w:tabs>
        <w:kinsoku/>
        <w:overflowPunct/>
        <w:autoSpaceDE/>
        <w:autoSpaceDN/>
        <w:adjustRightInd/>
        <w:snapToGrid/>
        <w:spacing w:after="120"/>
        <w:ind w:left="1559" w:firstLine="142"/>
        <w:rPr>
          <w:lang w:val="fr-FR"/>
        </w:rPr>
      </w:pPr>
      <w:r w:rsidRPr="008233B1">
        <w:rPr>
          <w:lang w:val="fr-FR"/>
        </w:rPr>
        <w:t>N</w:t>
      </w:r>
      <w:r w:rsidRPr="008233B1">
        <w:rPr>
          <w:vertAlign w:val="superscript"/>
          <w:lang w:val="fr-FR"/>
        </w:rPr>
        <w:t>o</w:t>
      </w:r>
      <w:r w:rsidRPr="008233B1">
        <w:rPr>
          <w:lang w:val="fr-FR"/>
        </w:rPr>
        <w:t xml:space="preserve"> d</w:t>
      </w:r>
      <w:r>
        <w:rPr>
          <w:lang w:val="fr-FR"/>
        </w:rPr>
        <w:t>’</w:t>
      </w:r>
      <w:r w:rsidRPr="008233B1">
        <w:rPr>
          <w:lang w:val="fr-FR"/>
        </w:rPr>
        <w:t>homologation conformément au Règlement ONU n</w:t>
      </w:r>
      <w:r w:rsidRPr="008233B1">
        <w:rPr>
          <w:vertAlign w:val="superscript"/>
          <w:lang w:val="fr-FR"/>
        </w:rPr>
        <w:t>o</w:t>
      </w:r>
      <w:r w:rsidRPr="008233B1">
        <w:rPr>
          <w:lang w:val="fr-FR"/>
        </w:rPr>
        <w:t> 14 :</w:t>
      </w:r>
      <w:r w:rsidR="00704350">
        <w:rPr>
          <w:lang w:val="fr-FR"/>
        </w:rPr>
        <w:tab/>
      </w:r>
    </w:p>
    <w:p w14:paraId="1CED5910" w14:textId="28EC7B6A"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233B1">
        <w:rPr>
          <w:lang w:val="fr-FR"/>
        </w:rPr>
        <w:t>6</w:t>
      </w:r>
      <w:r w:rsidR="00E60533" w:rsidRPr="00E60533">
        <w:rPr>
          <w:lang w:val="fr-FR"/>
        </w:rPr>
        <w:t>.</w:t>
      </w:r>
      <w:r w:rsidRPr="008233B1">
        <w:rPr>
          <w:lang w:val="fr-FR"/>
        </w:rPr>
        <w:tab/>
        <w:t>Utilise l</w:t>
      </w:r>
      <w:r>
        <w:rPr>
          <w:lang w:val="fr-FR"/>
        </w:rPr>
        <w:t>’</w:t>
      </w:r>
      <w:r w:rsidRPr="008233B1">
        <w:rPr>
          <w:lang w:val="fr-FR"/>
        </w:rPr>
        <w:t>exemption de dispositif ISOFIX autorisée par le paragraphe 5</w:t>
      </w:r>
      <w:r w:rsidR="00E60533" w:rsidRPr="00E60533">
        <w:rPr>
          <w:lang w:val="fr-FR"/>
        </w:rPr>
        <w:t>.</w:t>
      </w:r>
      <w:r w:rsidRPr="008233B1">
        <w:rPr>
          <w:lang w:val="fr-FR"/>
        </w:rPr>
        <w:t>3</w:t>
      </w:r>
      <w:r w:rsidR="00E60533" w:rsidRPr="00E60533">
        <w:rPr>
          <w:lang w:val="fr-FR"/>
        </w:rPr>
        <w:t>.</w:t>
      </w:r>
      <w:r w:rsidRPr="008233B1">
        <w:rPr>
          <w:lang w:val="fr-FR"/>
        </w:rPr>
        <w:t xml:space="preserve">8 </w:t>
      </w:r>
      <w:r w:rsidRPr="008233B1">
        <w:rPr>
          <w:lang w:val="fr-FR"/>
        </w:rPr>
        <w:br/>
        <w:t>du présent Règlement ONU : Oui/Non</w:t>
      </w:r>
      <w:r w:rsidRPr="00F46FA4">
        <w:rPr>
          <w:sz w:val="18"/>
          <w:szCs w:val="18"/>
          <w:vertAlign w:val="superscript"/>
          <w:lang w:val="fr-FR"/>
        </w:rPr>
        <w:t>2</w:t>
      </w:r>
      <w:r w:rsidRPr="008233B1">
        <w:rPr>
          <w:lang w:val="fr-FR"/>
        </w:rPr>
        <w:tab/>
      </w:r>
    </w:p>
    <w:p w14:paraId="587E72B5" w14:textId="33C61FD6" w:rsidR="002A47A6" w:rsidRPr="008D6EB5"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7</w:t>
      </w:r>
      <w:r w:rsidR="00E60533" w:rsidRPr="00E60533">
        <w:rPr>
          <w:lang w:val="fr-FR"/>
        </w:rPr>
        <w:t>.</w:t>
      </w:r>
      <w:r w:rsidRPr="008233B1">
        <w:rPr>
          <w:lang w:val="fr-FR"/>
        </w:rPr>
        <w:tab/>
      </w:r>
      <w:r w:rsidRPr="008D6EB5">
        <w:rPr>
          <w:lang w:val="fr-FR"/>
        </w:rPr>
        <w:t>Type de véhicule fourni avec des ancrages pour fixation inférieure : Oui/Non/Option</w:t>
      </w:r>
      <w:r w:rsidRPr="00F46FA4">
        <w:rPr>
          <w:sz w:val="18"/>
          <w:szCs w:val="18"/>
          <w:vertAlign w:val="superscript"/>
          <w:lang w:val="fr-FR"/>
        </w:rPr>
        <w:t>2</w:t>
      </w:r>
      <w:r w:rsidRPr="008233B1">
        <w:rPr>
          <w:lang w:val="fr-FR"/>
        </w:rPr>
        <w:tab/>
      </w:r>
    </w:p>
    <w:p w14:paraId="060376EE" w14:textId="2F8EB569" w:rsidR="002A47A6" w:rsidRPr="008D6EB5"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8</w:t>
      </w:r>
      <w:r w:rsidR="00E60533" w:rsidRPr="00E60533">
        <w:rPr>
          <w:lang w:val="fr-FR"/>
        </w:rPr>
        <w:t>.</w:t>
      </w:r>
      <w:r w:rsidRPr="008233B1">
        <w:rPr>
          <w:lang w:val="fr-FR"/>
        </w:rPr>
        <w:tab/>
      </w:r>
      <w:r w:rsidRPr="008D6EB5">
        <w:rPr>
          <w:lang w:val="fr-FR"/>
        </w:rPr>
        <w:t>Type de véhicule fourni avec des pattes de fixation inférieure : Oui/Non/Option</w:t>
      </w:r>
      <w:r w:rsidRPr="00F46FA4">
        <w:rPr>
          <w:sz w:val="18"/>
          <w:szCs w:val="18"/>
          <w:vertAlign w:val="superscript"/>
          <w:lang w:val="fr-FR"/>
        </w:rPr>
        <w:t>2</w:t>
      </w:r>
      <w:r w:rsidRPr="008233B1">
        <w:rPr>
          <w:lang w:val="fr-FR"/>
        </w:rPr>
        <w:tab/>
      </w:r>
    </w:p>
    <w:p w14:paraId="4DF62E86" w14:textId="6C1B845C"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9</w:t>
      </w:r>
      <w:r w:rsidR="00E60533" w:rsidRPr="00E60533">
        <w:rPr>
          <w:lang w:val="fr-FR"/>
        </w:rPr>
        <w:t>.</w:t>
      </w:r>
      <w:r w:rsidRPr="008233B1">
        <w:rPr>
          <w:lang w:val="fr-FR"/>
        </w:rPr>
        <w:tab/>
        <w:t>Véhicule présenté à l</w:t>
      </w:r>
      <w:r>
        <w:rPr>
          <w:lang w:val="fr-FR"/>
        </w:rPr>
        <w:t>’</w:t>
      </w:r>
      <w:r w:rsidRPr="008233B1">
        <w:rPr>
          <w:lang w:val="fr-FR"/>
        </w:rPr>
        <w:t>homologation le :</w:t>
      </w:r>
      <w:r w:rsidRPr="008233B1">
        <w:rPr>
          <w:lang w:val="fr-FR"/>
        </w:rPr>
        <w:tab/>
      </w:r>
    </w:p>
    <w:p w14:paraId="7863AF01" w14:textId="1AAAC18C"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10</w:t>
      </w:r>
      <w:r w:rsidR="00E60533" w:rsidRPr="00E60533">
        <w:rPr>
          <w:lang w:val="fr-FR"/>
        </w:rPr>
        <w:t>.</w:t>
      </w:r>
      <w:r w:rsidRPr="008233B1">
        <w:rPr>
          <w:lang w:val="fr-FR"/>
        </w:rPr>
        <w:tab/>
        <w:t>Service technique responsable des essais d</w:t>
      </w:r>
      <w:r>
        <w:rPr>
          <w:lang w:val="fr-FR"/>
        </w:rPr>
        <w:t>’</w:t>
      </w:r>
      <w:r w:rsidRPr="008233B1">
        <w:rPr>
          <w:lang w:val="fr-FR"/>
        </w:rPr>
        <w:t>homologation :</w:t>
      </w:r>
      <w:r w:rsidRPr="008233B1">
        <w:rPr>
          <w:lang w:val="fr-FR"/>
        </w:rPr>
        <w:tab/>
      </w:r>
    </w:p>
    <w:p w14:paraId="233DC1E2" w14:textId="535BD018"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233B1">
        <w:rPr>
          <w:lang w:val="fr-FR"/>
        </w:rPr>
        <w:tab/>
      </w:r>
      <w:r w:rsidR="00704350">
        <w:rPr>
          <w:lang w:val="fr-FR"/>
        </w:rPr>
        <w:tab/>
      </w:r>
      <w:r w:rsidR="00704350">
        <w:rPr>
          <w:lang w:val="fr-FR"/>
        </w:rPr>
        <w:tab/>
      </w:r>
    </w:p>
    <w:p w14:paraId="1343D325" w14:textId="79BD859D"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11</w:t>
      </w:r>
      <w:r w:rsidR="00E60533" w:rsidRPr="00E60533">
        <w:rPr>
          <w:lang w:val="fr-FR"/>
        </w:rPr>
        <w:t>.</w:t>
      </w:r>
      <w:r w:rsidRPr="008233B1">
        <w:rPr>
          <w:lang w:val="fr-FR"/>
        </w:rPr>
        <w:tab/>
        <w:t>Date du procès-verbal délivré par ce service :</w:t>
      </w:r>
      <w:r w:rsidR="00704350">
        <w:rPr>
          <w:lang w:val="fr-FR"/>
        </w:rPr>
        <w:tab/>
      </w:r>
    </w:p>
    <w:p w14:paraId="2C07F654" w14:textId="1CB18CF3"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12</w:t>
      </w:r>
      <w:r w:rsidR="00E60533" w:rsidRPr="00E60533">
        <w:rPr>
          <w:lang w:val="fr-FR"/>
        </w:rPr>
        <w:t>.</w:t>
      </w:r>
      <w:r w:rsidRPr="008233B1">
        <w:rPr>
          <w:lang w:val="fr-FR"/>
        </w:rPr>
        <w:tab/>
        <w:t>Numéro du procès-verbal délivré par ce service :</w:t>
      </w:r>
      <w:r w:rsidR="00704350">
        <w:rPr>
          <w:lang w:val="fr-FR"/>
        </w:rPr>
        <w:tab/>
      </w:r>
    </w:p>
    <w:p w14:paraId="4881BDB8" w14:textId="55CD35E3"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13</w:t>
      </w:r>
      <w:r w:rsidR="00E60533" w:rsidRPr="00E60533">
        <w:rPr>
          <w:lang w:val="fr-FR"/>
        </w:rPr>
        <w:t>.</w:t>
      </w:r>
      <w:r w:rsidRPr="008233B1">
        <w:rPr>
          <w:lang w:val="fr-FR"/>
        </w:rPr>
        <w:tab/>
        <w:t>L</w:t>
      </w:r>
      <w:r>
        <w:rPr>
          <w:lang w:val="fr-FR"/>
        </w:rPr>
        <w:t>’</w:t>
      </w:r>
      <w:r w:rsidRPr="008233B1">
        <w:rPr>
          <w:lang w:val="fr-FR"/>
        </w:rPr>
        <w:t>homologation est accordée/prorogée/refusée/retirée</w:t>
      </w:r>
      <w:r w:rsidRPr="00F46FA4">
        <w:rPr>
          <w:sz w:val="18"/>
          <w:szCs w:val="18"/>
          <w:vertAlign w:val="superscript"/>
          <w:lang w:val="fr-FR"/>
        </w:rPr>
        <w:t>2</w:t>
      </w:r>
    </w:p>
    <w:p w14:paraId="34582771" w14:textId="5C945F80"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14</w:t>
      </w:r>
      <w:r w:rsidR="00E60533" w:rsidRPr="00E60533">
        <w:rPr>
          <w:lang w:val="fr-FR"/>
        </w:rPr>
        <w:t>.</w:t>
      </w:r>
      <w:r w:rsidRPr="008233B1">
        <w:rPr>
          <w:lang w:val="fr-FR"/>
        </w:rPr>
        <w:tab/>
        <w:t>Emplacement, sur le véhicule, de la marque d</w:t>
      </w:r>
      <w:r>
        <w:rPr>
          <w:lang w:val="fr-FR"/>
        </w:rPr>
        <w:t>’</w:t>
      </w:r>
      <w:r w:rsidRPr="008233B1">
        <w:rPr>
          <w:lang w:val="fr-FR"/>
        </w:rPr>
        <w:t>homologation :</w:t>
      </w:r>
      <w:r w:rsidR="00704350">
        <w:rPr>
          <w:lang w:val="fr-FR"/>
        </w:rPr>
        <w:tab/>
      </w:r>
    </w:p>
    <w:p w14:paraId="34EDED99" w14:textId="575CA2ED"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15</w:t>
      </w:r>
      <w:r w:rsidR="00E60533" w:rsidRPr="00E60533">
        <w:rPr>
          <w:lang w:val="fr-FR"/>
        </w:rPr>
        <w:t>.</w:t>
      </w:r>
      <w:r w:rsidRPr="008233B1">
        <w:rPr>
          <w:lang w:val="fr-FR"/>
        </w:rPr>
        <w:tab/>
        <w:t>Lieu :</w:t>
      </w:r>
      <w:r w:rsidR="00704350">
        <w:rPr>
          <w:lang w:val="fr-FR"/>
        </w:rPr>
        <w:tab/>
      </w:r>
    </w:p>
    <w:p w14:paraId="26C0CE5D" w14:textId="02F70316"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16</w:t>
      </w:r>
      <w:r w:rsidR="00E60533" w:rsidRPr="00E60533">
        <w:rPr>
          <w:lang w:val="fr-FR"/>
        </w:rPr>
        <w:t>.</w:t>
      </w:r>
      <w:r w:rsidRPr="008233B1">
        <w:rPr>
          <w:lang w:val="fr-FR"/>
        </w:rPr>
        <w:tab/>
        <w:t>Date :</w:t>
      </w:r>
      <w:r w:rsidR="00704350">
        <w:rPr>
          <w:lang w:val="fr-FR"/>
        </w:rPr>
        <w:tab/>
      </w:r>
    </w:p>
    <w:p w14:paraId="4DB9A013" w14:textId="3FEAB482"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17</w:t>
      </w:r>
      <w:r w:rsidR="00E60533" w:rsidRPr="00E60533">
        <w:rPr>
          <w:lang w:val="fr-FR"/>
        </w:rPr>
        <w:t>.</w:t>
      </w:r>
      <w:r w:rsidRPr="008233B1">
        <w:rPr>
          <w:lang w:val="fr-FR"/>
        </w:rPr>
        <w:tab/>
        <w:t>Signature :</w:t>
      </w:r>
      <w:r w:rsidR="00704350">
        <w:rPr>
          <w:lang w:val="fr-FR"/>
        </w:rPr>
        <w:tab/>
      </w:r>
    </w:p>
    <w:p w14:paraId="653ECE05" w14:textId="02C307EF" w:rsidR="002A47A6" w:rsidRPr="008233B1" w:rsidRDefault="002A47A6" w:rsidP="002A47A6">
      <w:pPr>
        <w:tabs>
          <w:tab w:val="left" w:pos="1700"/>
          <w:tab w:val="left" w:leader="dot" w:pos="8505"/>
        </w:tabs>
        <w:kinsoku/>
        <w:overflowPunct/>
        <w:autoSpaceDE/>
        <w:autoSpaceDN/>
        <w:adjustRightInd/>
        <w:snapToGrid/>
        <w:spacing w:after="120"/>
        <w:ind w:left="1701" w:right="1134" w:hanging="567"/>
        <w:rPr>
          <w:lang w:val="fr-FR"/>
        </w:rPr>
      </w:pPr>
      <w:r w:rsidRPr="008D6EB5">
        <w:rPr>
          <w:lang w:val="fr-FR"/>
        </w:rPr>
        <w:t>18</w:t>
      </w:r>
      <w:r w:rsidR="00E60533" w:rsidRPr="00E60533">
        <w:rPr>
          <w:lang w:val="fr-FR"/>
        </w:rPr>
        <w:t>.</w:t>
      </w:r>
      <w:r w:rsidRPr="008233B1">
        <w:rPr>
          <w:lang w:val="fr-FR"/>
        </w:rPr>
        <w:tab/>
        <w:t>Les pièces suivantes, déposées auprès de l</w:t>
      </w:r>
      <w:r>
        <w:rPr>
          <w:lang w:val="fr-FR"/>
        </w:rPr>
        <w:t>’</w:t>
      </w:r>
      <w:r w:rsidRPr="008233B1">
        <w:rPr>
          <w:lang w:val="fr-FR"/>
        </w:rPr>
        <w:t>autorité d</w:t>
      </w:r>
      <w:r>
        <w:rPr>
          <w:lang w:val="fr-FR"/>
        </w:rPr>
        <w:t>’</w:t>
      </w:r>
      <w:r w:rsidRPr="008233B1">
        <w:rPr>
          <w:lang w:val="fr-FR"/>
        </w:rPr>
        <w:t xml:space="preserve">homologation de type qui </w:t>
      </w:r>
      <w:r w:rsidRPr="008233B1">
        <w:rPr>
          <w:lang w:val="fr-FR"/>
        </w:rPr>
        <w:br/>
        <w:t>a accordé l</w:t>
      </w:r>
      <w:r>
        <w:rPr>
          <w:lang w:val="fr-FR"/>
        </w:rPr>
        <w:t>’</w:t>
      </w:r>
      <w:r w:rsidRPr="008233B1">
        <w:rPr>
          <w:lang w:val="fr-FR"/>
        </w:rPr>
        <w:t xml:space="preserve">homologation, peuvent être consultées sur demande et sont annexées </w:t>
      </w:r>
      <w:r w:rsidRPr="008233B1">
        <w:rPr>
          <w:lang w:val="fr-FR"/>
        </w:rPr>
        <w:br/>
        <w:t>à la présente communication :</w:t>
      </w:r>
    </w:p>
    <w:p w14:paraId="35727CD8" w14:textId="77777777" w:rsidR="002A47A6" w:rsidRPr="008233B1" w:rsidRDefault="002A47A6" w:rsidP="002A47A6">
      <w:pPr>
        <w:kinsoku/>
        <w:overflowPunct/>
        <w:autoSpaceDE/>
        <w:autoSpaceDN/>
        <w:adjustRightInd/>
        <w:snapToGrid/>
        <w:ind w:left="1701" w:right="1133"/>
        <w:rPr>
          <w:lang w:val="fr-FR"/>
        </w:rPr>
      </w:pPr>
      <w:r w:rsidRPr="008233B1">
        <w:rPr>
          <w:lang w:val="fr-FR"/>
        </w:rPr>
        <w:tab/>
        <w:t>Dessins, schémas et plans des systèmes d</w:t>
      </w:r>
      <w:r>
        <w:rPr>
          <w:lang w:val="fr-FR"/>
        </w:rPr>
        <w:t>’</w:t>
      </w:r>
      <w:r w:rsidRPr="008233B1">
        <w:rPr>
          <w:lang w:val="fr-FR"/>
        </w:rPr>
        <w:t xml:space="preserve">ancrages ISOFIX et, le cas échéant, des ancrages </w:t>
      </w:r>
      <w:r w:rsidRPr="008D6EB5">
        <w:rPr>
          <w:lang w:val="fr-FR"/>
        </w:rPr>
        <w:t xml:space="preserve">pour fixation supérieure ou des ancrages pour fixation inférieure, y compris des pattes de fixation inférieure (si elles sont fournies par le constructeur), </w:t>
      </w:r>
      <w:r w:rsidRPr="008233B1">
        <w:rPr>
          <w:lang w:val="fr-FR"/>
        </w:rPr>
        <w:t xml:space="preserve">de la surface de contact avec le plancher du véhicule, </w:t>
      </w:r>
      <w:r w:rsidRPr="008D6EB5">
        <w:rPr>
          <w:lang w:val="fr-FR"/>
        </w:rPr>
        <w:t>s</w:t>
      </w:r>
      <w:r>
        <w:rPr>
          <w:lang w:val="fr-FR"/>
        </w:rPr>
        <w:t>’</w:t>
      </w:r>
      <w:r w:rsidRPr="008D6EB5">
        <w:rPr>
          <w:lang w:val="fr-FR"/>
        </w:rPr>
        <w:t xml:space="preserve">il y a lieu, </w:t>
      </w:r>
      <w:r w:rsidRPr="008233B1">
        <w:rPr>
          <w:lang w:val="fr-FR"/>
        </w:rPr>
        <w:t>et de la structure du véhicule ;</w:t>
      </w:r>
    </w:p>
    <w:p w14:paraId="042C3AF2" w14:textId="77777777" w:rsidR="002A47A6" w:rsidRPr="008233B1" w:rsidRDefault="002A47A6" w:rsidP="002A47A6">
      <w:pPr>
        <w:kinsoku/>
        <w:overflowPunct/>
        <w:autoSpaceDE/>
        <w:autoSpaceDN/>
        <w:adjustRightInd/>
        <w:snapToGrid/>
        <w:spacing w:before="120"/>
        <w:ind w:left="1701" w:right="1134"/>
        <w:rPr>
          <w:lang w:val="fr-FR"/>
        </w:rPr>
      </w:pPr>
      <w:r w:rsidRPr="008233B1">
        <w:rPr>
          <w:lang w:val="fr-FR"/>
        </w:rPr>
        <w:tab/>
        <w:t>Photographies des systèmes d</w:t>
      </w:r>
      <w:r>
        <w:rPr>
          <w:lang w:val="fr-FR"/>
        </w:rPr>
        <w:t>’</w:t>
      </w:r>
      <w:r w:rsidRPr="008233B1">
        <w:rPr>
          <w:lang w:val="fr-FR"/>
        </w:rPr>
        <w:t xml:space="preserve">ancrages ISOFIX et, le cas échéant, des ancrages </w:t>
      </w:r>
      <w:r w:rsidRPr="008D6EB5">
        <w:rPr>
          <w:lang w:val="fr-FR"/>
        </w:rPr>
        <w:t>pour fixation supérieure ou des ancrages pour fixation inférieure,</w:t>
      </w:r>
      <w:r w:rsidRPr="008233B1">
        <w:rPr>
          <w:lang w:val="fr-FR"/>
        </w:rPr>
        <w:t xml:space="preserve"> de la surface de contact avec le plancher du véhicule, </w:t>
      </w:r>
      <w:r w:rsidRPr="008D6EB5">
        <w:rPr>
          <w:lang w:val="fr-FR"/>
        </w:rPr>
        <w:t>s</w:t>
      </w:r>
      <w:r>
        <w:rPr>
          <w:lang w:val="fr-FR"/>
        </w:rPr>
        <w:t>’</w:t>
      </w:r>
      <w:r w:rsidRPr="008D6EB5">
        <w:rPr>
          <w:lang w:val="fr-FR"/>
        </w:rPr>
        <w:t xml:space="preserve">il y a lieu, </w:t>
      </w:r>
      <w:r w:rsidRPr="008233B1">
        <w:rPr>
          <w:lang w:val="fr-FR"/>
        </w:rPr>
        <w:t>et de la structure du véhicule ;</w:t>
      </w:r>
    </w:p>
    <w:p w14:paraId="2FDE0C8A" w14:textId="77777777" w:rsidR="002A47A6" w:rsidRPr="008233B1" w:rsidRDefault="002A47A6" w:rsidP="002A47A6">
      <w:pPr>
        <w:kinsoku/>
        <w:overflowPunct/>
        <w:autoSpaceDE/>
        <w:autoSpaceDN/>
        <w:adjustRightInd/>
        <w:snapToGrid/>
        <w:spacing w:before="120"/>
        <w:ind w:left="1701" w:right="1134"/>
        <w:rPr>
          <w:lang w:val="fr-FR"/>
        </w:rPr>
      </w:pPr>
      <w:r w:rsidRPr="008233B1">
        <w:rPr>
          <w:lang w:val="fr-FR"/>
        </w:rPr>
        <w:tab/>
        <w:t>Dessins, schémas et plans des sièges et de leur ancrage au véhicule ;</w:t>
      </w:r>
    </w:p>
    <w:p w14:paraId="7493CD91" w14:textId="39D2A44A" w:rsidR="002A47A6" w:rsidRPr="008233B1" w:rsidRDefault="002A47A6" w:rsidP="002A47A6">
      <w:pPr>
        <w:kinsoku/>
        <w:overflowPunct/>
        <w:autoSpaceDE/>
        <w:autoSpaceDN/>
        <w:adjustRightInd/>
        <w:snapToGrid/>
        <w:spacing w:before="120"/>
        <w:ind w:left="1701" w:right="1134"/>
        <w:rPr>
          <w:lang w:val="fr-FR"/>
        </w:rPr>
      </w:pPr>
      <w:r w:rsidRPr="008233B1">
        <w:rPr>
          <w:lang w:val="fr-FR"/>
        </w:rPr>
        <w:tab/>
        <w:t>Photographies des sièges et de leur ancrage</w:t>
      </w:r>
      <w:r w:rsidR="00E60533" w:rsidRPr="00E60533">
        <w:rPr>
          <w:lang w:val="fr-FR"/>
        </w:rPr>
        <w:t>.</w:t>
      </w:r>
      <w:r w:rsidRPr="008233B1">
        <w:rPr>
          <w:lang w:val="fr-FR"/>
        </w:rPr>
        <w:t> »</w:t>
      </w:r>
      <w:r w:rsidR="00E60533" w:rsidRPr="00E60533">
        <w:rPr>
          <w:lang w:val="fr-FR"/>
        </w:rPr>
        <w:t>.</w:t>
      </w:r>
    </w:p>
    <w:p w14:paraId="65421FCC" w14:textId="77777777" w:rsidR="002A47A6" w:rsidRPr="007C6DC9" w:rsidRDefault="002A47A6" w:rsidP="002A47A6">
      <w:pPr>
        <w:rPr>
          <w:i/>
          <w:lang w:val="fr-FR"/>
        </w:rPr>
      </w:pPr>
      <w:r w:rsidRPr="007C6DC9">
        <w:rPr>
          <w:i/>
          <w:lang w:val="fr-FR"/>
        </w:rPr>
        <w:br w:type="page"/>
      </w:r>
    </w:p>
    <w:p w14:paraId="34CAB325" w14:textId="77777777" w:rsidR="002A47A6" w:rsidRPr="007C6DC9" w:rsidRDefault="002A47A6" w:rsidP="002A47A6">
      <w:pPr>
        <w:pStyle w:val="SingleTxtG"/>
        <w:rPr>
          <w:lang w:val="fr-FR"/>
        </w:rPr>
      </w:pPr>
      <w:r w:rsidRPr="007C6DC9">
        <w:rPr>
          <w:i/>
          <w:iCs/>
          <w:lang w:val="fr-FR"/>
        </w:rPr>
        <w:lastRenderedPageBreak/>
        <w:t>Annexe 2</w:t>
      </w:r>
      <w:r w:rsidRPr="007C6DC9">
        <w:rPr>
          <w:lang w:val="fr-FR"/>
        </w:rPr>
        <w:t>, lire :</w:t>
      </w:r>
    </w:p>
    <w:p w14:paraId="5F476AB5" w14:textId="77777777" w:rsidR="002A47A6" w:rsidRPr="007C6DC9" w:rsidRDefault="002A47A6" w:rsidP="002A47A6">
      <w:pPr>
        <w:pStyle w:val="HChG"/>
        <w:rPr>
          <w:lang w:val="fr-FR"/>
        </w:rPr>
      </w:pPr>
      <w:r w:rsidRPr="007C6DC9">
        <w:rPr>
          <w:lang w:val="fr-FR"/>
        </w:rPr>
        <w:t>« Annexe 2</w:t>
      </w:r>
    </w:p>
    <w:p w14:paraId="51D57A8B" w14:textId="77777777" w:rsidR="002A47A6" w:rsidRPr="007C6DC9" w:rsidRDefault="002A47A6" w:rsidP="002A47A6">
      <w:pPr>
        <w:pStyle w:val="HChG"/>
        <w:rPr>
          <w:lang w:val="fr-FR"/>
        </w:rPr>
      </w:pPr>
      <w:r w:rsidRPr="007C6DC9">
        <w:rPr>
          <w:lang w:val="fr-FR"/>
        </w:rPr>
        <w:tab/>
      </w:r>
      <w:r w:rsidRPr="007C6DC9">
        <w:rPr>
          <w:lang w:val="fr-FR"/>
        </w:rPr>
        <w:tab/>
        <w:t>Schémas de la marque d</w:t>
      </w:r>
      <w:r>
        <w:rPr>
          <w:lang w:val="fr-FR"/>
        </w:rPr>
        <w:t>’</w:t>
      </w:r>
      <w:r w:rsidRPr="007C6DC9">
        <w:rPr>
          <w:lang w:val="fr-FR"/>
        </w:rPr>
        <w:t>homologation</w:t>
      </w:r>
    </w:p>
    <w:p w14:paraId="05CB09B4" w14:textId="77777777" w:rsidR="002A47A6" w:rsidRPr="007C6DC9" w:rsidRDefault="002A47A6" w:rsidP="002A47A6">
      <w:pPr>
        <w:pStyle w:val="SingleTxtG"/>
        <w:spacing w:after="0"/>
        <w:rPr>
          <w:lang w:val="fr-FR"/>
        </w:rPr>
      </w:pPr>
      <w:r w:rsidRPr="007C6DC9">
        <w:rPr>
          <w:lang w:val="fr-FR"/>
        </w:rPr>
        <w:t>Modèle A</w:t>
      </w:r>
    </w:p>
    <w:p w14:paraId="594004BF" w14:textId="475BAE95" w:rsidR="002A47A6" w:rsidRDefault="002A47A6" w:rsidP="002A47A6">
      <w:pPr>
        <w:pStyle w:val="SingleTxtG"/>
        <w:rPr>
          <w:lang w:val="fr-FR"/>
        </w:rPr>
      </w:pPr>
      <w:r w:rsidRPr="007C6DC9">
        <w:rPr>
          <w:lang w:val="fr-FR"/>
        </w:rPr>
        <w:t>(Voir le paragraphe 4</w:t>
      </w:r>
      <w:r w:rsidR="00E60533" w:rsidRPr="00E60533">
        <w:rPr>
          <w:lang w:val="fr-FR"/>
        </w:rPr>
        <w:t>.</w:t>
      </w:r>
      <w:r w:rsidRPr="007C6DC9">
        <w:rPr>
          <w:lang w:val="fr-FR"/>
        </w:rPr>
        <w:t>4 du présent Règlement)</w:t>
      </w:r>
    </w:p>
    <w:p w14:paraId="3C11638F" w14:textId="64DD8A59" w:rsidR="00103C99" w:rsidRDefault="00103C99" w:rsidP="00103C99">
      <w:pPr>
        <w:pStyle w:val="SingleTxtG"/>
        <w:rPr>
          <w:lang w:val="fr-FR"/>
        </w:rPr>
      </w:pPr>
      <w:r>
        <w:rPr>
          <w:noProof/>
        </w:rPr>
        <w:drawing>
          <wp:inline distT="0" distB="0" distL="0" distR="0" wp14:anchorId="2211522C" wp14:editId="34B6581A">
            <wp:extent cx="4712677" cy="96037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9278" cy="975989"/>
                    </a:xfrm>
                    <a:prstGeom prst="rect">
                      <a:avLst/>
                    </a:prstGeom>
                  </pic:spPr>
                </pic:pic>
              </a:graphicData>
            </a:graphic>
          </wp:inline>
        </w:drawing>
      </w:r>
    </w:p>
    <w:p w14:paraId="4840BF50" w14:textId="3AB3D4C3" w:rsidR="002A47A6" w:rsidRPr="00250925" w:rsidRDefault="002A47A6" w:rsidP="00103C99">
      <w:pPr>
        <w:pStyle w:val="SingleTxtG"/>
        <w:spacing w:after="240"/>
        <w:jc w:val="right"/>
      </w:pPr>
      <w:r w:rsidRPr="00440781">
        <w:t>a = 8 mm min</w:t>
      </w:r>
      <w:r w:rsidR="00E60533" w:rsidRPr="00E60533">
        <w:t>.</w:t>
      </w:r>
    </w:p>
    <w:p w14:paraId="76F845F6" w14:textId="014043E6" w:rsidR="002A47A6" w:rsidRPr="008D6EB5" w:rsidRDefault="002A47A6" w:rsidP="002A47A6">
      <w:pPr>
        <w:pStyle w:val="SingleTxtG"/>
        <w:rPr>
          <w:lang w:val="fr-FR"/>
        </w:rPr>
      </w:pPr>
      <w:r w:rsidRPr="007C6DC9">
        <w:rPr>
          <w:lang w:val="fr-FR"/>
        </w:rPr>
        <w:tab/>
      </w:r>
      <w:r w:rsidRPr="008233B1">
        <w:rPr>
          <w:lang w:val="fr-FR"/>
        </w:rPr>
        <w:t>La marque d</w:t>
      </w:r>
      <w:r>
        <w:rPr>
          <w:lang w:val="fr-FR"/>
        </w:rPr>
        <w:t>’</w:t>
      </w:r>
      <w:r w:rsidRPr="008233B1">
        <w:rPr>
          <w:lang w:val="fr-FR"/>
        </w:rPr>
        <w:t>homologation ci-dessus, apposée sur un véhicule, indique que le type de ce véhicule a été homologué en France (E</w:t>
      </w:r>
      <w:r w:rsidRPr="008D6EB5">
        <w:rPr>
          <w:lang w:val="fr-FR"/>
        </w:rPr>
        <w:t>2</w:t>
      </w:r>
      <w:r w:rsidRPr="008233B1">
        <w:rPr>
          <w:lang w:val="fr-FR"/>
        </w:rPr>
        <w:t>), en ce qui concerne les systèmes d</w:t>
      </w:r>
      <w:r>
        <w:rPr>
          <w:lang w:val="fr-FR"/>
        </w:rPr>
        <w:t>’</w:t>
      </w:r>
      <w:r w:rsidRPr="008233B1">
        <w:rPr>
          <w:lang w:val="fr-FR"/>
        </w:rPr>
        <w:t>ancrages ISOFIX, les ancrages supérieurs ISOFIX, et les positions i-Size en application du Règlement ONU n</w:t>
      </w:r>
      <w:r w:rsidRPr="008233B1">
        <w:rPr>
          <w:vertAlign w:val="superscript"/>
          <w:lang w:val="fr-FR"/>
        </w:rPr>
        <w:t>o</w:t>
      </w:r>
      <w:r w:rsidRPr="008233B1">
        <w:rPr>
          <w:lang w:val="fr-FR"/>
        </w:rPr>
        <w:t> 145, sous le numéro 0</w:t>
      </w:r>
      <w:r w:rsidRPr="008D6EB5">
        <w:rPr>
          <w:lang w:val="fr-FR"/>
        </w:rPr>
        <w:t>1</w:t>
      </w:r>
      <w:r w:rsidRPr="008233B1">
        <w:rPr>
          <w:lang w:val="fr-FR"/>
        </w:rPr>
        <w:t>1424</w:t>
      </w:r>
      <w:r w:rsidR="00E60533" w:rsidRPr="00E60533">
        <w:rPr>
          <w:lang w:val="fr-FR"/>
        </w:rPr>
        <w:t>.</w:t>
      </w:r>
      <w:r w:rsidRPr="008233B1">
        <w:rPr>
          <w:lang w:val="fr-FR"/>
        </w:rPr>
        <w:t xml:space="preserve"> Les deux premiers chiffres du numéro d</w:t>
      </w:r>
      <w:r>
        <w:rPr>
          <w:lang w:val="fr-FR"/>
        </w:rPr>
        <w:t>’</w:t>
      </w:r>
      <w:r w:rsidRPr="008233B1">
        <w:rPr>
          <w:lang w:val="fr-FR"/>
        </w:rPr>
        <w:t>homologation signifient que l</w:t>
      </w:r>
      <w:r>
        <w:rPr>
          <w:lang w:val="fr-FR"/>
        </w:rPr>
        <w:t>’</w:t>
      </w:r>
      <w:r w:rsidRPr="008233B1">
        <w:rPr>
          <w:lang w:val="fr-FR"/>
        </w:rPr>
        <w:t xml:space="preserve">homologation a été délivrée conformément aux prescriptions </w:t>
      </w:r>
      <w:r w:rsidRPr="008D6EB5">
        <w:rPr>
          <w:lang w:val="fr-FR"/>
        </w:rPr>
        <w:t>de la série 01 d</w:t>
      </w:r>
      <w:r>
        <w:rPr>
          <w:lang w:val="fr-FR"/>
        </w:rPr>
        <w:t>’</w:t>
      </w:r>
      <w:r w:rsidRPr="008D6EB5">
        <w:rPr>
          <w:lang w:val="fr-FR"/>
        </w:rPr>
        <w:t xml:space="preserve">amendements au </w:t>
      </w:r>
      <w:r w:rsidRPr="008233B1">
        <w:rPr>
          <w:lang w:val="fr-FR"/>
        </w:rPr>
        <w:t>Règlement ONU n</w:t>
      </w:r>
      <w:r w:rsidRPr="008233B1">
        <w:rPr>
          <w:vertAlign w:val="superscript"/>
          <w:lang w:val="fr-FR"/>
        </w:rPr>
        <w:t>o</w:t>
      </w:r>
      <w:r w:rsidRPr="008233B1">
        <w:rPr>
          <w:lang w:val="fr-FR"/>
        </w:rPr>
        <w:t> 145</w:t>
      </w:r>
      <w:r w:rsidR="00E60533" w:rsidRPr="00E60533">
        <w:rPr>
          <w:lang w:val="fr-FR"/>
        </w:rPr>
        <w:t>.</w:t>
      </w:r>
    </w:p>
    <w:p w14:paraId="2DA0EFC5" w14:textId="77777777" w:rsidR="002A47A6" w:rsidRPr="007C6DC9" w:rsidRDefault="002A47A6" w:rsidP="002A47A6">
      <w:pPr>
        <w:pStyle w:val="SingleTxtG"/>
        <w:spacing w:before="360" w:after="0"/>
        <w:rPr>
          <w:lang w:val="fr-FR"/>
        </w:rPr>
      </w:pPr>
      <w:r w:rsidRPr="007C6DC9">
        <w:rPr>
          <w:lang w:val="fr-FR"/>
        </w:rPr>
        <w:t>Modèle B</w:t>
      </w:r>
    </w:p>
    <w:p w14:paraId="121B26B8" w14:textId="62AF9EE9" w:rsidR="002A47A6" w:rsidRDefault="002A47A6" w:rsidP="002A47A6">
      <w:pPr>
        <w:pStyle w:val="SingleTxtG"/>
        <w:rPr>
          <w:lang w:val="fr-FR"/>
        </w:rPr>
      </w:pPr>
      <w:r w:rsidRPr="007C6DC9">
        <w:rPr>
          <w:lang w:val="fr-FR"/>
        </w:rPr>
        <w:t>(Voir le paragraphe 4</w:t>
      </w:r>
      <w:r w:rsidR="00E60533" w:rsidRPr="00E60533">
        <w:rPr>
          <w:lang w:val="fr-FR"/>
        </w:rPr>
        <w:t>.</w:t>
      </w:r>
      <w:r w:rsidRPr="007C6DC9">
        <w:rPr>
          <w:lang w:val="fr-FR"/>
        </w:rPr>
        <w:t>5 du présent Règlement)</w:t>
      </w:r>
    </w:p>
    <w:p w14:paraId="66586880" w14:textId="5200CD4F" w:rsidR="00103C99" w:rsidRPr="007C6DC9" w:rsidRDefault="00103C99" w:rsidP="002A47A6">
      <w:pPr>
        <w:pStyle w:val="SingleTxtG"/>
        <w:rPr>
          <w:lang w:val="fr-FR"/>
        </w:rPr>
      </w:pPr>
      <w:r>
        <w:rPr>
          <w:noProof/>
        </w:rPr>
        <w:drawing>
          <wp:inline distT="0" distB="0" distL="0" distR="0" wp14:anchorId="03D140C5" wp14:editId="67A10E97">
            <wp:extent cx="4712335" cy="93780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5815" cy="946460"/>
                    </a:xfrm>
                    <a:prstGeom prst="rect">
                      <a:avLst/>
                    </a:prstGeom>
                  </pic:spPr>
                </pic:pic>
              </a:graphicData>
            </a:graphic>
          </wp:inline>
        </w:drawing>
      </w:r>
    </w:p>
    <w:p w14:paraId="12156197" w14:textId="18EDEF41" w:rsidR="002A47A6" w:rsidRPr="007C6DC9" w:rsidRDefault="002A47A6" w:rsidP="00103C99">
      <w:pPr>
        <w:pStyle w:val="SingleTxtG"/>
        <w:spacing w:after="240"/>
        <w:jc w:val="right"/>
        <w:rPr>
          <w:lang w:val="fr-FR"/>
        </w:rPr>
      </w:pPr>
      <w:r w:rsidRPr="007C6DC9">
        <w:rPr>
          <w:snapToGrid w:val="0"/>
          <w:color w:val="000000"/>
          <w:w w:val="0"/>
          <w:sz w:val="0"/>
          <w:szCs w:val="0"/>
          <w:u w:color="000000"/>
          <w:bdr w:val="none" w:sz="0" w:space="0" w:color="000000"/>
          <w:shd w:val="clear" w:color="000000" w:fill="000000"/>
          <w:lang w:val="fr-FR" w:eastAsia="x-none" w:bidi="x-none"/>
        </w:rPr>
        <w:t xml:space="preserve"> </w:t>
      </w:r>
      <w:r w:rsidRPr="007C6DC9">
        <w:rPr>
          <w:lang w:val="fr-FR"/>
        </w:rPr>
        <w:t>a = 8 mm min</w:t>
      </w:r>
      <w:r w:rsidR="00E60533" w:rsidRPr="00E60533">
        <w:rPr>
          <w:lang w:val="fr-FR"/>
        </w:rPr>
        <w:t>.</w:t>
      </w:r>
    </w:p>
    <w:p w14:paraId="594D9800" w14:textId="22CA7381" w:rsidR="002A47A6" w:rsidRPr="008233B1" w:rsidRDefault="002A47A6" w:rsidP="002A47A6">
      <w:pPr>
        <w:pStyle w:val="SingleTxtG"/>
        <w:rPr>
          <w:lang w:val="fr-FR"/>
        </w:rPr>
      </w:pPr>
      <w:r w:rsidRPr="007C6DC9">
        <w:rPr>
          <w:lang w:val="fr-FR"/>
        </w:rPr>
        <w:tab/>
        <w:t xml:space="preserve">La </w:t>
      </w:r>
      <w:r w:rsidRPr="008233B1">
        <w:rPr>
          <w:lang w:val="fr-FR"/>
        </w:rPr>
        <w:t>marque d</w:t>
      </w:r>
      <w:r>
        <w:rPr>
          <w:lang w:val="fr-FR"/>
        </w:rPr>
        <w:t>’</w:t>
      </w:r>
      <w:r w:rsidRPr="008233B1">
        <w:rPr>
          <w:lang w:val="fr-FR"/>
        </w:rPr>
        <w:t xml:space="preserve">homologation ci-dessus, apposée sur un véhicule, indique que le type de ce véhicule a été homologué aux Pays-Bas (E4), en application des Règlements </w:t>
      </w:r>
      <w:r w:rsidR="00103C99">
        <w:rPr>
          <w:lang w:val="fr-FR"/>
        </w:rPr>
        <w:t xml:space="preserve">ONU </w:t>
      </w:r>
      <w:r w:rsidRPr="008233B1">
        <w:rPr>
          <w:lang w:val="fr-FR"/>
        </w:rPr>
        <w:t>n</w:t>
      </w:r>
      <w:r w:rsidRPr="008233B1">
        <w:rPr>
          <w:vertAlign w:val="superscript"/>
          <w:lang w:val="fr-FR"/>
        </w:rPr>
        <w:t>os</w:t>
      </w:r>
      <w:r w:rsidRPr="008233B1">
        <w:rPr>
          <w:lang w:val="fr-FR"/>
        </w:rPr>
        <w:t> 145 et 11</w:t>
      </w:r>
      <w:r w:rsidRPr="008233B1">
        <w:rPr>
          <w:sz w:val="18"/>
          <w:szCs w:val="18"/>
          <w:lang w:val="fr-FR"/>
        </w:rPr>
        <w:footnoteReference w:customMarkFollows="1" w:id="5"/>
        <w:t>*</w:t>
      </w:r>
      <w:r w:rsidR="00E60533" w:rsidRPr="00E60533">
        <w:rPr>
          <w:sz w:val="18"/>
          <w:szCs w:val="18"/>
          <w:lang w:val="fr-FR"/>
        </w:rPr>
        <w:t>.</w:t>
      </w:r>
      <w:r w:rsidRPr="008233B1">
        <w:rPr>
          <w:lang w:val="fr-FR"/>
        </w:rPr>
        <w:t xml:space="preserve"> Les numéros d</w:t>
      </w:r>
      <w:r>
        <w:rPr>
          <w:lang w:val="fr-FR"/>
        </w:rPr>
        <w:t>’</w:t>
      </w:r>
      <w:r w:rsidRPr="008233B1">
        <w:rPr>
          <w:lang w:val="fr-FR"/>
        </w:rPr>
        <w:t>homologation signifient qu</w:t>
      </w:r>
      <w:r>
        <w:rPr>
          <w:lang w:val="fr-FR"/>
        </w:rPr>
        <w:t>’</w:t>
      </w:r>
      <w:r w:rsidRPr="008233B1">
        <w:rPr>
          <w:lang w:val="fr-FR"/>
        </w:rPr>
        <w:t>aux dates où ces homologations ont été accordées, le Règlement ONU n</w:t>
      </w:r>
      <w:r w:rsidRPr="008233B1">
        <w:rPr>
          <w:vertAlign w:val="superscript"/>
          <w:lang w:val="fr-FR"/>
        </w:rPr>
        <w:t>o</w:t>
      </w:r>
      <w:r w:rsidRPr="008233B1">
        <w:rPr>
          <w:lang w:val="fr-FR"/>
        </w:rPr>
        <w:t xml:space="preserve"> 145 était </w:t>
      </w:r>
      <w:r w:rsidRPr="008D6EB5">
        <w:rPr>
          <w:lang w:val="fr-FR"/>
        </w:rPr>
        <w:t>modifié par la série 01 d</w:t>
      </w:r>
      <w:r>
        <w:rPr>
          <w:lang w:val="fr-FR"/>
        </w:rPr>
        <w:t>’</w:t>
      </w:r>
      <w:r w:rsidRPr="008D6EB5">
        <w:rPr>
          <w:lang w:val="fr-FR"/>
        </w:rPr>
        <w:t xml:space="preserve">amendements </w:t>
      </w:r>
      <w:r w:rsidRPr="008233B1">
        <w:rPr>
          <w:lang w:val="fr-FR"/>
        </w:rPr>
        <w:t>et le Règlement ONU n</w:t>
      </w:r>
      <w:r w:rsidRPr="008233B1">
        <w:rPr>
          <w:vertAlign w:val="superscript"/>
          <w:lang w:val="fr-FR"/>
        </w:rPr>
        <w:t>o</w:t>
      </w:r>
      <w:r w:rsidRPr="008233B1">
        <w:rPr>
          <w:lang w:val="fr-FR"/>
        </w:rPr>
        <w:t xml:space="preserve"> 11 </w:t>
      </w:r>
      <w:r w:rsidRPr="008D6EB5">
        <w:rPr>
          <w:lang w:val="fr-FR"/>
        </w:rPr>
        <w:t xml:space="preserve">par la </w:t>
      </w:r>
      <w:r w:rsidRPr="008233B1">
        <w:rPr>
          <w:lang w:val="fr-FR"/>
        </w:rPr>
        <w:t>série 02 d</w:t>
      </w:r>
      <w:r>
        <w:rPr>
          <w:lang w:val="fr-FR"/>
        </w:rPr>
        <w:t>’</w:t>
      </w:r>
      <w:r w:rsidRPr="008233B1">
        <w:rPr>
          <w:lang w:val="fr-FR"/>
        </w:rPr>
        <w:t>amendements</w:t>
      </w:r>
      <w:r w:rsidR="00E60533" w:rsidRPr="00E60533">
        <w:rPr>
          <w:lang w:val="fr-FR"/>
        </w:rPr>
        <w:t>.</w:t>
      </w:r>
      <w:r w:rsidRPr="008233B1">
        <w:rPr>
          <w:lang w:val="fr-FR"/>
        </w:rPr>
        <w:t> »</w:t>
      </w:r>
      <w:r w:rsidR="00E60533" w:rsidRPr="00E60533">
        <w:rPr>
          <w:lang w:val="fr-FR"/>
        </w:rPr>
        <w:t>.</w:t>
      </w:r>
    </w:p>
    <w:p w14:paraId="10CD100B" w14:textId="77777777" w:rsidR="002A47A6" w:rsidRPr="008233B1" w:rsidRDefault="002A47A6" w:rsidP="002A47A6">
      <w:pPr>
        <w:rPr>
          <w:i/>
          <w:lang w:val="fr-FR"/>
        </w:rPr>
      </w:pPr>
      <w:r w:rsidRPr="008233B1">
        <w:rPr>
          <w:i/>
          <w:lang w:val="fr-FR"/>
        </w:rPr>
        <w:br w:type="page"/>
      </w:r>
    </w:p>
    <w:p w14:paraId="25ED39E2" w14:textId="77777777" w:rsidR="002A47A6" w:rsidRPr="007C6DC9" w:rsidRDefault="002A47A6" w:rsidP="002A47A6">
      <w:pPr>
        <w:pStyle w:val="SingleTxtG"/>
        <w:rPr>
          <w:lang w:val="fr-FR"/>
        </w:rPr>
      </w:pPr>
      <w:r w:rsidRPr="000A262B">
        <w:rPr>
          <w:i/>
          <w:iCs/>
          <w:lang w:val="fr-FR"/>
        </w:rPr>
        <w:lastRenderedPageBreak/>
        <w:t>Ajouter la nouvelle annexe 6</w:t>
      </w:r>
      <w:r w:rsidRPr="007C6DC9">
        <w:rPr>
          <w:lang w:val="fr-FR"/>
        </w:rPr>
        <w:t>, libellée comme suit :</w:t>
      </w:r>
    </w:p>
    <w:p w14:paraId="18D25C4F" w14:textId="77777777" w:rsidR="002A47A6" w:rsidRPr="007C6DC9" w:rsidRDefault="002A47A6" w:rsidP="002A47A6">
      <w:pPr>
        <w:pStyle w:val="HChG"/>
        <w:rPr>
          <w:lang w:val="fr-FR"/>
        </w:rPr>
      </w:pPr>
      <w:r w:rsidRPr="007C6DC9">
        <w:rPr>
          <w:lang w:val="fr-FR"/>
        </w:rPr>
        <w:t>« Annexe 6</w:t>
      </w:r>
    </w:p>
    <w:p w14:paraId="592C07EF" w14:textId="77777777" w:rsidR="002A47A6" w:rsidRPr="007C6DC9" w:rsidRDefault="002A47A6" w:rsidP="002A47A6">
      <w:pPr>
        <w:pStyle w:val="HChG"/>
        <w:rPr>
          <w:lang w:val="fr-FR"/>
        </w:rPr>
      </w:pPr>
      <w:r w:rsidRPr="007C6DC9">
        <w:rPr>
          <w:lang w:val="fr-FR"/>
        </w:rPr>
        <w:tab/>
      </w:r>
      <w:r w:rsidRPr="007C6DC9">
        <w:rPr>
          <w:lang w:val="fr-FR"/>
        </w:rPr>
        <w:tab/>
        <w:t>Zone de l</w:t>
      </w:r>
      <w:r>
        <w:rPr>
          <w:lang w:val="fr-FR"/>
        </w:rPr>
        <w:t>’</w:t>
      </w:r>
      <w:r w:rsidRPr="007C6DC9">
        <w:rPr>
          <w:lang w:val="fr-FR"/>
        </w:rPr>
        <w:t xml:space="preserve">ancrage pour fixation inférieure et position </w:t>
      </w:r>
      <w:r>
        <w:rPr>
          <w:lang w:val="fr-FR"/>
        </w:rPr>
        <w:br/>
      </w:r>
      <w:r w:rsidRPr="007C6DC9">
        <w:rPr>
          <w:lang w:val="fr-FR"/>
        </w:rPr>
        <w:t>du point de référence pour le sens de la force</w:t>
      </w:r>
    </w:p>
    <w:p w14:paraId="09392F5F" w14:textId="421B1311" w:rsidR="002A47A6" w:rsidRPr="001978A7" w:rsidRDefault="002A47A6" w:rsidP="001978A7">
      <w:pPr>
        <w:pStyle w:val="Titre1"/>
        <w:spacing w:after="120"/>
        <w:rPr>
          <w:sz w:val="16"/>
          <w:szCs w:val="16"/>
          <w:lang w:val="fr-FR"/>
        </w:rPr>
      </w:pPr>
      <w:r w:rsidRPr="001978A7">
        <w:rPr>
          <w:lang w:val="fr-FR"/>
        </w:rPr>
        <w:t>Figure 1</w:t>
      </w:r>
      <w:r w:rsidR="001978A7">
        <w:rPr>
          <w:b/>
          <w:bCs/>
          <w:lang w:val="fr-FR"/>
        </w:rPr>
        <w:t xml:space="preserve"> </w:t>
      </w:r>
      <w:r w:rsidRPr="001978A7">
        <w:rPr>
          <w:b/>
          <w:bCs/>
          <w:lang w:val="fr-FR"/>
        </w:rPr>
        <w:br/>
      </w:r>
      <w:r w:rsidRPr="007C6DC9">
        <w:rPr>
          <w:b/>
          <w:bCs/>
          <w:lang w:val="fr-FR"/>
        </w:rPr>
        <w:t>Zone de l</w:t>
      </w:r>
      <w:r>
        <w:rPr>
          <w:b/>
          <w:bCs/>
          <w:lang w:val="fr-FR"/>
        </w:rPr>
        <w:t>’</w:t>
      </w:r>
      <w:r w:rsidRPr="007C6DC9">
        <w:rPr>
          <w:b/>
          <w:bCs/>
          <w:lang w:val="fr-FR"/>
        </w:rPr>
        <w:t>ancrage pour fixation inférieure : vue latérale</w:t>
      </w:r>
      <w:r w:rsidR="001978A7">
        <w:rPr>
          <w:b/>
          <w:bCs/>
          <w:lang w:val="fr-FR"/>
        </w:rPr>
        <w:t xml:space="preserve"> </w:t>
      </w:r>
      <w:r>
        <w:rPr>
          <w:b/>
          <w:bCs/>
          <w:lang w:val="fr-FR"/>
        </w:rPr>
        <w:br/>
      </w:r>
      <w:r w:rsidRPr="001978A7">
        <w:rPr>
          <w:sz w:val="16"/>
          <w:szCs w:val="16"/>
          <w:lang w:val="fr-FR"/>
        </w:rPr>
        <w:t>(dimensions en millimètres)</w:t>
      </w:r>
    </w:p>
    <w:p w14:paraId="71DB174A" w14:textId="77777777" w:rsidR="002A47A6" w:rsidRPr="007C6DC9" w:rsidRDefault="002A47A6" w:rsidP="001978A7">
      <w:pPr>
        <w:spacing w:after="120"/>
        <w:ind w:left="1134"/>
        <w:rPr>
          <w:b/>
        </w:rPr>
      </w:pPr>
      <w:r w:rsidRPr="007C6DC9">
        <w:rPr>
          <w:noProof/>
          <w:lang w:eastAsia="nl-NL"/>
        </w:rPr>
        <w:drawing>
          <wp:inline distT="0" distB="0" distL="0" distR="0" wp14:anchorId="76262E26" wp14:editId="7EF2DEB9">
            <wp:extent cx="4660900" cy="3803294"/>
            <wp:effectExtent l="0" t="0" r="6350" b="6985"/>
            <wp:docPr id="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85121" cy="3823058"/>
                    </a:xfrm>
                    <a:prstGeom prst="rect">
                      <a:avLst/>
                    </a:prstGeom>
                  </pic:spPr>
                </pic:pic>
              </a:graphicData>
            </a:graphic>
          </wp:inline>
        </w:drawing>
      </w:r>
    </w:p>
    <w:p w14:paraId="7D197288" w14:textId="2D9F5099" w:rsidR="002A47A6" w:rsidRPr="008D6EB5" w:rsidRDefault="002A47A6" w:rsidP="002A47A6">
      <w:pPr>
        <w:kinsoku/>
        <w:overflowPunct/>
        <w:autoSpaceDE/>
        <w:autoSpaceDN/>
        <w:adjustRightInd/>
        <w:snapToGrid/>
        <w:spacing w:line="240" w:lineRule="auto"/>
        <w:ind w:left="1134" w:right="1134"/>
        <w:jc w:val="both"/>
        <w:rPr>
          <w:bCs/>
          <w:sz w:val="16"/>
          <w:szCs w:val="16"/>
          <w:lang w:val="fr-FR"/>
        </w:rPr>
      </w:pPr>
      <w:r w:rsidRPr="008D6EB5">
        <w:rPr>
          <w:bCs/>
          <w:i/>
          <w:iCs/>
          <w:sz w:val="18"/>
          <w:szCs w:val="18"/>
          <w:lang w:val="fr-FR"/>
        </w:rPr>
        <w:t>Légende</w:t>
      </w:r>
      <w:r w:rsidRPr="008D6EB5">
        <w:rPr>
          <w:bCs/>
          <w:sz w:val="18"/>
          <w:szCs w:val="18"/>
          <w:lang w:val="fr-FR"/>
        </w:rPr>
        <w:t> :</w:t>
      </w:r>
      <w:r w:rsidRPr="008233B1">
        <w:rPr>
          <w:bCs/>
          <w:sz w:val="18"/>
          <w:szCs w:val="18"/>
          <w:lang w:val="fr-FR"/>
        </w:rPr>
        <w:tab/>
      </w:r>
      <w:r w:rsidRPr="008D6EB5">
        <w:rPr>
          <w:bCs/>
          <w:sz w:val="18"/>
          <w:szCs w:val="18"/>
          <w:lang w:val="fr-FR"/>
        </w:rPr>
        <w:t>1</w:t>
      </w:r>
      <w:r w:rsidR="00E60533" w:rsidRPr="00E60533">
        <w:rPr>
          <w:bCs/>
          <w:sz w:val="18"/>
          <w:szCs w:val="18"/>
          <w:lang w:val="fr-FR"/>
        </w:rPr>
        <w:t>.</w:t>
      </w:r>
      <w:r w:rsidRPr="008233B1">
        <w:rPr>
          <w:bCs/>
          <w:sz w:val="18"/>
          <w:szCs w:val="18"/>
          <w:lang w:val="fr-FR"/>
        </w:rPr>
        <w:tab/>
      </w:r>
      <w:r w:rsidRPr="008D6EB5">
        <w:rPr>
          <w:bCs/>
          <w:sz w:val="18"/>
          <w:szCs w:val="18"/>
          <w:lang w:val="fr-FR"/>
        </w:rPr>
        <w:t>Siège du véhicule</w:t>
      </w:r>
      <w:r w:rsidR="00E60533" w:rsidRPr="00E60533">
        <w:rPr>
          <w:bCs/>
          <w:sz w:val="18"/>
          <w:szCs w:val="18"/>
          <w:lang w:val="fr-FR"/>
        </w:rPr>
        <w:t>.</w:t>
      </w:r>
    </w:p>
    <w:p w14:paraId="544BC6F6" w14:textId="5A3D8617" w:rsidR="002A47A6" w:rsidRPr="008D6EB5" w:rsidRDefault="002A47A6" w:rsidP="002A47A6">
      <w:pPr>
        <w:kinsoku/>
        <w:overflowPunct/>
        <w:autoSpaceDE/>
        <w:autoSpaceDN/>
        <w:adjustRightInd/>
        <w:snapToGrid/>
        <w:spacing w:line="240" w:lineRule="auto"/>
        <w:ind w:left="2268" w:right="1134"/>
        <w:rPr>
          <w:rFonts w:eastAsia="Times New Roman"/>
          <w:bCs/>
          <w:sz w:val="18"/>
          <w:szCs w:val="18"/>
          <w:lang w:eastAsia="fr-FR"/>
        </w:rPr>
      </w:pPr>
      <w:r w:rsidRPr="008D6EB5">
        <w:rPr>
          <w:rFonts w:eastAsia="Times New Roman"/>
          <w:bCs/>
          <w:sz w:val="18"/>
          <w:szCs w:val="18"/>
          <w:lang w:eastAsia="fr-FR"/>
        </w:rPr>
        <w:t>2</w:t>
      </w:r>
      <w:r w:rsidR="00E60533" w:rsidRPr="00E60533">
        <w:rPr>
          <w:rFonts w:eastAsia="Times New Roman"/>
          <w:bCs/>
          <w:sz w:val="18"/>
          <w:szCs w:val="18"/>
          <w:lang w:eastAsia="fr-FR"/>
        </w:rPr>
        <w:t>.</w:t>
      </w:r>
      <w:r w:rsidRPr="008D6EB5">
        <w:rPr>
          <w:rFonts w:eastAsia="Times New Roman"/>
          <w:bCs/>
          <w:sz w:val="18"/>
          <w:szCs w:val="18"/>
          <w:lang w:eastAsia="fr-FR"/>
        </w:rPr>
        <w:tab/>
        <w:t>Enveloppe ISO/R2 installée sur la place assise correspondante</w:t>
      </w:r>
      <w:r w:rsidR="00E60533" w:rsidRPr="00E60533">
        <w:rPr>
          <w:rFonts w:eastAsia="Times New Roman"/>
          <w:bCs/>
          <w:sz w:val="18"/>
          <w:szCs w:val="18"/>
          <w:lang w:eastAsia="fr-FR"/>
        </w:rPr>
        <w:t>.</w:t>
      </w:r>
    </w:p>
    <w:p w14:paraId="7A1CB96F" w14:textId="26929991" w:rsidR="002A47A6" w:rsidRPr="008D6EB5" w:rsidRDefault="002A47A6" w:rsidP="001978A7">
      <w:pPr>
        <w:kinsoku/>
        <w:overflowPunct/>
        <w:autoSpaceDE/>
        <w:autoSpaceDN/>
        <w:adjustRightInd/>
        <w:snapToGrid/>
        <w:spacing w:line="240" w:lineRule="auto"/>
        <w:ind w:left="2835" w:right="1134" w:hanging="567"/>
        <w:rPr>
          <w:rFonts w:eastAsia="Times New Roman"/>
          <w:bCs/>
          <w:sz w:val="18"/>
          <w:szCs w:val="18"/>
          <w:lang w:eastAsia="fr-FR"/>
        </w:rPr>
      </w:pPr>
      <w:r w:rsidRPr="008D6EB5">
        <w:rPr>
          <w:rFonts w:eastAsia="Times New Roman"/>
          <w:bCs/>
          <w:sz w:val="18"/>
          <w:szCs w:val="18"/>
          <w:lang w:eastAsia="fr-FR"/>
        </w:rPr>
        <w:t>3</w:t>
      </w:r>
      <w:r w:rsidR="00E60533" w:rsidRPr="00E60533">
        <w:rPr>
          <w:rFonts w:eastAsia="Times New Roman"/>
          <w:bCs/>
          <w:sz w:val="18"/>
          <w:szCs w:val="18"/>
          <w:lang w:eastAsia="fr-FR"/>
        </w:rPr>
        <w:t>.</w:t>
      </w:r>
      <w:r w:rsidRPr="008D6EB5">
        <w:rPr>
          <w:rFonts w:eastAsia="Times New Roman"/>
          <w:bCs/>
          <w:sz w:val="18"/>
          <w:szCs w:val="18"/>
          <w:lang w:eastAsia="fr-FR"/>
        </w:rPr>
        <w:tab/>
        <w:t>Point de référence sur l</w:t>
      </w:r>
      <w:r>
        <w:rPr>
          <w:rFonts w:eastAsia="Times New Roman"/>
          <w:bCs/>
          <w:sz w:val="18"/>
          <w:szCs w:val="18"/>
          <w:lang w:eastAsia="fr-FR"/>
        </w:rPr>
        <w:t>’</w:t>
      </w:r>
      <w:r w:rsidRPr="008D6EB5">
        <w:rPr>
          <w:rFonts w:eastAsia="Times New Roman"/>
          <w:bCs/>
          <w:sz w:val="18"/>
          <w:szCs w:val="18"/>
          <w:lang w:eastAsia="fr-FR"/>
        </w:rPr>
        <w:t>enveloppe ISO/R2 pour les mesures de la zone de l</w:t>
      </w:r>
      <w:r>
        <w:rPr>
          <w:rFonts w:eastAsia="Times New Roman"/>
          <w:bCs/>
          <w:sz w:val="18"/>
          <w:szCs w:val="18"/>
          <w:lang w:eastAsia="fr-FR"/>
        </w:rPr>
        <w:t>’</w:t>
      </w:r>
      <w:r w:rsidRPr="008D6EB5">
        <w:rPr>
          <w:rFonts w:eastAsia="Times New Roman"/>
          <w:bCs/>
          <w:sz w:val="18"/>
          <w:szCs w:val="18"/>
          <w:lang w:eastAsia="fr-FR"/>
        </w:rPr>
        <w:t>ancrage pour fixation inférieure</w:t>
      </w:r>
      <w:r w:rsidR="00E60533" w:rsidRPr="00E60533">
        <w:rPr>
          <w:rFonts w:eastAsia="Times New Roman"/>
          <w:bCs/>
          <w:sz w:val="18"/>
          <w:szCs w:val="18"/>
          <w:lang w:eastAsia="fr-FR"/>
        </w:rPr>
        <w:t>.</w:t>
      </w:r>
    </w:p>
    <w:p w14:paraId="3B02D102" w14:textId="1D865535" w:rsidR="002A47A6" w:rsidRPr="008D6EB5" w:rsidRDefault="002A47A6" w:rsidP="001978A7">
      <w:pPr>
        <w:kinsoku/>
        <w:overflowPunct/>
        <w:autoSpaceDE/>
        <w:autoSpaceDN/>
        <w:adjustRightInd/>
        <w:snapToGrid/>
        <w:spacing w:line="240" w:lineRule="auto"/>
        <w:ind w:left="2835" w:right="1134" w:hanging="567"/>
        <w:rPr>
          <w:rFonts w:eastAsia="Times New Roman"/>
          <w:bCs/>
          <w:sz w:val="18"/>
          <w:szCs w:val="18"/>
          <w:lang w:eastAsia="fr-FR"/>
        </w:rPr>
      </w:pPr>
      <w:r w:rsidRPr="008D6EB5">
        <w:rPr>
          <w:rFonts w:eastAsia="Times New Roman"/>
          <w:bCs/>
          <w:sz w:val="18"/>
          <w:szCs w:val="18"/>
          <w:lang w:eastAsia="fr-FR"/>
        </w:rPr>
        <w:t>4</w:t>
      </w:r>
      <w:r w:rsidR="00E60533" w:rsidRPr="00E60533">
        <w:rPr>
          <w:rFonts w:eastAsia="Times New Roman"/>
          <w:bCs/>
          <w:sz w:val="18"/>
          <w:szCs w:val="18"/>
          <w:lang w:eastAsia="fr-FR"/>
        </w:rPr>
        <w:t>.</w:t>
      </w:r>
      <w:r w:rsidRPr="008D6EB5">
        <w:rPr>
          <w:rFonts w:eastAsia="Times New Roman"/>
          <w:bCs/>
          <w:sz w:val="18"/>
          <w:szCs w:val="18"/>
          <w:lang w:eastAsia="fr-FR"/>
        </w:rPr>
        <w:tab/>
        <w:t>Vue latérale de la zone de l</w:t>
      </w:r>
      <w:r>
        <w:rPr>
          <w:rFonts w:eastAsia="Times New Roman"/>
          <w:bCs/>
          <w:sz w:val="18"/>
          <w:szCs w:val="18"/>
          <w:lang w:eastAsia="fr-FR"/>
        </w:rPr>
        <w:t>’</w:t>
      </w:r>
      <w:r w:rsidRPr="008D6EB5">
        <w:rPr>
          <w:rFonts w:eastAsia="Times New Roman"/>
          <w:bCs/>
          <w:sz w:val="18"/>
          <w:szCs w:val="18"/>
          <w:lang w:eastAsia="fr-FR"/>
        </w:rPr>
        <w:t>ancrage</w:t>
      </w:r>
      <w:r w:rsidR="00E10D9E">
        <w:rPr>
          <w:rFonts w:eastAsia="Times New Roman"/>
          <w:bCs/>
          <w:sz w:val="18"/>
          <w:szCs w:val="18"/>
          <w:lang w:eastAsia="fr-FR"/>
        </w:rPr>
        <w:t xml:space="preserve"> </w:t>
      </w:r>
      <w:r w:rsidRPr="008D6EB5">
        <w:rPr>
          <w:rFonts w:eastAsia="Times New Roman"/>
          <w:bCs/>
          <w:sz w:val="18"/>
          <w:szCs w:val="18"/>
          <w:lang w:eastAsia="fr-FR"/>
        </w:rPr>
        <w:t>pour fixation intérieure et de sa limite supérieure</w:t>
      </w:r>
      <w:r w:rsidR="00E60533" w:rsidRPr="00E60533">
        <w:rPr>
          <w:rFonts w:eastAsia="Times New Roman"/>
          <w:bCs/>
          <w:sz w:val="18"/>
          <w:szCs w:val="18"/>
          <w:lang w:eastAsia="fr-FR"/>
        </w:rPr>
        <w:t>.</w:t>
      </w:r>
    </w:p>
    <w:p w14:paraId="761912F7" w14:textId="77EEE9D6" w:rsidR="002A47A6" w:rsidRPr="008D6EB5" w:rsidRDefault="002A47A6" w:rsidP="001978A7">
      <w:pPr>
        <w:kinsoku/>
        <w:overflowPunct/>
        <w:autoSpaceDE/>
        <w:autoSpaceDN/>
        <w:adjustRightInd/>
        <w:snapToGrid/>
        <w:spacing w:line="240" w:lineRule="auto"/>
        <w:ind w:left="2835" w:right="1134" w:hanging="567"/>
        <w:rPr>
          <w:rFonts w:eastAsia="Times New Roman"/>
          <w:bCs/>
          <w:sz w:val="18"/>
          <w:szCs w:val="18"/>
          <w:lang w:eastAsia="fr-FR"/>
        </w:rPr>
      </w:pPr>
      <w:r w:rsidRPr="008D6EB5">
        <w:rPr>
          <w:rFonts w:eastAsia="Times New Roman"/>
          <w:bCs/>
          <w:sz w:val="18"/>
          <w:szCs w:val="18"/>
          <w:lang w:eastAsia="fr-FR"/>
        </w:rPr>
        <w:t>5</w:t>
      </w:r>
      <w:r w:rsidR="00E60533" w:rsidRPr="00E60533">
        <w:rPr>
          <w:rFonts w:eastAsia="Times New Roman"/>
          <w:bCs/>
          <w:sz w:val="18"/>
          <w:szCs w:val="18"/>
          <w:lang w:eastAsia="fr-FR"/>
        </w:rPr>
        <w:t>.</w:t>
      </w:r>
      <w:r w:rsidRPr="008D6EB5">
        <w:rPr>
          <w:rFonts w:eastAsia="Times New Roman"/>
          <w:bCs/>
          <w:sz w:val="18"/>
          <w:szCs w:val="18"/>
          <w:lang w:eastAsia="fr-FR"/>
        </w:rPr>
        <w:tab/>
        <w:t>Si l</w:t>
      </w:r>
      <w:r>
        <w:rPr>
          <w:rFonts w:eastAsia="Times New Roman"/>
          <w:bCs/>
          <w:sz w:val="18"/>
          <w:szCs w:val="18"/>
          <w:lang w:eastAsia="fr-FR"/>
        </w:rPr>
        <w:t>’</w:t>
      </w:r>
      <w:r w:rsidRPr="008D6EB5">
        <w:rPr>
          <w:rFonts w:eastAsia="Times New Roman"/>
          <w:bCs/>
          <w:sz w:val="18"/>
          <w:szCs w:val="18"/>
          <w:lang w:eastAsia="fr-FR"/>
        </w:rPr>
        <w:t>ancrage pour fixation inférieure est intégré</w:t>
      </w:r>
      <w:r w:rsidR="00E10D9E">
        <w:rPr>
          <w:rFonts w:eastAsia="Times New Roman"/>
          <w:bCs/>
          <w:sz w:val="18"/>
          <w:szCs w:val="18"/>
          <w:lang w:eastAsia="fr-FR"/>
        </w:rPr>
        <w:t xml:space="preserve"> </w:t>
      </w:r>
      <w:r w:rsidRPr="008D6EB5">
        <w:rPr>
          <w:rFonts w:eastAsia="Times New Roman"/>
          <w:bCs/>
          <w:sz w:val="18"/>
          <w:szCs w:val="18"/>
          <w:lang w:eastAsia="fr-FR"/>
        </w:rPr>
        <w:t>au siège situé devant, les prescriptions relatives à la zone doivent être respectées indépendamment du réglage en hauteur du siège de devant, en tenant compte de la présence de l</w:t>
      </w:r>
      <w:r>
        <w:rPr>
          <w:rFonts w:eastAsia="Times New Roman"/>
          <w:bCs/>
          <w:sz w:val="18"/>
          <w:szCs w:val="18"/>
          <w:lang w:eastAsia="fr-FR"/>
        </w:rPr>
        <w:t>’</w:t>
      </w:r>
      <w:r w:rsidRPr="008D6EB5">
        <w:rPr>
          <w:rFonts w:eastAsia="Times New Roman"/>
          <w:bCs/>
          <w:sz w:val="18"/>
          <w:szCs w:val="18"/>
          <w:lang w:eastAsia="fr-FR"/>
        </w:rPr>
        <w:t>enveloppe ISO/R2</w:t>
      </w:r>
      <w:r w:rsidR="00E60533" w:rsidRPr="00E60533">
        <w:rPr>
          <w:rFonts w:eastAsia="Times New Roman"/>
          <w:bCs/>
          <w:sz w:val="18"/>
          <w:szCs w:val="18"/>
          <w:lang w:eastAsia="fr-FR"/>
        </w:rPr>
        <w:t>.</w:t>
      </w:r>
    </w:p>
    <w:p w14:paraId="3AF97462" w14:textId="0C2C50A2" w:rsidR="002A47A6" w:rsidRPr="008D6EB5" w:rsidRDefault="002A47A6" w:rsidP="00103C99">
      <w:pPr>
        <w:kinsoku/>
        <w:overflowPunct/>
        <w:autoSpaceDE/>
        <w:autoSpaceDN/>
        <w:adjustRightInd/>
        <w:snapToGrid/>
        <w:spacing w:line="240" w:lineRule="auto"/>
        <w:ind w:left="1134" w:right="1134" w:firstLine="170"/>
        <w:rPr>
          <w:rFonts w:eastAsia="Times New Roman"/>
          <w:bCs/>
          <w:sz w:val="18"/>
          <w:szCs w:val="18"/>
          <w:lang w:eastAsia="fr-FR"/>
        </w:rPr>
      </w:pPr>
      <w:r w:rsidRPr="008D6EB5">
        <w:rPr>
          <w:rFonts w:eastAsia="Times New Roman"/>
          <w:bCs/>
          <w:i/>
          <w:iCs/>
          <w:sz w:val="18"/>
          <w:szCs w:val="18"/>
          <w:lang w:eastAsia="fr-FR"/>
        </w:rPr>
        <w:t>Note</w:t>
      </w:r>
      <w:r w:rsidRPr="008D6EB5">
        <w:rPr>
          <w:rFonts w:eastAsia="Times New Roman"/>
          <w:bCs/>
          <w:sz w:val="18"/>
          <w:szCs w:val="18"/>
          <w:lang w:eastAsia="fr-FR"/>
        </w:rPr>
        <w:t> :</w:t>
      </w:r>
      <w:r w:rsidRPr="008D6EB5">
        <w:rPr>
          <w:rFonts w:eastAsia="Times New Roman"/>
          <w:bCs/>
          <w:sz w:val="18"/>
          <w:szCs w:val="18"/>
          <w:lang w:eastAsia="fr-FR"/>
        </w:rPr>
        <w:tab/>
        <w:t>Le dessin n</w:t>
      </w:r>
      <w:r>
        <w:rPr>
          <w:rFonts w:eastAsia="Times New Roman"/>
          <w:bCs/>
          <w:sz w:val="18"/>
          <w:szCs w:val="18"/>
          <w:lang w:eastAsia="fr-FR"/>
        </w:rPr>
        <w:t>’</w:t>
      </w:r>
      <w:r w:rsidRPr="008D6EB5">
        <w:rPr>
          <w:rFonts w:eastAsia="Times New Roman"/>
          <w:bCs/>
          <w:sz w:val="18"/>
          <w:szCs w:val="18"/>
          <w:lang w:eastAsia="fr-FR"/>
        </w:rPr>
        <w:t>est pas à l</w:t>
      </w:r>
      <w:r>
        <w:rPr>
          <w:rFonts w:eastAsia="Times New Roman"/>
          <w:bCs/>
          <w:sz w:val="18"/>
          <w:szCs w:val="18"/>
          <w:lang w:eastAsia="fr-FR"/>
        </w:rPr>
        <w:t>’</w:t>
      </w:r>
      <w:r w:rsidRPr="008D6EB5">
        <w:rPr>
          <w:rFonts w:eastAsia="Times New Roman"/>
          <w:bCs/>
          <w:sz w:val="18"/>
          <w:szCs w:val="18"/>
          <w:lang w:eastAsia="fr-FR"/>
        </w:rPr>
        <w:t>échelle</w:t>
      </w:r>
      <w:r w:rsidR="00E60533" w:rsidRPr="00E60533">
        <w:rPr>
          <w:rFonts w:eastAsia="Times New Roman"/>
          <w:bCs/>
          <w:sz w:val="18"/>
          <w:szCs w:val="18"/>
          <w:lang w:eastAsia="fr-FR"/>
        </w:rPr>
        <w:t>.</w:t>
      </w:r>
    </w:p>
    <w:p w14:paraId="0EF2A7C0" w14:textId="77777777" w:rsidR="002A47A6" w:rsidRPr="008D6EB5" w:rsidRDefault="002A47A6" w:rsidP="002A47A6">
      <w:pPr>
        <w:rPr>
          <w:bCs/>
          <w:lang w:val="fr-FR"/>
        </w:rPr>
      </w:pPr>
      <w:r w:rsidRPr="008D6EB5">
        <w:rPr>
          <w:bCs/>
          <w:lang w:val="fr-FR"/>
        </w:rPr>
        <w:br w:type="page"/>
      </w:r>
    </w:p>
    <w:p w14:paraId="0E1A238E" w14:textId="0D223994" w:rsidR="002A47A6" w:rsidRPr="007C6DC9" w:rsidRDefault="002A47A6" w:rsidP="001978A7">
      <w:pPr>
        <w:pStyle w:val="Titre1"/>
        <w:spacing w:after="120"/>
        <w:rPr>
          <w:lang w:val="fr-FR"/>
        </w:rPr>
      </w:pPr>
      <w:r w:rsidRPr="001978A7">
        <w:rPr>
          <w:lang w:val="fr-FR"/>
        </w:rPr>
        <w:lastRenderedPageBreak/>
        <w:t>Figure 2</w:t>
      </w:r>
      <w:r w:rsidR="001978A7">
        <w:rPr>
          <w:b/>
          <w:bCs/>
          <w:lang w:val="fr-FR"/>
        </w:rPr>
        <w:t xml:space="preserve"> </w:t>
      </w:r>
      <w:r w:rsidRPr="001978A7">
        <w:rPr>
          <w:b/>
          <w:bCs/>
          <w:lang w:val="fr-FR"/>
        </w:rPr>
        <w:br/>
      </w:r>
      <w:r w:rsidRPr="007C6DC9">
        <w:rPr>
          <w:b/>
          <w:bCs/>
          <w:lang w:val="fr-FR"/>
        </w:rPr>
        <w:t>Zone de l</w:t>
      </w:r>
      <w:r>
        <w:rPr>
          <w:b/>
          <w:bCs/>
          <w:lang w:val="fr-FR"/>
        </w:rPr>
        <w:t>’</w:t>
      </w:r>
      <w:r w:rsidRPr="007C6DC9">
        <w:rPr>
          <w:b/>
          <w:bCs/>
          <w:lang w:val="fr-FR"/>
        </w:rPr>
        <w:t>ancrage pour fixation inférieure : vue de dessus</w:t>
      </w:r>
    </w:p>
    <w:p w14:paraId="1BD2B7E9" w14:textId="77777777" w:rsidR="002A47A6" w:rsidRPr="007C6DC9" w:rsidRDefault="002A47A6" w:rsidP="002A47A6">
      <w:pPr>
        <w:spacing w:after="240"/>
        <w:ind w:left="1134"/>
      </w:pPr>
      <w:r w:rsidRPr="007C6DC9">
        <w:rPr>
          <w:noProof/>
          <w:lang w:eastAsia="nl-NL"/>
        </w:rPr>
        <w:drawing>
          <wp:inline distT="0" distB="0" distL="0" distR="0" wp14:anchorId="7D39A636" wp14:editId="2767A2DD">
            <wp:extent cx="4704183" cy="2766060"/>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3815" cy="2777604"/>
                    </a:xfrm>
                    <a:prstGeom prst="rect">
                      <a:avLst/>
                    </a:prstGeom>
                  </pic:spPr>
                </pic:pic>
              </a:graphicData>
            </a:graphic>
          </wp:inline>
        </w:drawing>
      </w:r>
    </w:p>
    <w:p w14:paraId="7DE61765" w14:textId="518A575F" w:rsidR="002A47A6" w:rsidRPr="008D6EB5" w:rsidRDefault="002A47A6" w:rsidP="00103C99">
      <w:pPr>
        <w:kinsoku/>
        <w:overflowPunct/>
        <w:autoSpaceDE/>
        <w:autoSpaceDN/>
        <w:adjustRightInd/>
        <w:snapToGrid/>
        <w:spacing w:line="240" w:lineRule="auto"/>
        <w:ind w:left="1134" w:right="1134" w:firstLine="170"/>
        <w:jc w:val="both"/>
        <w:rPr>
          <w:sz w:val="18"/>
          <w:szCs w:val="18"/>
          <w:lang w:val="fr-FR"/>
        </w:rPr>
      </w:pPr>
      <w:r w:rsidRPr="008D6EB5">
        <w:rPr>
          <w:i/>
          <w:iCs/>
          <w:sz w:val="18"/>
          <w:szCs w:val="18"/>
          <w:lang w:val="fr-FR"/>
        </w:rPr>
        <w:t>Légende</w:t>
      </w:r>
      <w:r w:rsidRPr="008D6EB5">
        <w:rPr>
          <w:sz w:val="18"/>
          <w:szCs w:val="18"/>
          <w:lang w:val="fr-FR"/>
        </w:rPr>
        <w:t> :</w:t>
      </w:r>
      <w:r w:rsidRPr="008D6EB5">
        <w:rPr>
          <w:sz w:val="18"/>
          <w:szCs w:val="18"/>
          <w:lang w:val="fr-FR"/>
        </w:rPr>
        <w:tab/>
        <w:t>1</w:t>
      </w:r>
      <w:r w:rsidR="00E60533" w:rsidRPr="00E60533">
        <w:rPr>
          <w:sz w:val="18"/>
          <w:szCs w:val="18"/>
          <w:lang w:val="fr-FR"/>
        </w:rPr>
        <w:t>.</w:t>
      </w:r>
      <w:r w:rsidRPr="008D6EB5">
        <w:rPr>
          <w:sz w:val="18"/>
          <w:szCs w:val="18"/>
          <w:lang w:val="fr-FR"/>
        </w:rPr>
        <w:tab/>
        <w:t>Zone de l</w:t>
      </w:r>
      <w:r>
        <w:rPr>
          <w:sz w:val="18"/>
          <w:szCs w:val="18"/>
          <w:lang w:val="fr-FR"/>
        </w:rPr>
        <w:t>’</w:t>
      </w:r>
      <w:r w:rsidRPr="008D6EB5">
        <w:rPr>
          <w:sz w:val="18"/>
          <w:szCs w:val="18"/>
          <w:lang w:val="fr-FR"/>
        </w:rPr>
        <w:t>ancrage pour fixation inférieure, vue de dessus</w:t>
      </w:r>
      <w:r w:rsidR="00E60533" w:rsidRPr="00E60533">
        <w:rPr>
          <w:sz w:val="18"/>
          <w:szCs w:val="18"/>
          <w:lang w:val="fr-FR"/>
        </w:rPr>
        <w:t>.</w:t>
      </w:r>
    </w:p>
    <w:p w14:paraId="7F1C6EE8" w14:textId="5AE05425" w:rsidR="002A47A6" w:rsidRPr="008D6EB5" w:rsidRDefault="002A47A6" w:rsidP="00E10D9E">
      <w:pPr>
        <w:kinsoku/>
        <w:overflowPunct/>
        <w:autoSpaceDE/>
        <w:autoSpaceDN/>
        <w:adjustRightInd/>
        <w:snapToGrid/>
        <w:spacing w:line="240" w:lineRule="auto"/>
        <w:ind w:left="2835" w:right="1134" w:hanging="567"/>
        <w:jc w:val="both"/>
        <w:rPr>
          <w:sz w:val="18"/>
          <w:szCs w:val="18"/>
          <w:lang w:val="fr-FR"/>
        </w:rPr>
      </w:pPr>
      <w:r w:rsidRPr="008D6EB5">
        <w:rPr>
          <w:sz w:val="18"/>
          <w:szCs w:val="18"/>
          <w:lang w:val="fr-FR"/>
        </w:rPr>
        <w:t>2</w:t>
      </w:r>
      <w:r w:rsidR="00E60533" w:rsidRPr="00E60533">
        <w:rPr>
          <w:sz w:val="18"/>
          <w:szCs w:val="18"/>
          <w:lang w:val="fr-FR"/>
        </w:rPr>
        <w:t>.</w:t>
      </w:r>
      <w:r w:rsidRPr="008D6EB5">
        <w:rPr>
          <w:sz w:val="18"/>
          <w:szCs w:val="18"/>
          <w:lang w:val="fr-FR"/>
        </w:rPr>
        <w:tab/>
        <w:t>Zone prévue pour une jambe de force (ne pouvant pas être utilisée pour l</w:t>
      </w:r>
      <w:r>
        <w:rPr>
          <w:sz w:val="18"/>
          <w:szCs w:val="18"/>
          <w:lang w:val="fr-FR"/>
        </w:rPr>
        <w:t>’</w:t>
      </w:r>
      <w:r w:rsidRPr="008D6EB5">
        <w:rPr>
          <w:sz w:val="18"/>
          <w:szCs w:val="18"/>
          <w:lang w:val="fr-FR"/>
        </w:rPr>
        <w:t>ancrage)</w:t>
      </w:r>
      <w:r w:rsidR="00E60533" w:rsidRPr="00E60533">
        <w:rPr>
          <w:sz w:val="18"/>
          <w:szCs w:val="18"/>
          <w:lang w:val="fr-FR"/>
        </w:rPr>
        <w:t>.</w:t>
      </w:r>
    </w:p>
    <w:p w14:paraId="00D7A5CF" w14:textId="165ABA1F" w:rsidR="002A47A6" w:rsidRPr="008D6EB5" w:rsidRDefault="002A47A6" w:rsidP="00E10D9E">
      <w:pPr>
        <w:kinsoku/>
        <w:overflowPunct/>
        <w:autoSpaceDE/>
        <w:autoSpaceDN/>
        <w:adjustRightInd/>
        <w:snapToGrid/>
        <w:spacing w:line="240" w:lineRule="auto"/>
        <w:ind w:left="2835" w:right="1134" w:hanging="567"/>
        <w:jc w:val="both"/>
        <w:rPr>
          <w:sz w:val="18"/>
          <w:szCs w:val="18"/>
          <w:lang w:val="fr-FR"/>
        </w:rPr>
      </w:pPr>
      <w:r w:rsidRPr="008D6EB5">
        <w:rPr>
          <w:sz w:val="18"/>
          <w:szCs w:val="18"/>
          <w:lang w:val="fr-FR"/>
        </w:rPr>
        <w:t>3</w:t>
      </w:r>
      <w:r w:rsidR="00E60533" w:rsidRPr="00E60533">
        <w:rPr>
          <w:sz w:val="18"/>
          <w:szCs w:val="18"/>
          <w:lang w:val="fr-FR"/>
        </w:rPr>
        <w:t>.</w:t>
      </w:r>
      <w:r w:rsidRPr="008D6EB5">
        <w:rPr>
          <w:sz w:val="18"/>
          <w:szCs w:val="18"/>
          <w:lang w:val="fr-FR"/>
        </w:rPr>
        <w:tab/>
        <w:t>Enveloppe ISO/R2 installée sur la place assise correspondante</w:t>
      </w:r>
      <w:r w:rsidR="00E60533" w:rsidRPr="00E60533">
        <w:rPr>
          <w:sz w:val="18"/>
          <w:szCs w:val="18"/>
          <w:lang w:val="fr-FR"/>
        </w:rPr>
        <w:t>.</w:t>
      </w:r>
    </w:p>
    <w:p w14:paraId="6C009C7C" w14:textId="74CB31FD" w:rsidR="002A47A6" w:rsidRPr="008D6EB5" w:rsidRDefault="002A47A6" w:rsidP="00E10D9E">
      <w:pPr>
        <w:kinsoku/>
        <w:overflowPunct/>
        <w:autoSpaceDE/>
        <w:autoSpaceDN/>
        <w:adjustRightInd/>
        <w:snapToGrid/>
        <w:spacing w:line="240" w:lineRule="auto"/>
        <w:ind w:left="2835" w:right="1134" w:hanging="567"/>
        <w:jc w:val="both"/>
        <w:rPr>
          <w:sz w:val="18"/>
          <w:szCs w:val="18"/>
          <w:lang w:val="fr-FR"/>
        </w:rPr>
      </w:pPr>
      <w:r w:rsidRPr="008D6EB5">
        <w:rPr>
          <w:sz w:val="18"/>
          <w:szCs w:val="18"/>
          <w:lang w:val="fr-FR"/>
        </w:rPr>
        <w:t>4</w:t>
      </w:r>
      <w:r w:rsidR="00E60533" w:rsidRPr="00E60533">
        <w:rPr>
          <w:sz w:val="18"/>
          <w:szCs w:val="18"/>
          <w:lang w:val="fr-FR"/>
        </w:rPr>
        <w:t>.</w:t>
      </w:r>
      <w:r w:rsidRPr="008D6EB5">
        <w:rPr>
          <w:sz w:val="18"/>
          <w:szCs w:val="18"/>
          <w:lang w:val="fr-FR"/>
        </w:rPr>
        <w:tab/>
        <w:t>Axe longitudinal du gabarit ISO/R2 et des emplacements des ancrages ISOFIX (ou axe longitudinal apparent du siège dans le cas de places assises ni ISOFIX ni i-Size, conformément à l</w:t>
      </w:r>
      <w:r>
        <w:rPr>
          <w:sz w:val="18"/>
          <w:szCs w:val="18"/>
          <w:lang w:val="fr-FR"/>
        </w:rPr>
        <w:t>’</w:t>
      </w:r>
      <w:r w:rsidRPr="008D6EB5">
        <w:rPr>
          <w:sz w:val="18"/>
          <w:szCs w:val="18"/>
          <w:lang w:val="fr-FR"/>
        </w:rPr>
        <w:t>annexe 6) (seul le contour est représenté)</w:t>
      </w:r>
      <w:r w:rsidR="00E60533" w:rsidRPr="00E60533">
        <w:rPr>
          <w:sz w:val="18"/>
          <w:szCs w:val="18"/>
          <w:lang w:val="fr-FR"/>
        </w:rPr>
        <w:t>.</w:t>
      </w:r>
    </w:p>
    <w:p w14:paraId="6E803A48" w14:textId="364FDA92" w:rsidR="002A47A6" w:rsidRPr="008D6EB5" w:rsidRDefault="002A47A6" w:rsidP="002A47A6">
      <w:pPr>
        <w:kinsoku/>
        <w:overflowPunct/>
        <w:autoSpaceDE/>
        <w:autoSpaceDN/>
        <w:adjustRightInd/>
        <w:snapToGrid/>
        <w:spacing w:line="240" w:lineRule="auto"/>
        <w:ind w:left="2268" w:right="1134"/>
        <w:jc w:val="both"/>
        <w:rPr>
          <w:sz w:val="18"/>
          <w:szCs w:val="18"/>
          <w:lang w:val="fr-FR"/>
        </w:rPr>
      </w:pPr>
      <w:r w:rsidRPr="008D6EB5">
        <w:rPr>
          <w:sz w:val="18"/>
          <w:szCs w:val="18"/>
          <w:lang w:val="fr-FR"/>
        </w:rPr>
        <w:t>5</w:t>
      </w:r>
      <w:r w:rsidR="00E60533" w:rsidRPr="00E60533">
        <w:rPr>
          <w:sz w:val="18"/>
          <w:szCs w:val="18"/>
          <w:lang w:val="fr-FR"/>
        </w:rPr>
        <w:t>.</w:t>
      </w:r>
      <w:r w:rsidRPr="008D6EB5">
        <w:rPr>
          <w:sz w:val="18"/>
          <w:szCs w:val="18"/>
          <w:lang w:val="fr-FR"/>
        </w:rPr>
        <w:tab/>
        <w:t>Exemples de position des ancrages pour fixation inférieure</w:t>
      </w:r>
      <w:r w:rsidR="00E60533" w:rsidRPr="00E60533">
        <w:rPr>
          <w:sz w:val="18"/>
          <w:szCs w:val="18"/>
          <w:lang w:val="fr-FR"/>
        </w:rPr>
        <w:t>.</w:t>
      </w:r>
    </w:p>
    <w:p w14:paraId="4848BD7D" w14:textId="46B84C6C" w:rsidR="002A47A6" w:rsidRPr="008233B1" w:rsidRDefault="002A47A6" w:rsidP="00E10D9E">
      <w:pPr>
        <w:kinsoku/>
        <w:overflowPunct/>
        <w:autoSpaceDE/>
        <w:autoSpaceDN/>
        <w:adjustRightInd/>
        <w:snapToGrid/>
        <w:spacing w:line="240" w:lineRule="auto"/>
        <w:ind w:left="2268" w:right="1134" w:hanging="964"/>
        <w:jc w:val="both"/>
        <w:rPr>
          <w:sz w:val="16"/>
          <w:szCs w:val="16"/>
          <w:lang w:val="fr-FR"/>
        </w:rPr>
      </w:pPr>
      <w:r w:rsidRPr="008D6EB5">
        <w:rPr>
          <w:i/>
          <w:iCs/>
          <w:sz w:val="18"/>
          <w:szCs w:val="18"/>
          <w:lang w:val="fr-FR"/>
        </w:rPr>
        <w:t>Note </w:t>
      </w:r>
      <w:r w:rsidRPr="008D6EB5">
        <w:rPr>
          <w:sz w:val="18"/>
          <w:szCs w:val="18"/>
          <w:lang w:val="fr-FR"/>
        </w:rPr>
        <w:t>:</w:t>
      </w:r>
      <w:r w:rsidRPr="008D6EB5">
        <w:rPr>
          <w:sz w:val="18"/>
          <w:szCs w:val="18"/>
          <w:lang w:val="fr-FR"/>
        </w:rPr>
        <w:tab/>
        <w:t>La surface la plus en arrière de la zone se situe 100 mm en arrière d</w:t>
      </w:r>
      <w:r>
        <w:rPr>
          <w:sz w:val="18"/>
          <w:szCs w:val="18"/>
          <w:lang w:val="fr-FR"/>
        </w:rPr>
        <w:t>’</w:t>
      </w:r>
      <w:r w:rsidRPr="008D6EB5">
        <w:rPr>
          <w:sz w:val="18"/>
          <w:szCs w:val="18"/>
          <w:lang w:val="fr-FR"/>
        </w:rPr>
        <w:t>un plan vertical passant par le point de référence sur l</w:t>
      </w:r>
      <w:r>
        <w:rPr>
          <w:sz w:val="18"/>
          <w:szCs w:val="18"/>
          <w:lang w:val="fr-FR"/>
        </w:rPr>
        <w:t>’</w:t>
      </w:r>
      <w:r w:rsidRPr="008D6EB5">
        <w:rPr>
          <w:sz w:val="18"/>
          <w:szCs w:val="18"/>
          <w:lang w:val="fr-FR"/>
        </w:rPr>
        <w:t>enveloppe ISO/R2</w:t>
      </w:r>
      <w:r w:rsidR="00E60533" w:rsidRPr="00E60533">
        <w:rPr>
          <w:sz w:val="18"/>
          <w:szCs w:val="18"/>
          <w:lang w:val="fr-FR"/>
        </w:rPr>
        <w:t>.</w:t>
      </w:r>
      <w:r w:rsidRPr="008D6EB5">
        <w:rPr>
          <w:sz w:val="18"/>
          <w:szCs w:val="18"/>
          <w:lang w:val="fr-FR"/>
        </w:rPr>
        <w:t xml:space="preserve"> Voir les figures 5 et 6</w:t>
      </w:r>
      <w:r w:rsidR="00E60533" w:rsidRPr="00E60533">
        <w:rPr>
          <w:sz w:val="18"/>
          <w:szCs w:val="18"/>
          <w:lang w:val="fr-FR"/>
        </w:rPr>
        <w:t>.</w:t>
      </w:r>
      <w:r w:rsidRPr="008D6EB5">
        <w:rPr>
          <w:sz w:val="18"/>
          <w:szCs w:val="18"/>
          <w:lang w:val="fr-FR"/>
        </w:rPr>
        <w:t> »</w:t>
      </w:r>
      <w:r w:rsidR="00E60533" w:rsidRPr="00E60533">
        <w:rPr>
          <w:sz w:val="18"/>
          <w:szCs w:val="18"/>
          <w:lang w:val="fr-FR"/>
        </w:rPr>
        <w:t>.</w:t>
      </w:r>
    </w:p>
    <w:p w14:paraId="299A3C74" w14:textId="3F7ACB81" w:rsidR="002A47A6" w:rsidRPr="007C6DC9" w:rsidRDefault="002A47A6" w:rsidP="00E60533">
      <w:pPr>
        <w:pStyle w:val="Titre1"/>
        <w:spacing w:before="240" w:after="120"/>
        <w:rPr>
          <w:lang w:val="fr-FR"/>
        </w:rPr>
      </w:pPr>
      <w:r w:rsidRPr="001978A7">
        <w:rPr>
          <w:lang w:val="fr-FR"/>
        </w:rPr>
        <w:t>Figure 3</w:t>
      </w:r>
      <w:r w:rsidRPr="001978A7">
        <w:rPr>
          <w:lang w:val="fr-FR"/>
        </w:rPr>
        <w:br/>
      </w:r>
      <w:r w:rsidRPr="007C6DC9">
        <w:rPr>
          <w:b/>
          <w:bCs/>
          <w:lang w:val="fr-FR"/>
        </w:rPr>
        <w:t>Point de référence et sens de la force</w:t>
      </w:r>
      <w:r w:rsidR="00E10D9E">
        <w:rPr>
          <w:b/>
          <w:bCs/>
          <w:lang w:val="fr-FR"/>
        </w:rPr>
        <w:t xml:space="preserve"> </w:t>
      </w:r>
      <w:r w:rsidRPr="007C6DC9">
        <w:rPr>
          <w:b/>
          <w:bCs/>
          <w:lang w:val="fr-FR"/>
        </w:rPr>
        <w:t>d</w:t>
      </w:r>
      <w:r>
        <w:rPr>
          <w:b/>
          <w:bCs/>
          <w:lang w:val="fr-FR"/>
        </w:rPr>
        <w:t>’</w:t>
      </w:r>
      <w:r w:rsidRPr="007C6DC9">
        <w:rPr>
          <w:b/>
          <w:bCs/>
          <w:lang w:val="fr-FR"/>
        </w:rPr>
        <w:t>essai</w:t>
      </w:r>
    </w:p>
    <w:p w14:paraId="1D0DF207" w14:textId="77777777" w:rsidR="002A47A6" w:rsidRPr="007C6DC9" w:rsidRDefault="002A47A6" w:rsidP="00E60533">
      <w:pPr>
        <w:spacing w:after="240"/>
        <w:ind w:left="1134" w:right="1134"/>
        <w:jc w:val="center"/>
      </w:pPr>
      <w:r w:rsidRPr="007C6DC9">
        <w:rPr>
          <w:noProof/>
          <w:lang w:eastAsia="nl-NL"/>
        </w:rPr>
        <w:drawing>
          <wp:inline distT="0" distB="0" distL="0" distR="0" wp14:anchorId="4ECEDDEF" wp14:editId="36219A1A">
            <wp:extent cx="3595688" cy="2984422"/>
            <wp:effectExtent l="0" t="0" r="508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3711" cy="3015981"/>
                    </a:xfrm>
                    <a:prstGeom prst="rect">
                      <a:avLst/>
                    </a:prstGeom>
                  </pic:spPr>
                </pic:pic>
              </a:graphicData>
            </a:graphic>
          </wp:inline>
        </w:drawing>
      </w:r>
    </w:p>
    <w:p w14:paraId="3B0ABFC0" w14:textId="619E58C5" w:rsidR="002A47A6" w:rsidRPr="001978A7" w:rsidRDefault="002A47A6" w:rsidP="00E60533">
      <w:pPr>
        <w:kinsoku/>
        <w:overflowPunct/>
        <w:autoSpaceDE/>
        <w:autoSpaceDN/>
        <w:adjustRightInd/>
        <w:snapToGrid/>
        <w:spacing w:line="240" w:lineRule="auto"/>
        <w:ind w:left="1134" w:right="1134" w:firstLine="170"/>
        <w:jc w:val="both"/>
        <w:rPr>
          <w:sz w:val="18"/>
          <w:szCs w:val="18"/>
          <w:lang w:val="fr-FR"/>
        </w:rPr>
      </w:pPr>
      <w:r w:rsidRPr="001978A7">
        <w:rPr>
          <w:i/>
          <w:iCs/>
          <w:sz w:val="18"/>
          <w:szCs w:val="18"/>
          <w:lang w:val="fr-FR"/>
        </w:rPr>
        <w:t>Légende </w:t>
      </w:r>
      <w:r w:rsidRPr="001978A7">
        <w:rPr>
          <w:sz w:val="18"/>
          <w:szCs w:val="18"/>
          <w:lang w:val="fr-FR"/>
        </w:rPr>
        <w:t>:</w:t>
      </w:r>
      <w:r w:rsidRPr="001978A7">
        <w:rPr>
          <w:sz w:val="18"/>
          <w:szCs w:val="18"/>
          <w:lang w:val="fr-FR"/>
        </w:rPr>
        <w:tab/>
        <w:t>1</w:t>
      </w:r>
      <w:r w:rsidR="00E60533" w:rsidRPr="00E60533">
        <w:rPr>
          <w:sz w:val="18"/>
          <w:szCs w:val="18"/>
          <w:lang w:val="fr-FR"/>
        </w:rPr>
        <w:t>.</w:t>
      </w:r>
      <w:r w:rsidRPr="001978A7">
        <w:rPr>
          <w:sz w:val="18"/>
          <w:szCs w:val="18"/>
          <w:lang w:val="fr-FR"/>
        </w:rPr>
        <w:tab/>
        <w:t>Siège du véhicule</w:t>
      </w:r>
      <w:r w:rsidR="00E60533" w:rsidRPr="00E60533">
        <w:rPr>
          <w:sz w:val="18"/>
          <w:szCs w:val="18"/>
          <w:lang w:val="fr-FR"/>
        </w:rPr>
        <w:t>.</w:t>
      </w:r>
    </w:p>
    <w:p w14:paraId="266AEDFC" w14:textId="6BDE7814" w:rsidR="002A47A6" w:rsidRPr="001978A7" w:rsidRDefault="002A47A6" w:rsidP="00E60533">
      <w:pPr>
        <w:kinsoku/>
        <w:overflowPunct/>
        <w:autoSpaceDE/>
        <w:autoSpaceDN/>
        <w:adjustRightInd/>
        <w:snapToGrid/>
        <w:spacing w:line="240" w:lineRule="auto"/>
        <w:ind w:left="2268" w:right="1134"/>
        <w:jc w:val="both"/>
        <w:rPr>
          <w:sz w:val="18"/>
          <w:szCs w:val="18"/>
          <w:lang w:val="fr-FR"/>
        </w:rPr>
      </w:pPr>
      <w:r w:rsidRPr="001978A7">
        <w:rPr>
          <w:sz w:val="18"/>
          <w:szCs w:val="18"/>
          <w:lang w:val="fr-FR"/>
        </w:rPr>
        <w:t>2</w:t>
      </w:r>
      <w:r w:rsidR="00E60533" w:rsidRPr="00E60533">
        <w:rPr>
          <w:sz w:val="18"/>
          <w:szCs w:val="18"/>
          <w:lang w:val="fr-FR"/>
        </w:rPr>
        <w:t>.</w:t>
      </w:r>
      <w:r w:rsidRPr="001978A7">
        <w:rPr>
          <w:sz w:val="18"/>
          <w:szCs w:val="18"/>
          <w:lang w:val="fr-FR"/>
        </w:rPr>
        <w:tab/>
        <w:t>Enveloppe ISO/R2 installée sur la place assise correspondante</w:t>
      </w:r>
      <w:r w:rsidR="00E60533" w:rsidRPr="00E60533">
        <w:rPr>
          <w:sz w:val="18"/>
          <w:szCs w:val="18"/>
          <w:lang w:val="fr-FR"/>
        </w:rPr>
        <w:t>.</w:t>
      </w:r>
    </w:p>
    <w:p w14:paraId="6F38B017" w14:textId="4871C755" w:rsidR="002A47A6" w:rsidRPr="001978A7" w:rsidRDefault="002A47A6" w:rsidP="00E60533">
      <w:pPr>
        <w:kinsoku/>
        <w:overflowPunct/>
        <w:autoSpaceDE/>
        <w:autoSpaceDN/>
        <w:adjustRightInd/>
        <w:snapToGrid/>
        <w:spacing w:line="240" w:lineRule="auto"/>
        <w:ind w:left="2268" w:right="1134"/>
        <w:jc w:val="both"/>
        <w:rPr>
          <w:sz w:val="18"/>
          <w:szCs w:val="18"/>
          <w:lang w:val="fr-FR"/>
        </w:rPr>
      </w:pPr>
      <w:r w:rsidRPr="001978A7">
        <w:rPr>
          <w:sz w:val="18"/>
          <w:szCs w:val="18"/>
          <w:lang w:val="fr-FR"/>
        </w:rPr>
        <w:t>3</w:t>
      </w:r>
      <w:r w:rsidR="00E60533" w:rsidRPr="00E60533">
        <w:rPr>
          <w:sz w:val="18"/>
          <w:szCs w:val="18"/>
          <w:lang w:val="fr-FR"/>
        </w:rPr>
        <w:t>.</w:t>
      </w:r>
      <w:r w:rsidRPr="001978A7">
        <w:rPr>
          <w:sz w:val="18"/>
          <w:szCs w:val="18"/>
          <w:lang w:val="fr-FR"/>
        </w:rPr>
        <w:tab/>
        <w:t>PRSF</w:t>
      </w:r>
      <w:r w:rsidR="00E60533" w:rsidRPr="00E60533">
        <w:rPr>
          <w:sz w:val="18"/>
          <w:szCs w:val="18"/>
          <w:lang w:val="fr-FR"/>
        </w:rPr>
        <w:t>.</w:t>
      </w:r>
    </w:p>
    <w:p w14:paraId="6CC8507F" w14:textId="3BC6CFF0" w:rsidR="002A47A6" w:rsidRPr="001978A7" w:rsidRDefault="002A47A6" w:rsidP="00E60533">
      <w:pPr>
        <w:kinsoku/>
        <w:overflowPunct/>
        <w:autoSpaceDE/>
        <w:autoSpaceDN/>
        <w:adjustRightInd/>
        <w:snapToGrid/>
        <w:spacing w:line="240" w:lineRule="auto"/>
        <w:ind w:left="2268" w:right="1134"/>
        <w:jc w:val="both"/>
        <w:rPr>
          <w:sz w:val="18"/>
          <w:szCs w:val="18"/>
          <w:lang w:val="fr-FR"/>
        </w:rPr>
      </w:pPr>
      <w:r w:rsidRPr="001978A7">
        <w:rPr>
          <w:sz w:val="18"/>
          <w:szCs w:val="18"/>
          <w:lang w:val="fr-FR"/>
        </w:rPr>
        <w:t>4</w:t>
      </w:r>
      <w:r w:rsidR="00E60533" w:rsidRPr="00E60533">
        <w:rPr>
          <w:sz w:val="18"/>
          <w:szCs w:val="18"/>
          <w:lang w:val="fr-FR"/>
        </w:rPr>
        <w:t>.</w:t>
      </w:r>
      <w:r w:rsidRPr="001978A7">
        <w:rPr>
          <w:sz w:val="18"/>
          <w:szCs w:val="18"/>
          <w:lang w:val="fr-FR"/>
        </w:rPr>
        <w:tab/>
        <w:t>Exemple de position de l’ancrage pour fixation inférieure dans le véhicule</w:t>
      </w:r>
      <w:r w:rsidR="00E60533" w:rsidRPr="00E60533">
        <w:rPr>
          <w:sz w:val="18"/>
          <w:szCs w:val="18"/>
          <w:lang w:val="fr-FR"/>
        </w:rPr>
        <w:t>.</w:t>
      </w:r>
    </w:p>
    <w:p w14:paraId="5BC518F0" w14:textId="62B94A1D" w:rsidR="002A47A6" w:rsidRPr="001978A7" w:rsidRDefault="002A47A6" w:rsidP="00E60533">
      <w:pPr>
        <w:kinsoku/>
        <w:overflowPunct/>
        <w:autoSpaceDE/>
        <w:autoSpaceDN/>
        <w:adjustRightInd/>
        <w:snapToGrid/>
        <w:spacing w:line="240" w:lineRule="auto"/>
        <w:ind w:left="2268" w:right="1134"/>
        <w:jc w:val="both"/>
        <w:rPr>
          <w:sz w:val="18"/>
          <w:szCs w:val="18"/>
          <w:lang w:val="fr-FR"/>
        </w:rPr>
      </w:pPr>
      <w:r w:rsidRPr="001978A7">
        <w:rPr>
          <w:sz w:val="18"/>
          <w:szCs w:val="18"/>
          <w:lang w:val="fr-FR"/>
        </w:rPr>
        <w:t>5</w:t>
      </w:r>
      <w:r w:rsidR="00E60533" w:rsidRPr="00E60533">
        <w:rPr>
          <w:sz w:val="18"/>
          <w:szCs w:val="18"/>
          <w:lang w:val="fr-FR"/>
        </w:rPr>
        <w:t>.</w:t>
      </w:r>
      <w:r w:rsidRPr="001978A7">
        <w:rPr>
          <w:sz w:val="18"/>
          <w:szCs w:val="18"/>
          <w:lang w:val="fr-FR"/>
        </w:rPr>
        <w:tab/>
        <w:t>Sens de la force d’essai</w:t>
      </w:r>
      <w:r w:rsidR="00E60533" w:rsidRPr="00E60533">
        <w:rPr>
          <w:sz w:val="18"/>
          <w:szCs w:val="18"/>
          <w:lang w:val="fr-FR"/>
        </w:rPr>
        <w:t>.</w:t>
      </w:r>
    </w:p>
    <w:p w14:paraId="335A9252" w14:textId="202DBF3A" w:rsidR="002A47A6" w:rsidRPr="001978A7" w:rsidRDefault="002A47A6" w:rsidP="00E60533">
      <w:pPr>
        <w:kinsoku/>
        <w:overflowPunct/>
        <w:autoSpaceDE/>
        <w:autoSpaceDN/>
        <w:adjustRightInd/>
        <w:snapToGrid/>
        <w:spacing w:line="240" w:lineRule="auto"/>
        <w:ind w:left="1134" w:right="1134" w:firstLine="170"/>
        <w:jc w:val="both"/>
        <w:rPr>
          <w:sz w:val="18"/>
          <w:szCs w:val="18"/>
          <w:lang w:val="fr-FR"/>
        </w:rPr>
      </w:pPr>
      <w:r w:rsidRPr="001978A7">
        <w:rPr>
          <w:i/>
          <w:iCs/>
          <w:sz w:val="18"/>
          <w:szCs w:val="18"/>
          <w:lang w:val="fr-FR"/>
        </w:rPr>
        <w:t>Note </w:t>
      </w:r>
      <w:r w:rsidRPr="001978A7">
        <w:rPr>
          <w:sz w:val="18"/>
          <w:szCs w:val="18"/>
          <w:lang w:val="fr-FR"/>
        </w:rPr>
        <w:t xml:space="preserve">: </w:t>
      </w:r>
      <w:r w:rsidRPr="001978A7">
        <w:rPr>
          <w:sz w:val="18"/>
          <w:szCs w:val="18"/>
          <w:lang w:val="fr-FR"/>
        </w:rPr>
        <w:tab/>
        <w:t>Le PRSF se situe latéralement sur l’axe longitudinal de l’enveloppe ISO/R2</w:t>
      </w:r>
      <w:r w:rsidR="00E60533" w:rsidRPr="00E60533">
        <w:rPr>
          <w:sz w:val="18"/>
          <w:szCs w:val="18"/>
          <w:lang w:val="fr-FR"/>
        </w:rPr>
        <w:t>.</w:t>
      </w:r>
      <w:r w:rsidRPr="001978A7">
        <w:rPr>
          <w:sz w:val="18"/>
          <w:szCs w:val="18"/>
          <w:lang w:val="fr-FR"/>
        </w:rPr>
        <w:t> »</w:t>
      </w:r>
      <w:r w:rsidR="00E60533" w:rsidRPr="00E60533">
        <w:rPr>
          <w:sz w:val="18"/>
          <w:szCs w:val="18"/>
          <w:lang w:val="fr-FR"/>
        </w:rPr>
        <w:t>.</w:t>
      </w:r>
    </w:p>
    <w:p w14:paraId="486898D0" w14:textId="77777777" w:rsidR="002A47A6" w:rsidRPr="007C6DC9" w:rsidRDefault="002A47A6" w:rsidP="00E60533">
      <w:pPr>
        <w:pStyle w:val="SingleTxtG"/>
        <w:spacing w:before="240"/>
        <w:rPr>
          <w:lang w:val="fr-FR"/>
        </w:rPr>
      </w:pPr>
      <w:r w:rsidRPr="00D167D1">
        <w:rPr>
          <w:i/>
          <w:iCs/>
          <w:lang w:val="fr-FR"/>
        </w:rPr>
        <w:t>Ajouter la nouvelle annexe 7</w:t>
      </w:r>
      <w:r w:rsidRPr="007C6DC9">
        <w:rPr>
          <w:lang w:val="fr-FR"/>
        </w:rPr>
        <w:t>, libellée comme suit :</w:t>
      </w:r>
    </w:p>
    <w:p w14:paraId="6FBB39E1" w14:textId="77777777" w:rsidR="002A47A6" w:rsidRPr="007C6DC9" w:rsidRDefault="002A47A6" w:rsidP="002A47A6">
      <w:pPr>
        <w:pStyle w:val="HChG"/>
        <w:rPr>
          <w:lang w:val="fr-FR"/>
        </w:rPr>
      </w:pPr>
      <w:r w:rsidRPr="007C6DC9">
        <w:rPr>
          <w:lang w:val="fr-FR"/>
        </w:rPr>
        <w:t>« Annexe 7</w:t>
      </w:r>
    </w:p>
    <w:p w14:paraId="7CA8502A" w14:textId="77777777" w:rsidR="002A47A6" w:rsidRPr="007C6DC9" w:rsidRDefault="002A47A6" w:rsidP="002A47A6">
      <w:pPr>
        <w:pStyle w:val="HChG"/>
        <w:rPr>
          <w:lang w:val="fr-FR"/>
        </w:rPr>
      </w:pPr>
      <w:r>
        <w:rPr>
          <w:lang w:val="fr-FR"/>
        </w:rPr>
        <w:tab/>
      </w:r>
      <w:r>
        <w:rPr>
          <w:lang w:val="fr-FR"/>
        </w:rPr>
        <w:tab/>
      </w:r>
      <w:r w:rsidRPr="007C6DC9">
        <w:rPr>
          <w:lang w:val="fr-FR"/>
        </w:rPr>
        <w:t xml:space="preserve">Procédure de positionnement du gabarit ISO/R2 </w:t>
      </w:r>
      <w:r>
        <w:rPr>
          <w:lang w:val="fr-FR"/>
        </w:rPr>
        <w:br/>
      </w:r>
      <w:r w:rsidRPr="007C6DC9">
        <w:rPr>
          <w:lang w:val="fr-FR"/>
        </w:rPr>
        <w:t>sur une place assise ni ISOFIX ni i-Size</w:t>
      </w:r>
    </w:p>
    <w:p w14:paraId="60185CF5" w14:textId="77777777" w:rsidR="002A47A6" w:rsidRPr="008D6EB5" w:rsidRDefault="002A47A6" w:rsidP="002A47A6">
      <w:pPr>
        <w:pStyle w:val="SingleTxtG"/>
        <w:rPr>
          <w:lang w:val="fr-FR"/>
        </w:rPr>
      </w:pPr>
      <w:r w:rsidRPr="008D6EB5">
        <w:rPr>
          <w:lang w:val="fr-FR"/>
        </w:rPr>
        <w:t>Dans le cas d</w:t>
      </w:r>
      <w:r>
        <w:rPr>
          <w:lang w:val="fr-FR"/>
        </w:rPr>
        <w:t>’</w:t>
      </w:r>
      <w:r w:rsidRPr="008D6EB5">
        <w:rPr>
          <w:lang w:val="fr-FR"/>
        </w:rPr>
        <w:t>une place assise ni ISOFIX ni i-Size, la procédure ci-après doit être appliquée :</w:t>
      </w:r>
    </w:p>
    <w:p w14:paraId="21B30D08" w14:textId="77777777" w:rsidR="002A47A6" w:rsidRPr="008D6EB5" w:rsidRDefault="002A47A6" w:rsidP="002A47A6">
      <w:pPr>
        <w:pStyle w:val="SingleTxtG"/>
        <w:ind w:left="1701" w:hanging="567"/>
        <w:rPr>
          <w:lang w:val="fr-FR"/>
        </w:rPr>
      </w:pPr>
      <w:r w:rsidRPr="008D6EB5">
        <w:rPr>
          <w:lang w:val="fr-FR"/>
        </w:rPr>
        <w:t>a)</w:t>
      </w:r>
      <w:r w:rsidRPr="008D6EB5">
        <w:rPr>
          <w:lang w:val="fr-FR"/>
        </w:rPr>
        <w:tab/>
        <w:t>Recouvrir d</w:t>
      </w:r>
      <w:r>
        <w:rPr>
          <w:lang w:val="fr-FR"/>
        </w:rPr>
        <w:t>’</w:t>
      </w:r>
      <w:r w:rsidRPr="008D6EB5">
        <w:rPr>
          <w:lang w:val="fr-FR"/>
        </w:rPr>
        <w:t>une toile de coton l</w:t>
      </w:r>
      <w:r>
        <w:rPr>
          <w:lang w:val="fr-FR"/>
        </w:rPr>
        <w:t>’</w:t>
      </w:r>
      <w:r w:rsidRPr="008D6EB5">
        <w:rPr>
          <w:lang w:val="fr-FR"/>
        </w:rPr>
        <w:t>assise et le dossier du siège ;</w:t>
      </w:r>
    </w:p>
    <w:p w14:paraId="6D07A034" w14:textId="77777777" w:rsidR="002A47A6" w:rsidRPr="008D6EB5" w:rsidRDefault="002A47A6" w:rsidP="002A47A6">
      <w:pPr>
        <w:pStyle w:val="SingleTxtG"/>
        <w:ind w:left="1701" w:hanging="567"/>
        <w:rPr>
          <w:lang w:val="fr-FR"/>
        </w:rPr>
      </w:pPr>
      <w:r w:rsidRPr="008D6EB5">
        <w:rPr>
          <w:lang w:val="fr-FR"/>
        </w:rPr>
        <w:t>b)</w:t>
      </w:r>
      <w:r w:rsidRPr="008D6EB5">
        <w:rPr>
          <w:lang w:val="fr-FR"/>
        </w:rPr>
        <w:tab/>
        <w:t>Retirer les attaches ISOFIX du système d</w:t>
      </w:r>
      <w:r>
        <w:rPr>
          <w:lang w:val="fr-FR"/>
        </w:rPr>
        <w:t>’</w:t>
      </w:r>
      <w:r w:rsidRPr="008D6EB5">
        <w:rPr>
          <w:lang w:val="fr-FR"/>
        </w:rPr>
        <w:t>installation de retenue pour enfants (SIRE) ou les rétracter complétement de manière à ce qu</w:t>
      </w:r>
      <w:r>
        <w:rPr>
          <w:lang w:val="fr-FR"/>
        </w:rPr>
        <w:t>’</w:t>
      </w:r>
      <w:r w:rsidRPr="008D6EB5">
        <w:rPr>
          <w:lang w:val="fr-FR"/>
        </w:rPr>
        <w:t>elles ne fassent plus saillie par rapport au plan du dossier ;</w:t>
      </w:r>
    </w:p>
    <w:p w14:paraId="5899E2DA" w14:textId="77777777" w:rsidR="002A47A6" w:rsidRPr="008D6EB5" w:rsidRDefault="002A47A6" w:rsidP="002A47A6">
      <w:pPr>
        <w:pStyle w:val="SingleTxtG"/>
        <w:ind w:left="1701" w:hanging="567"/>
        <w:rPr>
          <w:lang w:val="fr-FR"/>
        </w:rPr>
      </w:pPr>
      <w:r w:rsidRPr="008D6EB5">
        <w:rPr>
          <w:lang w:val="fr-FR"/>
        </w:rPr>
        <w:t>c)</w:t>
      </w:r>
      <w:r w:rsidRPr="008D6EB5">
        <w:rPr>
          <w:lang w:val="fr-FR"/>
        </w:rPr>
        <w:tab/>
        <w:t>Placer le SIRE sur le siège du véhicule ;</w:t>
      </w:r>
    </w:p>
    <w:p w14:paraId="22A097B2" w14:textId="77777777" w:rsidR="002A47A6" w:rsidRPr="008D6EB5" w:rsidRDefault="002A47A6" w:rsidP="002A47A6">
      <w:pPr>
        <w:pStyle w:val="SingleTxtG"/>
        <w:ind w:left="1701" w:hanging="567"/>
        <w:rPr>
          <w:lang w:val="fr-FR"/>
        </w:rPr>
      </w:pPr>
      <w:r w:rsidRPr="008D6EB5">
        <w:rPr>
          <w:lang w:val="fr-FR"/>
        </w:rPr>
        <w:t>d)</w:t>
      </w:r>
      <w:r w:rsidRPr="008D6EB5">
        <w:rPr>
          <w:lang w:val="fr-FR"/>
        </w:rPr>
        <w:tab/>
        <w:t>Veiller à ce que l</w:t>
      </w:r>
      <w:r>
        <w:rPr>
          <w:lang w:val="fr-FR"/>
        </w:rPr>
        <w:t>’</w:t>
      </w:r>
      <w:r w:rsidRPr="008D6EB5">
        <w:rPr>
          <w:lang w:val="fr-FR"/>
        </w:rPr>
        <w:t>axe longitudinal du SIRE coïncide avec l</w:t>
      </w:r>
      <w:r>
        <w:rPr>
          <w:lang w:val="fr-FR"/>
        </w:rPr>
        <w:t>’</w:t>
      </w:r>
      <w:r w:rsidRPr="008D6EB5">
        <w:rPr>
          <w:lang w:val="fr-FR"/>
        </w:rPr>
        <w:t>axe longitudinal apparent du siège à ±25 mm près et soit parallèle à l</w:t>
      </w:r>
      <w:r>
        <w:rPr>
          <w:lang w:val="fr-FR"/>
        </w:rPr>
        <w:t>’</w:t>
      </w:r>
      <w:r w:rsidRPr="008D6EB5">
        <w:rPr>
          <w:lang w:val="fr-FR"/>
        </w:rPr>
        <w:t>axe longitudinal du véhicule ;</w:t>
      </w:r>
    </w:p>
    <w:p w14:paraId="05E83A9F" w14:textId="77777777" w:rsidR="002A47A6" w:rsidRPr="008D6EB5" w:rsidRDefault="002A47A6" w:rsidP="002A47A6">
      <w:pPr>
        <w:pStyle w:val="SingleTxtG"/>
        <w:ind w:left="1701" w:hanging="567"/>
        <w:rPr>
          <w:lang w:val="fr-FR"/>
        </w:rPr>
      </w:pPr>
      <w:r w:rsidRPr="008D6EB5">
        <w:rPr>
          <w:lang w:val="fr-FR"/>
        </w:rPr>
        <w:t>e)</w:t>
      </w:r>
      <w:r w:rsidRPr="008D6EB5">
        <w:rPr>
          <w:lang w:val="fr-FR"/>
        </w:rPr>
        <w:tab/>
        <w:t>Exercer une pression vers l</w:t>
      </w:r>
      <w:r>
        <w:rPr>
          <w:lang w:val="fr-FR"/>
        </w:rPr>
        <w:t>’</w:t>
      </w:r>
      <w:r w:rsidRPr="008D6EB5">
        <w:rPr>
          <w:lang w:val="fr-FR"/>
        </w:rPr>
        <w:t>arrière de 100 ± 10 N au centre de la face antérieure du SIRE, parallèlement à sa face inférieure, puis relâcher ;</w:t>
      </w:r>
    </w:p>
    <w:p w14:paraId="43D9440B" w14:textId="0DB8F7B7" w:rsidR="00F9573C" w:rsidRDefault="002A47A6" w:rsidP="002A47A6">
      <w:pPr>
        <w:pStyle w:val="SingleTxtG"/>
        <w:ind w:left="1701" w:hanging="567"/>
        <w:rPr>
          <w:lang w:val="fr-FR"/>
        </w:rPr>
      </w:pPr>
      <w:r w:rsidRPr="008D6EB5">
        <w:rPr>
          <w:lang w:val="fr-FR"/>
        </w:rPr>
        <w:t>f)</w:t>
      </w:r>
      <w:r w:rsidRPr="008D6EB5">
        <w:rPr>
          <w:lang w:val="fr-FR"/>
        </w:rPr>
        <w:tab/>
        <w:t>Exercer une pression du haut vers le bas de 100 ± 10 N au centre de la partie supérieure du SIRE, puis relâcher</w:t>
      </w:r>
      <w:r w:rsidR="00E60533" w:rsidRPr="00E60533">
        <w:rPr>
          <w:lang w:val="fr-FR"/>
        </w:rPr>
        <w:t>.</w:t>
      </w:r>
      <w:r w:rsidRPr="008D6EB5">
        <w:rPr>
          <w:lang w:val="fr-FR"/>
        </w:rPr>
        <w:t> »</w:t>
      </w:r>
      <w:r w:rsidR="00E60533" w:rsidRPr="00E60533">
        <w:rPr>
          <w:lang w:val="fr-FR"/>
        </w:rPr>
        <w:t>.</w:t>
      </w:r>
    </w:p>
    <w:p w14:paraId="665B4B3A" w14:textId="254D31FC" w:rsidR="002A47A6" w:rsidRPr="002A47A6" w:rsidRDefault="002A47A6" w:rsidP="002A47A6">
      <w:pPr>
        <w:pStyle w:val="SingleTxtG"/>
        <w:spacing w:before="240" w:after="0"/>
        <w:jc w:val="center"/>
        <w:rPr>
          <w:u w:val="single"/>
        </w:rPr>
      </w:pPr>
      <w:r>
        <w:tab/>
      </w:r>
      <w:r>
        <w:rPr>
          <w:u w:val="single"/>
        </w:rPr>
        <w:tab/>
      </w:r>
      <w:r>
        <w:rPr>
          <w:u w:val="single"/>
        </w:rPr>
        <w:tab/>
      </w:r>
      <w:r>
        <w:rPr>
          <w:u w:val="single"/>
        </w:rPr>
        <w:tab/>
      </w:r>
    </w:p>
    <w:sectPr w:rsidR="002A47A6" w:rsidRPr="002A47A6" w:rsidSect="002A47A6">
      <w:headerReference w:type="even" r:id="rId16"/>
      <w:headerReference w:type="default" r:id="rId17"/>
      <w:footerReference w:type="even" r:id="rId18"/>
      <w:footerReference w:type="default" r:id="rId19"/>
      <w:footerReference w:type="first" r:id="rId20"/>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A2A5" w14:textId="77777777" w:rsidR="00761CC7" w:rsidRDefault="00761CC7" w:rsidP="00F95C08">
      <w:pPr>
        <w:spacing w:line="240" w:lineRule="auto"/>
      </w:pPr>
    </w:p>
  </w:endnote>
  <w:endnote w:type="continuationSeparator" w:id="0">
    <w:p w14:paraId="76304354" w14:textId="77777777" w:rsidR="00761CC7" w:rsidRPr="00AC3823" w:rsidRDefault="00761CC7" w:rsidP="00AC3823">
      <w:pPr>
        <w:pStyle w:val="Pieddepage"/>
      </w:pPr>
    </w:p>
  </w:endnote>
  <w:endnote w:type="continuationNotice" w:id="1">
    <w:p w14:paraId="275EBCD6" w14:textId="77777777" w:rsidR="00761CC7" w:rsidRDefault="00761C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1BBF" w14:textId="4A1D314D" w:rsidR="002A47A6" w:rsidRPr="002A47A6" w:rsidRDefault="002A47A6" w:rsidP="002A47A6">
    <w:pPr>
      <w:pStyle w:val="Pieddepage"/>
      <w:tabs>
        <w:tab w:val="right" w:pos="9638"/>
      </w:tabs>
    </w:pPr>
    <w:r w:rsidRPr="002A47A6">
      <w:rPr>
        <w:b/>
        <w:sz w:val="18"/>
      </w:rPr>
      <w:fldChar w:fldCharType="begin"/>
    </w:r>
    <w:r w:rsidRPr="002A47A6">
      <w:rPr>
        <w:b/>
        <w:sz w:val="18"/>
      </w:rPr>
      <w:instrText xml:space="preserve"> PAGE  \* MERGEFORMAT </w:instrText>
    </w:r>
    <w:r w:rsidRPr="002A47A6">
      <w:rPr>
        <w:b/>
        <w:sz w:val="18"/>
      </w:rPr>
      <w:fldChar w:fldCharType="separate"/>
    </w:r>
    <w:r w:rsidRPr="002A47A6">
      <w:rPr>
        <w:b/>
        <w:noProof/>
        <w:sz w:val="18"/>
      </w:rPr>
      <w:t>2</w:t>
    </w:r>
    <w:r w:rsidRPr="002A47A6">
      <w:rPr>
        <w:b/>
        <w:sz w:val="18"/>
      </w:rPr>
      <w:fldChar w:fldCharType="end"/>
    </w:r>
    <w:r>
      <w:rPr>
        <w:b/>
        <w:sz w:val="18"/>
      </w:rPr>
      <w:tab/>
    </w:r>
    <w:r>
      <w:t>GE</w:t>
    </w:r>
    <w:r w:rsidR="00E60533" w:rsidRPr="00E60533">
      <w:t>.</w:t>
    </w:r>
    <w:r>
      <w:t>23-16680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26CA" w14:textId="618FCDAD" w:rsidR="002A47A6" w:rsidRPr="002A47A6" w:rsidRDefault="002A47A6" w:rsidP="002A47A6">
    <w:pPr>
      <w:pStyle w:val="Pieddepage"/>
      <w:tabs>
        <w:tab w:val="right" w:pos="9638"/>
      </w:tabs>
      <w:rPr>
        <w:b/>
        <w:sz w:val="18"/>
      </w:rPr>
    </w:pPr>
    <w:r>
      <w:t>GE</w:t>
    </w:r>
    <w:r w:rsidR="00E60533" w:rsidRPr="00E60533">
      <w:t>.</w:t>
    </w:r>
    <w:r>
      <w:t>23-16680</w:t>
    </w:r>
    <w:r>
      <w:tab/>
    </w:r>
    <w:r w:rsidRPr="002A47A6">
      <w:rPr>
        <w:b/>
        <w:sz w:val="18"/>
      </w:rPr>
      <w:fldChar w:fldCharType="begin"/>
    </w:r>
    <w:r w:rsidRPr="002A47A6">
      <w:rPr>
        <w:b/>
        <w:sz w:val="18"/>
      </w:rPr>
      <w:instrText xml:space="preserve"> PAGE  \* MERGEFORMAT </w:instrText>
    </w:r>
    <w:r w:rsidRPr="002A47A6">
      <w:rPr>
        <w:b/>
        <w:sz w:val="18"/>
      </w:rPr>
      <w:fldChar w:fldCharType="separate"/>
    </w:r>
    <w:r w:rsidRPr="002A47A6">
      <w:rPr>
        <w:b/>
        <w:noProof/>
        <w:sz w:val="18"/>
      </w:rPr>
      <w:t>3</w:t>
    </w:r>
    <w:r w:rsidRPr="002A47A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F31C" w14:textId="755A2122" w:rsidR="007F20FA" w:rsidRPr="002A47A6" w:rsidRDefault="002A47A6" w:rsidP="002A47A6">
    <w:pPr>
      <w:pStyle w:val="Pieddepage"/>
      <w:spacing w:before="120"/>
      <w:rPr>
        <w:sz w:val="20"/>
      </w:rPr>
    </w:pPr>
    <w:r>
      <w:rPr>
        <w:sz w:val="20"/>
      </w:rPr>
      <w:t>GE</w:t>
    </w:r>
    <w:r w:rsidR="00E60533" w:rsidRPr="00E60533">
      <w:rPr>
        <w:sz w:val="20"/>
      </w:rPr>
      <w:t>.</w:t>
    </w:r>
    <w:r w:rsidR="007F20FA">
      <w:rPr>
        <w:noProof/>
        <w:lang w:eastAsia="fr-CH"/>
      </w:rPr>
      <w:drawing>
        <wp:anchor distT="0" distB="0" distL="114300" distR="114300" simplePos="0" relativeHeight="251659264" behindDoc="0" locked="0" layoutInCell="1" allowOverlap="0" wp14:anchorId="408CC9B2" wp14:editId="7284478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23-16680  (F)</w:t>
    </w:r>
    <w:r>
      <w:rPr>
        <w:noProof/>
        <w:sz w:val="20"/>
      </w:rPr>
      <w:drawing>
        <wp:anchor distT="0" distB="0" distL="114300" distR="114300" simplePos="0" relativeHeight="251660288" behindDoc="0" locked="0" layoutInCell="1" allowOverlap="1" wp14:anchorId="21D981BB" wp14:editId="7E5300AD">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220923    280923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8CBD" w14:textId="77777777" w:rsidR="00761CC7" w:rsidRPr="00AC3823" w:rsidRDefault="00761CC7" w:rsidP="00AC3823">
      <w:pPr>
        <w:pStyle w:val="Pieddepage"/>
        <w:tabs>
          <w:tab w:val="right" w:pos="2155"/>
        </w:tabs>
        <w:spacing w:after="80" w:line="240" w:lineRule="atLeast"/>
        <w:ind w:left="680"/>
        <w:rPr>
          <w:u w:val="single"/>
        </w:rPr>
      </w:pPr>
      <w:r>
        <w:rPr>
          <w:u w:val="single"/>
        </w:rPr>
        <w:tab/>
      </w:r>
    </w:p>
  </w:footnote>
  <w:footnote w:type="continuationSeparator" w:id="0">
    <w:p w14:paraId="221FF17C" w14:textId="77777777" w:rsidR="00761CC7" w:rsidRPr="00AC3823" w:rsidRDefault="00761CC7" w:rsidP="00AC3823">
      <w:pPr>
        <w:pStyle w:val="Pieddepage"/>
        <w:tabs>
          <w:tab w:val="right" w:pos="2155"/>
        </w:tabs>
        <w:spacing w:after="80" w:line="240" w:lineRule="atLeast"/>
        <w:ind w:left="680"/>
        <w:rPr>
          <w:u w:val="single"/>
        </w:rPr>
      </w:pPr>
      <w:r>
        <w:rPr>
          <w:u w:val="single"/>
        </w:rPr>
        <w:tab/>
      </w:r>
    </w:p>
  </w:footnote>
  <w:footnote w:type="continuationNotice" w:id="1">
    <w:p w14:paraId="4D5C973E" w14:textId="77777777" w:rsidR="00761CC7" w:rsidRPr="00AC3823" w:rsidRDefault="00761CC7">
      <w:pPr>
        <w:spacing w:line="240" w:lineRule="auto"/>
        <w:rPr>
          <w:sz w:val="2"/>
          <w:szCs w:val="2"/>
        </w:rPr>
      </w:pPr>
    </w:p>
  </w:footnote>
  <w:footnote w:id="2">
    <w:p w14:paraId="3448140A" w14:textId="4ECAD458" w:rsidR="002A47A6" w:rsidRDefault="002A47A6" w:rsidP="002A47A6">
      <w:pPr>
        <w:pStyle w:val="Notedebasdepage"/>
        <w:rPr>
          <w:lang w:val="fr-FR"/>
        </w:rPr>
      </w:pPr>
      <w:r w:rsidRPr="008D6EB5">
        <w:rPr>
          <w:sz w:val="20"/>
          <w:lang w:val="fr-FR"/>
        </w:rPr>
        <w:tab/>
        <w:t>*</w:t>
      </w:r>
      <w:r w:rsidRPr="008D6EB5">
        <w:rPr>
          <w:sz w:val="20"/>
          <w:lang w:val="fr-FR"/>
        </w:rPr>
        <w:tab/>
      </w:r>
      <w:r>
        <w:rPr>
          <w:lang w:val="fr-FR"/>
        </w:rPr>
        <w:t>Conformément au programme de travail du Comité des transports intérieurs pour 2023 tel qu’il figure dans le projet de budget-programme pour 2023 (A/77/6 (Sect</w:t>
      </w:r>
      <w:r w:rsidR="00E60533" w:rsidRPr="00E60533">
        <w:rPr>
          <w:lang w:val="fr-FR"/>
        </w:rPr>
        <w:t>.</w:t>
      </w:r>
      <w:r>
        <w:rPr>
          <w:lang w:val="fr-FR"/>
        </w:rPr>
        <w:t xml:space="preserve"> 20), tableau 20</w:t>
      </w:r>
      <w:r w:rsidR="00E60533" w:rsidRPr="00E60533">
        <w:rPr>
          <w:lang w:val="fr-FR"/>
        </w:rPr>
        <w:t>.</w:t>
      </w:r>
      <w:r>
        <w:rPr>
          <w:lang w:val="fr-FR"/>
        </w:rPr>
        <w:t>6), le Forum mondial a pour mission d’élaborer, d’harmoniser et de mettre à jour les Règlements ONU en vue d’améliorer les caractéristiques fonctionnelles des véhicules</w:t>
      </w:r>
      <w:r w:rsidR="00E60533" w:rsidRPr="00E60533">
        <w:rPr>
          <w:lang w:val="fr-FR"/>
        </w:rPr>
        <w:t>.</w:t>
      </w:r>
      <w:r>
        <w:rPr>
          <w:lang w:val="fr-FR"/>
        </w:rPr>
        <w:t xml:space="preserve"> Le présent document est soumis en vertu de ce mandat</w:t>
      </w:r>
      <w:r w:rsidR="00E60533" w:rsidRPr="00E60533">
        <w:rPr>
          <w:lang w:val="fr-FR"/>
        </w:rPr>
        <w:t>.</w:t>
      </w:r>
    </w:p>
    <w:p w14:paraId="6495B91B" w14:textId="77777777" w:rsidR="00292B57" w:rsidRPr="007C078A" w:rsidRDefault="00292B57" w:rsidP="002A47A6">
      <w:pPr>
        <w:pStyle w:val="Notedebasdepage"/>
        <w:rPr>
          <w:lang w:val="fr-FR"/>
        </w:rPr>
      </w:pPr>
    </w:p>
  </w:footnote>
  <w:footnote w:id="3">
    <w:p w14:paraId="020C0FCB" w14:textId="1A3F9E6A" w:rsidR="00704350" w:rsidRDefault="00704350" w:rsidP="00704350">
      <w:pPr>
        <w:pStyle w:val="Notedebasdepage"/>
      </w:pPr>
      <w:r>
        <w:tab/>
      </w:r>
      <w:r>
        <w:rPr>
          <w:rStyle w:val="Appelnotedebasdep"/>
        </w:rPr>
        <w:footnoteRef/>
      </w:r>
      <w:r>
        <w:tab/>
      </w:r>
      <w:r w:rsidRPr="00EE7238">
        <w:rPr>
          <w:lang w:val="fr-FR"/>
        </w:rPr>
        <w:t>Numéro distinctif du pays qui a accordé/étendu/refusé/retiré l</w:t>
      </w:r>
      <w:r>
        <w:rPr>
          <w:lang w:val="fr-FR"/>
        </w:rPr>
        <w:t>’</w:t>
      </w:r>
      <w:r w:rsidRPr="00EE7238">
        <w:rPr>
          <w:lang w:val="fr-FR"/>
        </w:rPr>
        <w:t>homologation (voir dispositions relatives à l</w:t>
      </w:r>
      <w:r>
        <w:rPr>
          <w:lang w:val="fr-FR"/>
        </w:rPr>
        <w:t>’</w:t>
      </w:r>
      <w:r w:rsidRPr="00EE7238">
        <w:rPr>
          <w:lang w:val="fr-FR"/>
        </w:rPr>
        <w:t>homologation du présent Règlement)</w:t>
      </w:r>
      <w:r w:rsidR="00E60533" w:rsidRPr="00E60533">
        <w:rPr>
          <w:lang w:val="fr-FR"/>
        </w:rPr>
        <w:t>.</w:t>
      </w:r>
    </w:p>
  </w:footnote>
  <w:footnote w:id="4">
    <w:p w14:paraId="123E0B8E" w14:textId="2B178405" w:rsidR="001978A7" w:rsidRDefault="001978A7">
      <w:pPr>
        <w:pStyle w:val="Notedebasdepage"/>
      </w:pPr>
      <w:r>
        <w:tab/>
      </w:r>
      <w:r>
        <w:rPr>
          <w:rStyle w:val="Appelnotedebasdep"/>
        </w:rPr>
        <w:footnoteRef/>
      </w:r>
      <w:r>
        <w:tab/>
      </w:r>
      <w:r w:rsidRPr="005C4448">
        <w:rPr>
          <w:lang w:val="fr-FR"/>
        </w:rPr>
        <w:t>Biffer les mentions inutiles</w:t>
      </w:r>
      <w:r w:rsidR="00E60533" w:rsidRPr="00E60533">
        <w:rPr>
          <w:lang w:val="fr-FR"/>
        </w:rPr>
        <w:t>.</w:t>
      </w:r>
    </w:p>
  </w:footnote>
  <w:footnote w:id="5">
    <w:p w14:paraId="1BB4C018" w14:textId="1D590A03" w:rsidR="002A47A6" w:rsidRPr="007C078A" w:rsidRDefault="002A47A6" w:rsidP="002A47A6">
      <w:pPr>
        <w:pStyle w:val="Notedebasdepage"/>
        <w:rPr>
          <w:lang w:val="fr-FR"/>
        </w:rPr>
      </w:pPr>
      <w:r w:rsidRPr="001978A7">
        <w:rPr>
          <w:sz w:val="20"/>
          <w:lang w:val="fr-FR"/>
        </w:rPr>
        <w:tab/>
        <w:t>*</w:t>
      </w:r>
      <w:r w:rsidRPr="001978A7">
        <w:rPr>
          <w:sz w:val="20"/>
          <w:lang w:val="fr-FR"/>
        </w:rPr>
        <w:tab/>
      </w:r>
      <w:r>
        <w:rPr>
          <w:lang w:val="fr-FR"/>
        </w:rPr>
        <w:t>Le deuxième numéro n’est donné qu’à titre d’exemple</w:t>
      </w:r>
      <w:r w:rsidR="00E60533" w:rsidRPr="00E60533">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9F56" w14:textId="086DB89F" w:rsidR="002A47A6" w:rsidRPr="002A47A6" w:rsidRDefault="002A47A6">
    <w:pPr>
      <w:pStyle w:val="En-tte"/>
    </w:pPr>
    <w:fldSimple w:instr=" TITLE  \* MERGEFORMAT ">
      <w:r w:rsidR="00245D91">
        <w:t>ECE/TRANS/WP.29/2023/112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B1E9" w14:textId="4D22B926" w:rsidR="002A47A6" w:rsidRPr="002A47A6" w:rsidRDefault="002A47A6" w:rsidP="002A47A6">
    <w:pPr>
      <w:pStyle w:val="En-tte"/>
      <w:jc w:val="right"/>
    </w:pPr>
    <w:fldSimple w:instr=" TITLE  \* MERGEFORMAT ">
      <w:r w:rsidR="00245D91">
        <w:t>ECE/TRANS/WP.29/2023/112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F972AE"/>
    <w:multiLevelType w:val="hybridMultilevel"/>
    <w:tmpl w:val="D35293FE"/>
    <w:lvl w:ilvl="0" w:tplc="2918FFEE">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2" w15:restartNumberingAfterBreak="0">
    <w:nsid w:val="0D825860"/>
    <w:multiLevelType w:val="hybridMultilevel"/>
    <w:tmpl w:val="633446E8"/>
    <w:lvl w:ilvl="0" w:tplc="6D1A1BC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89101E"/>
    <w:multiLevelType w:val="hybridMultilevel"/>
    <w:tmpl w:val="782246F4"/>
    <w:lvl w:ilvl="0" w:tplc="6AA46E4A">
      <w:start w:val="1"/>
      <w:numFmt w:val="decimal"/>
      <w:lvlText w:val="%1."/>
      <w:lvlJc w:val="left"/>
      <w:pPr>
        <w:ind w:left="1140" w:hanging="4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E6DD2"/>
    <w:multiLevelType w:val="hybridMultilevel"/>
    <w:tmpl w:val="E7320F06"/>
    <w:lvl w:ilvl="0" w:tplc="0472C75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443F6432"/>
    <w:multiLevelType w:val="hybridMultilevel"/>
    <w:tmpl w:val="3EF0FCF4"/>
    <w:lvl w:ilvl="0" w:tplc="94784E40">
      <w:start w:val="1"/>
      <w:numFmt w:val="decimal"/>
      <w:lvlText w:val="%1."/>
      <w:lvlJc w:val="left"/>
      <w:pPr>
        <w:ind w:left="1494" w:hanging="360"/>
      </w:pPr>
      <w:rPr>
        <w:rFonts w:hint="default"/>
      </w:rPr>
    </w:lvl>
    <w:lvl w:ilvl="1" w:tplc="04130019">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3" w15:restartNumberingAfterBreak="0">
    <w:nsid w:val="481B6983"/>
    <w:multiLevelType w:val="hybridMultilevel"/>
    <w:tmpl w:val="9F1682FC"/>
    <w:lvl w:ilvl="0" w:tplc="7B6678BE">
      <w:start w:val="1"/>
      <w:numFmt w:val="decimal"/>
      <w:lvlText w:val="%1."/>
      <w:lvlJc w:val="left"/>
      <w:pPr>
        <w:ind w:left="1140" w:hanging="4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DE8730D"/>
    <w:multiLevelType w:val="hybridMultilevel"/>
    <w:tmpl w:val="ABD6B26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4E5BA8"/>
    <w:multiLevelType w:val="hybridMultilevel"/>
    <w:tmpl w:val="4A389E3E"/>
    <w:lvl w:ilvl="0" w:tplc="04090017">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9A64F51"/>
    <w:multiLevelType w:val="hybridMultilevel"/>
    <w:tmpl w:val="F3D0F6B2"/>
    <w:lvl w:ilvl="0" w:tplc="C8B44A5A">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B40D29"/>
    <w:multiLevelType w:val="hybridMultilevel"/>
    <w:tmpl w:val="DCB00A30"/>
    <w:lvl w:ilvl="0" w:tplc="04090017">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16cid:durableId="666444006">
    <w:abstractNumId w:val="27"/>
  </w:num>
  <w:num w:numId="2" w16cid:durableId="1425029612">
    <w:abstractNumId w:val="21"/>
  </w:num>
  <w:num w:numId="3" w16cid:durableId="716199066">
    <w:abstractNumId w:val="13"/>
  </w:num>
  <w:num w:numId="4" w16cid:durableId="1566260852">
    <w:abstractNumId w:val="8"/>
  </w:num>
  <w:num w:numId="5" w16cid:durableId="847525026">
    <w:abstractNumId w:val="3"/>
  </w:num>
  <w:num w:numId="6" w16cid:durableId="454643788">
    <w:abstractNumId w:val="2"/>
  </w:num>
  <w:num w:numId="7" w16cid:durableId="715353920">
    <w:abstractNumId w:val="1"/>
  </w:num>
  <w:num w:numId="8" w16cid:durableId="652952581">
    <w:abstractNumId w:val="0"/>
  </w:num>
  <w:num w:numId="9" w16cid:durableId="729426740">
    <w:abstractNumId w:val="9"/>
  </w:num>
  <w:num w:numId="10" w16cid:durableId="1400707090">
    <w:abstractNumId w:val="7"/>
  </w:num>
  <w:num w:numId="11" w16cid:durableId="567152468">
    <w:abstractNumId w:val="6"/>
  </w:num>
  <w:num w:numId="12" w16cid:durableId="418524607">
    <w:abstractNumId w:val="5"/>
  </w:num>
  <w:num w:numId="13" w16cid:durableId="847138323">
    <w:abstractNumId w:val="4"/>
  </w:num>
  <w:num w:numId="14" w16cid:durableId="2131049797">
    <w:abstractNumId w:val="27"/>
  </w:num>
  <w:num w:numId="15" w16cid:durableId="622730304">
    <w:abstractNumId w:val="21"/>
  </w:num>
  <w:num w:numId="16" w16cid:durableId="738407316">
    <w:abstractNumId w:val="13"/>
  </w:num>
  <w:num w:numId="17" w16cid:durableId="1062606928">
    <w:abstractNumId w:val="19"/>
  </w:num>
  <w:num w:numId="18" w16cid:durableId="2011789178">
    <w:abstractNumId w:val="17"/>
  </w:num>
  <w:num w:numId="19" w16cid:durableId="1528105500">
    <w:abstractNumId w:val="10"/>
  </w:num>
  <w:num w:numId="20" w16cid:durableId="403988283">
    <w:abstractNumId w:val="15"/>
  </w:num>
  <w:num w:numId="21" w16cid:durableId="770704746">
    <w:abstractNumId w:val="20"/>
  </w:num>
  <w:num w:numId="22" w16cid:durableId="1785072421">
    <w:abstractNumId w:val="16"/>
  </w:num>
  <w:num w:numId="23" w16cid:durableId="1209956432">
    <w:abstractNumId w:val="26"/>
  </w:num>
  <w:num w:numId="24" w16cid:durableId="1978030209">
    <w:abstractNumId w:val="29"/>
  </w:num>
  <w:num w:numId="25" w16cid:durableId="388922511">
    <w:abstractNumId w:val="11"/>
  </w:num>
  <w:num w:numId="26" w16cid:durableId="1349064518">
    <w:abstractNumId w:val="22"/>
  </w:num>
  <w:num w:numId="27" w16cid:durableId="135726127">
    <w:abstractNumId w:val="24"/>
  </w:num>
  <w:num w:numId="28" w16cid:durableId="741869861">
    <w:abstractNumId w:val="18"/>
  </w:num>
  <w:num w:numId="29" w16cid:durableId="176504100">
    <w:abstractNumId w:val="12"/>
  </w:num>
  <w:num w:numId="30" w16cid:durableId="1080905419">
    <w:abstractNumId w:val="28"/>
  </w:num>
  <w:num w:numId="31" w16cid:durableId="403991750">
    <w:abstractNumId w:val="30"/>
  </w:num>
  <w:num w:numId="32" w16cid:durableId="1074856450">
    <w:abstractNumId w:val="25"/>
  </w:num>
  <w:num w:numId="33" w16cid:durableId="1157918676">
    <w:abstractNumId w:val="14"/>
  </w:num>
  <w:num w:numId="34" w16cid:durableId="19055989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C7"/>
    <w:rsid w:val="00017F94"/>
    <w:rsid w:val="00023842"/>
    <w:rsid w:val="00026EA3"/>
    <w:rsid w:val="00027D31"/>
    <w:rsid w:val="000334F9"/>
    <w:rsid w:val="00043A8D"/>
    <w:rsid w:val="00045FEB"/>
    <w:rsid w:val="0007796D"/>
    <w:rsid w:val="000B7790"/>
    <w:rsid w:val="00103C99"/>
    <w:rsid w:val="00111F2F"/>
    <w:rsid w:val="0014365E"/>
    <w:rsid w:val="00143C66"/>
    <w:rsid w:val="00146A31"/>
    <w:rsid w:val="00176178"/>
    <w:rsid w:val="001978A7"/>
    <w:rsid w:val="001F525A"/>
    <w:rsid w:val="00201148"/>
    <w:rsid w:val="00223272"/>
    <w:rsid w:val="00245D91"/>
    <w:rsid w:val="0024779E"/>
    <w:rsid w:val="00257168"/>
    <w:rsid w:val="002744B8"/>
    <w:rsid w:val="002832AC"/>
    <w:rsid w:val="00292B57"/>
    <w:rsid w:val="002A47A6"/>
    <w:rsid w:val="002D7C93"/>
    <w:rsid w:val="00305801"/>
    <w:rsid w:val="003916DE"/>
    <w:rsid w:val="00421996"/>
    <w:rsid w:val="00441C3B"/>
    <w:rsid w:val="00446FE5"/>
    <w:rsid w:val="00452396"/>
    <w:rsid w:val="00477EB2"/>
    <w:rsid w:val="004837D8"/>
    <w:rsid w:val="004E2EED"/>
    <w:rsid w:val="004E468C"/>
    <w:rsid w:val="005505B7"/>
    <w:rsid w:val="00551073"/>
    <w:rsid w:val="00573BE5"/>
    <w:rsid w:val="00586ED3"/>
    <w:rsid w:val="00596AA9"/>
    <w:rsid w:val="00627874"/>
    <w:rsid w:val="00704350"/>
    <w:rsid w:val="0071601D"/>
    <w:rsid w:val="00761CC7"/>
    <w:rsid w:val="007A62E6"/>
    <w:rsid w:val="007F20FA"/>
    <w:rsid w:val="0080684C"/>
    <w:rsid w:val="00834D97"/>
    <w:rsid w:val="00871C75"/>
    <w:rsid w:val="008776DC"/>
    <w:rsid w:val="008D5EF9"/>
    <w:rsid w:val="009446C0"/>
    <w:rsid w:val="009705C8"/>
    <w:rsid w:val="009C1CF4"/>
    <w:rsid w:val="009C3735"/>
    <w:rsid w:val="009F6B74"/>
    <w:rsid w:val="00A17937"/>
    <w:rsid w:val="00A3029F"/>
    <w:rsid w:val="00A30353"/>
    <w:rsid w:val="00A92F5B"/>
    <w:rsid w:val="00AC3823"/>
    <w:rsid w:val="00AE323C"/>
    <w:rsid w:val="00AF0CB5"/>
    <w:rsid w:val="00B00181"/>
    <w:rsid w:val="00B00B0D"/>
    <w:rsid w:val="00B45F2E"/>
    <w:rsid w:val="00B4714C"/>
    <w:rsid w:val="00B765F7"/>
    <w:rsid w:val="00B77993"/>
    <w:rsid w:val="00BA0CA9"/>
    <w:rsid w:val="00BE7C3E"/>
    <w:rsid w:val="00C02897"/>
    <w:rsid w:val="00C97039"/>
    <w:rsid w:val="00D3439C"/>
    <w:rsid w:val="00D7622E"/>
    <w:rsid w:val="00DB1831"/>
    <w:rsid w:val="00DC7407"/>
    <w:rsid w:val="00DD3BFD"/>
    <w:rsid w:val="00DF6678"/>
    <w:rsid w:val="00E0299A"/>
    <w:rsid w:val="00E10D9E"/>
    <w:rsid w:val="00E60533"/>
    <w:rsid w:val="00E85C74"/>
    <w:rsid w:val="00EA6547"/>
    <w:rsid w:val="00ED7237"/>
    <w:rsid w:val="00EF2E22"/>
    <w:rsid w:val="00F35BAF"/>
    <w:rsid w:val="00F46FA4"/>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B3785"/>
  <w15:docId w15:val="{DB69584C-9C5D-40C7-ADAD-A16E0BF4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numbering" w:customStyle="1" w:styleId="Aucuneliste1">
    <w:name w:val="Aucune liste1"/>
    <w:next w:val="Aucuneliste"/>
    <w:uiPriority w:val="99"/>
    <w:semiHidden/>
    <w:unhideWhenUsed/>
    <w:rsid w:val="002A47A6"/>
  </w:style>
  <w:style w:type="table" w:customStyle="1" w:styleId="Grilledutableau1">
    <w:name w:val="Grille du tableau1"/>
    <w:basedOn w:val="TableauNormal"/>
    <w:next w:val="Grilledutableau"/>
    <w:rsid w:val="002A47A6"/>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vision">
    <w:name w:val="Revision"/>
    <w:hidden/>
    <w:uiPriority w:val="99"/>
    <w:semiHidden/>
    <w:rsid w:val="002A47A6"/>
    <w:pPr>
      <w:spacing w:after="0" w:line="240" w:lineRule="auto"/>
    </w:pPr>
    <w:rPr>
      <w:rFonts w:ascii="Times New Roman" w:hAnsi="Times New Roman" w:cs="Times New Roman"/>
      <w:sz w:val="20"/>
      <w:szCs w:val="20"/>
      <w:lang w:val="en-GB" w:eastAsia="fr-FR"/>
    </w:rPr>
  </w:style>
  <w:style w:type="character" w:styleId="Marquedecommentaire">
    <w:name w:val="annotation reference"/>
    <w:basedOn w:val="Policepardfaut"/>
    <w:semiHidden/>
    <w:unhideWhenUsed/>
    <w:rsid w:val="002A47A6"/>
    <w:rPr>
      <w:sz w:val="16"/>
      <w:szCs w:val="16"/>
    </w:rPr>
  </w:style>
  <w:style w:type="paragraph" w:customStyle="1" w:styleId="para">
    <w:name w:val="para"/>
    <w:basedOn w:val="Normal"/>
    <w:link w:val="paraChar"/>
    <w:qFormat/>
    <w:rsid w:val="002A47A6"/>
    <w:pPr>
      <w:suppressAutoHyphens w:val="0"/>
      <w:kinsoku/>
      <w:overflowPunct/>
      <w:autoSpaceDE/>
      <w:autoSpaceDN/>
      <w:adjustRightInd/>
      <w:snapToGrid/>
      <w:spacing w:after="120"/>
      <w:ind w:left="2268" w:right="1134" w:hanging="1134"/>
      <w:jc w:val="both"/>
    </w:pPr>
    <w:rPr>
      <w:rFonts w:eastAsia="Yu Mincho"/>
      <w:snapToGrid w:val="0"/>
      <w:lang w:val="fr-FR"/>
    </w:rPr>
  </w:style>
  <w:style w:type="character" w:customStyle="1" w:styleId="paraChar">
    <w:name w:val="para Char"/>
    <w:link w:val="para"/>
    <w:rsid w:val="002A47A6"/>
    <w:rPr>
      <w:rFonts w:ascii="Times New Roman" w:eastAsia="Yu Mincho" w:hAnsi="Times New Roman" w:cs="Times New Roman"/>
      <w:snapToGrid w:val="0"/>
      <w:sz w:val="20"/>
      <w:szCs w:val="20"/>
      <w:lang w:val="fr-FR" w:eastAsia="en-US"/>
    </w:rPr>
  </w:style>
  <w:style w:type="paragraph" w:styleId="Commentaire">
    <w:name w:val="annotation text"/>
    <w:basedOn w:val="Normal"/>
    <w:link w:val="CommentaireCar"/>
    <w:uiPriority w:val="99"/>
    <w:semiHidden/>
    <w:unhideWhenUsed/>
    <w:rsid w:val="002A47A6"/>
    <w:pPr>
      <w:spacing w:line="240" w:lineRule="auto"/>
    </w:pPr>
  </w:style>
  <w:style w:type="character" w:customStyle="1" w:styleId="CommentaireCar">
    <w:name w:val="Commentaire Car"/>
    <w:basedOn w:val="Policepardfaut"/>
    <w:link w:val="Commentaire"/>
    <w:uiPriority w:val="99"/>
    <w:semiHidden/>
    <w:rsid w:val="002A47A6"/>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2A47A6"/>
    <w:rPr>
      <w:b/>
      <w:bCs/>
    </w:rPr>
  </w:style>
  <w:style w:type="character" w:customStyle="1" w:styleId="ObjetducommentaireCar">
    <w:name w:val="Objet du commentaire Car"/>
    <w:basedOn w:val="CommentaireCar"/>
    <w:link w:val="Objetducommentaire"/>
    <w:uiPriority w:val="99"/>
    <w:semiHidden/>
    <w:rsid w:val="002A47A6"/>
    <w:rPr>
      <w:rFonts w:ascii="Times New Roman" w:eastAsiaTheme="minorHAnsi" w:hAnsi="Times New Roman" w:cs="Times New Roman"/>
      <w:b/>
      <w:bCs/>
      <w:sz w:val="20"/>
      <w:szCs w:val="20"/>
      <w:lang w:eastAsia="en-US"/>
    </w:rPr>
  </w:style>
  <w:style w:type="character" w:customStyle="1" w:styleId="ui-provider">
    <w:name w:val="ui-provider"/>
    <w:basedOn w:val="Policepardfaut"/>
    <w:rsid w:val="002A47A6"/>
  </w:style>
  <w:style w:type="character" w:styleId="Mentionnonrsolue">
    <w:name w:val="Unresolved Mention"/>
    <w:basedOn w:val="Policepardfaut"/>
    <w:uiPriority w:val="99"/>
    <w:semiHidden/>
    <w:unhideWhenUsed/>
    <w:rsid w:val="00292B57"/>
    <w:rPr>
      <w:color w:val="605E5C"/>
      <w:shd w:val="clear" w:color="auto" w:fill="E1DFDD"/>
    </w:rPr>
  </w:style>
  <w:style w:type="character" w:customStyle="1" w:styleId="SingleTxtGChar">
    <w:name w:val="_ Single Txt_G Char"/>
    <w:link w:val="SingleTxtG"/>
    <w:rsid w:val="00704350"/>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20transport/standards/transport/vehicle-regulations-wp29/resolutions"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customXml" Target="../customXml/item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2B88C-C653-4361-B072-1EDC4CEB2A3E}"/>
</file>

<file path=customXml/itemProps2.xml><?xml version="1.0" encoding="utf-8"?>
<ds:datastoreItem xmlns:ds="http://schemas.openxmlformats.org/officeDocument/2006/customXml" ds:itemID="{A8C4E746-11B8-4980-B9C9-52A41B2ED955}"/>
</file>

<file path=docProps/app.xml><?xml version="1.0" encoding="utf-8"?>
<Properties xmlns="http://schemas.openxmlformats.org/officeDocument/2006/extended-properties" xmlns:vt="http://schemas.openxmlformats.org/officeDocument/2006/docPropsVTypes">
  <Template>ECE_TRANS.dotm</Template>
  <TotalTime>0</TotalTime>
  <Pages>14</Pages>
  <Words>3484</Words>
  <Characters>24389</Characters>
  <Application>Microsoft Office Word</Application>
  <DocSecurity>0</DocSecurity>
  <Lines>2032</Lines>
  <Paragraphs>1114</Paragraphs>
  <ScaleCrop>false</ScaleCrop>
  <HeadingPairs>
    <vt:vector size="2" baseType="variant">
      <vt:variant>
        <vt:lpstr>Titre</vt:lpstr>
      </vt:variant>
      <vt:variant>
        <vt:i4>1</vt:i4>
      </vt:variant>
    </vt:vector>
  </HeadingPairs>
  <TitlesOfParts>
    <vt:vector size="1" baseType="lpstr">
      <vt:lpstr>ECE/TRANS/WP.29/2023/112</vt:lpstr>
    </vt:vector>
  </TitlesOfParts>
  <Company>DCM</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ECE/TRANS/WP.29/2023/112</dc:title>
  <dc:subject/>
  <dc:creator>Maud DARICHE</dc:creator>
  <cp:keywords/>
  <cp:lastModifiedBy>Maud Dariche</cp:lastModifiedBy>
  <cp:revision>3</cp:revision>
  <cp:lastPrinted>2023-09-28T09:25:00Z</cp:lastPrinted>
  <dcterms:created xsi:type="dcterms:W3CDTF">2023-09-28T09:25:00Z</dcterms:created>
  <dcterms:modified xsi:type="dcterms:W3CDTF">2023-09-28T09:25:00Z</dcterms:modified>
</cp:coreProperties>
</file>