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C9ED6C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F6238B8" w14:textId="77777777" w:rsidR="00F35BAF" w:rsidRPr="00DB58B5" w:rsidRDefault="00F35BAF" w:rsidP="00090FD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26EDF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841823" w14:textId="069A492B" w:rsidR="00F35BAF" w:rsidRPr="00DB58B5" w:rsidRDefault="00090FDE" w:rsidP="00090FDE">
            <w:pPr>
              <w:jc w:val="right"/>
            </w:pPr>
            <w:r w:rsidRPr="00090FDE">
              <w:rPr>
                <w:sz w:val="40"/>
              </w:rPr>
              <w:t>ECE</w:t>
            </w:r>
            <w:r>
              <w:t>/TRANS/WP.29/2023/101</w:t>
            </w:r>
          </w:p>
        </w:tc>
      </w:tr>
      <w:tr w:rsidR="00F35BAF" w:rsidRPr="00DB58B5" w14:paraId="7111F22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A23E8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F01D2E3" wp14:editId="740412C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45775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38CB827" w14:textId="77777777" w:rsidR="00F35BAF" w:rsidRDefault="00090FD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DA00EA2" w14:textId="77777777" w:rsidR="00090FDE" w:rsidRDefault="00090FDE" w:rsidP="00090FDE">
            <w:pPr>
              <w:spacing w:line="240" w:lineRule="exact"/>
            </w:pPr>
            <w:r>
              <w:t>25 août 2023</w:t>
            </w:r>
          </w:p>
          <w:p w14:paraId="376BB484" w14:textId="77777777" w:rsidR="00090FDE" w:rsidRDefault="00090FDE" w:rsidP="00090FDE">
            <w:pPr>
              <w:spacing w:line="240" w:lineRule="exact"/>
            </w:pPr>
            <w:r>
              <w:t>Français</w:t>
            </w:r>
          </w:p>
          <w:p w14:paraId="27011F13" w14:textId="1FD92002" w:rsidR="00090FDE" w:rsidRPr="00DB58B5" w:rsidRDefault="00090FDE" w:rsidP="00090FDE">
            <w:pPr>
              <w:spacing w:line="240" w:lineRule="exact"/>
            </w:pPr>
            <w:r>
              <w:t>Original : anglais</w:t>
            </w:r>
          </w:p>
        </w:tc>
      </w:tr>
    </w:tbl>
    <w:p w14:paraId="588351E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0E9EA7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D093FA1" w14:textId="02DF1BAD" w:rsidR="008E6E70" w:rsidRPr="008E6E70" w:rsidRDefault="008E6E70" w:rsidP="008E6E70">
      <w:pPr>
        <w:spacing w:before="120"/>
        <w:rPr>
          <w:b/>
          <w:sz w:val="24"/>
          <w:szCs w:val="24"/>
        </w:rPr>
      </w:pPr>
      <w:r w:rsidRPr="008E6E70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8E6E70">
        <w:rPr>
          <w:b/>
          <w:bCs/>
          <w:sz w:val="24"/>
          <w:szCs w:val="24"/>
          <w:lang w:val="fr-FR"/>
        </w:rPr>
        <w:t>concernant les véhicules</w:t>
      </w:r>
    </w:p>
    <w:p w14:paraId="76DAEF4F" w14:textId="4E5ED2F5" w:rsidR="008E6E70" w:rsidRPr="00070F08" w:rsidRDefault="008E6E70" w:rsidP="008E6E70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191</w:t>
      </w:r>
      <w:r w:rsidRPr="008E6E7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481B9226" w14:textId="77777777" w:rsidR="008E6E70" w:rsidRPr="00070F08" w:rsidRDefault="008E6E70" w:rsidP="008E6E70">
      <w:pPr>
        <w:rPr>
          <w:lang w:val="fr-FR"/>
        </w:rPr>
      </w:pPr>
      <w:r>
        <w:rPr>
          <w:lang w:val="fr-FR"/>
        </w:rPr>
        <w:t>Genève, 14-17 novembre 2023</w:t>
      </w:r>
    </w:p>
    <w:p w14:paraId="64C29DBC" w14:textId="77777777" w:rsidR="008E6E70" w:rsidRPr="00070F08" w:rsidRDefault="008E6E70" w:rsidP="008E6E70">
      <w:pPr>
        <w:rPr>
          <w:lang w:val="fr-FR"/>
        </w:rPr>
      </w:pPr>
      <w:r>
        <w:rPr>
          <w:lang w:val="fr-FR"/>
        </w:rPr>
        <w:t>Point 4.7.4 de l’ordre du jour provisoire</w:t>
      </w:r>
    </w:p>
    <w:p w14:paraId="4A13E5B9" w14:textId="12A2225E" w:rsidR="008E6E70" w:rsidRPr="00070F08" w:rsidRDefault="008E6E70" w:rsidP="008E6E70">
      <w:pPr>
        <w:rPr>
          <w:b/>
          <w:bCs/>
          <w:lang w:val="fr-FR"/>
        </w:rPr>
      </w:pPr>
      <w:r>
        <w:rPr>
          <w:b/>
          <w:bCs/>
          <w:lang w:val="fr-FR"/>
        </w:rPr>
        <w:t>Accord de 1958 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Examen de projets d’amendements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soumis par le GRSG</w:t>
      </w:r>
    </w:p>
    <w:p w14:paraId="7860B941" w14:textId="1DD285FC" w:rsidR="008E6E70" w:rsidRPr="00070F08" w:rsidRDefault="008E6E70" w:rsidP="008E6E70">
      <w:pPr>
        <w:pStyle w:val="HChG"/>
        <w:rPr>
          <w:lang w:val="fr-FR"/>
        </w:rPr>
      </w:pPr>
      <w:r>
        <w:rPr>
          <w:lang w:val="fr-FR"/>
        </w:rPr>
        <w:tab/>
      </w:r>
      <w:r w:rsidR="00DC546A">
        <w:rPr>
          <w:lang w:val="fr-FR"/>
        </w:rPr>
        <w:tab/>
      </w:r>
      <w:r>
        <w:rPr>
          <w:lang w:val="fr-FR"/>
        </w:rPr>
        <w:t xml:space="preserve">Proposition de complément 2 à la version originale </w:t>
      </w:r>
      <w:r w:rsidR="00DC546A">
        <w:rPr>
          <w:lang w:val="fr-FR"/>
        </w:rPr>
        <w:br/>
      </w:r>
      <w:r>
        <w:rPr>
          <w:lang w:val="fr-FR"/>
        </w:rPr>
        <w:t xml:space="preserve">du Règlement ONU </w:t>
      </w:r>
      <w:r w:rsidR="00DC546A" w:rsidRPr="00DC546A">
        <w:rPr>
          <w:rFonts w:eastAsia="MS Mincho"/>
          <w:lang w:val="fr-FR"/>
        </w:rPr>
        <w:t>n</w:t>
      </w:r>
      <w:r w:rsidR="00DC546A" w:rsidRPr="00DC546A">
        <w:rPr>
          <w:rFonts w:eastAsia="MS Mincho"/>
          <w:vertAlign w:val="superscript"/>
          <w:lang w:val="fr-FR"/>
        </w:rPr>
        <w:t>o</w:t>
      </w:r>
      <w:r w:rsidR="00DC546A">
        <w:rPr>
          <w:lang w:val="fr-FR"/>
        </w:rPr>
        <w:t> </w:t>
      </w:r>
      <w:r>
        <w:rPr>
          <w:lang w:val="fr-FR"/>
        </w:rPr>
        <w:t xml:space="preserve">160 (Enregistreur de données </w:t>
      </w:r>
      <w:r w:rsidR="00DC546A">
        <w:rPr>
          <w:lang w:val="fr-FR"/>
        </w:rPr>
        <w:br/>
      </w:r>
      <w:r>
        <w:rPr>
          <w:lang w:val="fr-FR"/>
        </w:rPr>
        <w:t>de route)</w:t>
      </w:r>
    </w:p>
    <w:p w14:paraId="31AFE4A8" w14:textId="306ACAA5" w:rsidR="008E6E70" w:rsidRPr="00070F08" w:rsidRDefault="008E6E70" w:rsidP="00DC546A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générales </w:t>
      </w:r>
      <w:r w:rsidR="00DC546A">
        <w:rPr>
          <w:lang w:val="fr-FR"/>
        </w:rPr>
        <w:br/>
      </w:r>
      <w:r>
        <w:rPr>
          <w:lang w:val="fr-FR"/>
        </w:rPr>
        <w:t>de sécurité</w:t>
      </w:r>
      <w:r w:rsidRPr="00DC546A">
        <w:rPr>
          <w:b w:val="0"/>
          <w:bCs/>
          <w:sz w:val="20"/>
          <w:lang w:val="fr-FR"/>
        </w:rPr>
        <w:t>*</w:t>
      </w:r>
    </w:p>
    <w:p w14:paraId="43E3C631" w14:textId="1C746F47" w:rsidR="008E6E70" w:rsidRDefault="008E6E70" w:rsidP="008E6E70">
      <w:pPr>
        <w:pStyle w:val="SingleTxtG"/>
        <w:ind w:firstLine="567"/>
        <w:rPr>
          <w:sz w:val="24"/>
          <w:szCs w:val="24"/>
          <w:lang w:val="fr-FR"/>
        </w:rPr>
      </w:pPr>
      <w:r>
        <w:rPr>
          <w:lang w:val="fr-FR"/>
        </w:rPr>
        <w:footnoteReference w:customMarkFollows="1" w:id="2"/>
        <w:t>Le texte ci-après, adopté par le Groupe de travail des dispositions générales de sécurité (GRSG) à sa 125</w:t>
      </w:r>
      <w:r w:rsidRPr="005E07AF">
        <w:rPr>
          <w:vertAlign w:val="superscript"/>
          <w:lang w:val="fr-FR"/>
        </w:rPr>
        <w:t>e</w:t>
      </w:r>
      <w:r w:rsidR="005E07AF">
        <w:rPr>
          <w:lang w:val="fr-FR"/>
        </w:rPr>
        <w:t> </w:t>
      </w:r>
      <w:r>
        <w:rPr>
          <w:lang w:val="fr-FR"/>
        </w:rPr>
        <w:t>session (ECE/TRANS/WP.29/GRSG/104, par.</w:t>
      </w:r>
      <w:r w:rsidR="005E07AF">
        <w:rPr>
          <w:lang w:val="fr-FR"/>
        </w:rPr>
        <w:t> </w:t>
      </w:r>
      <w:r>
        <w:rPr>
          <w:lang w:val="fr-FR"/>
        </w:rPr>
        <w:t xml:space="preserve">30), est fondé sur le document ECE/TRANS/WP.29/GRSG/2023/11 tel que modifié par </w:t>
      </w:r>
      <w:r w:rsidRPr="00943EA6">
        <w:rPr>
          <w:lang w:val="fr-FR"/>
        </w:rPr>
        <w:t>l’annexe</w:t>
      </w:r>
      <w:r w:rsidR="005E07AF" w:rsidRPr="00943EA6">
        <w:rPr>
          <w:lang w:val="fr-FR"/>
        </w:rPr>
        <w:t> </w:t>
      </w:r>
      <w:r w:rsidRPr="00943EA6">
        <w:rPr>
          <w:lang w:val="fr-FR"/>
        </w:rPr>
        <w:t>V</w:t>
      </w:r>
      <w:r>
        <w:rPr>
          <w:lang w:val="fr-FR"/>
        </w:rPr>
        <w:t xml:space="preserve"> du rapport. Il est soumis au Forum mondial de l’harmonisation des Règlements concernant les véhicules (WP.29) et au Comité d’administration de l’Accord de 1958 (AC.1) pour examen à leurs sessions de novembre 2023. </w:t>
      </w:r>
    </w:p>
    <w:p w14:paraId="14371261" w14:textId="77777777" w:rsidR="008E6E70" w:rsidRPr="00070F08" w:rsidRDefault="008E6E70" w:rsidP="008E6E70">
      <w:pPr>
        <w:suppressAutoHyphens w:val="0"/>
        <w:spacing w:line="240" w:lineRule="auto"/>
        <w:rPr>
          <w:lang w:val="fr-FR"/>
        </w:rPr>
      </w:pPr>
      <w:r w:rsidRPr="00070F08">
        <w:rPr>
          <w:lang w:val="fr-FR"/>
        </w:rPr>
        <w:br w:type="page"/>
      </w:r>
    </w:p>
    <w:p w14:paraId="1FC8DF25" w14:textId="134BC9AD" w:rsidR="008E6E70" w:rsidRPr="005166E7" w:rsidRDefault="008E6E70" w:rsidP="005A18E7">
      <w:pPr>
        <w:pStyle w:val="SingleTxtG"/>
        <w:keepNext/>
      </w:pPr>
      <w:r w:rsidRPr="005A18E7">
        <w:rPr>
          <w:i/>
          <w:iCs/>
          <w:lang w:val="fr-FR"/>
        </w:rPr>
        <w:lastRenderedPageBreak/>
        <w:t>Annexe 4, tableau 1</w:t>
      </w:r>
      <w:r>
        <w:rPr>
          <w:lang w:val="fr-FR"/>
        </w:rPr>
        <w:t>, lire :</w:t>
      </w:r>
    </w:p>
    <w:p w14:paraId="782541FD" w14:textId="77777777" w:rsidR="008E6E70" w:rsidRPr="005166E7" w:rsidRDefault="008E6E70" w:rsidP="008E6E70">
      <w:r>
        <w:rPr>
          <w:lang w:val="fr-FR"/>
        </w:rPr>
        <w:t>« ...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218"/>
        <w:gridCol w:w="2072"/>
        <w:gridCol w:w="530"/>
        <w:gridCol w:w="939"/>
        <w:gridCol w:w="1080"/>
        <w:gridCol w:w="578"/>
        <w:gridCol w:w="1498"/>
      </w:tblGrid>
      <w:tr w:rsidR="00E2492A" w:rsidRPr="005166E7" w14:paraId="73AFD557" w14:textId="77777777" w:rsidTr="00A01A5F">
        <w:trPr>
          <w:cantSplit/>
        </w:trPr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B3759" w14:textId="3A2E4D9D" w:rsidR="008E6E70" w:rsidRPr="00070F08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  <w:lang w:val="fr-FR"/>
              </w:rPr>
            </w:pPr>
            <w:r>
              <w:rPr>
                <w:lang w:val="fr-FR"/>
              </w:rPr>
              <w:t>Accélération latérale</w:t>
            </w:r>
            <w:r w:rsidR="005A18E7">
              <w:rPr>
                <w:lang w:val="fr-FR"/>
              </w:rPr>
              <w:br/>
            </w:r>
            <w:r>
              <w:rPr>
                <w:lang w:val="fr-FR"/>
              </w:rPr>
              <w:t>(après un accident)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674D44" w14:textId="77777777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 xml:space="preserve">Si l’élément est enregistré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0BEDD0" w14:textId="77777777" w:rsidR="008E6E70" w:rsidRPr="00070F08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  <w:lang w:val="fr-FR"/>
              </w:rPr>
            </w:pPr>
            <w:r>
              <w:rPr>
                <w:lang w:val="fr-FR"/>
              </w:rPr>
              <w:t>De 0 à 250 ms ou de 0 au moment de fin de l’événement plus 30 ms, selon le plus court de ces intervalles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AF22AC" w14:textId="77777777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>500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D1FFB8" w14:textId="5E1BDDAC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 xml:space="preserve">De -50 </w:t>
            </w:r>
            <w:r w:rsidR="00A01A5F">
              <w:rPr>
                <w:lang w:val="fr-FR"/>
              </w:rPr>
              <w:br/>
            </w:r>
            <w:r>
              <w:rPr>
                <w:lang w:val="fr-FR"/>
              </w:rPr>
              <w:t>à +50 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4C0A83" w14:textId="5F67FF74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  <w:spacing w:val="-2"/>
              </w:rPr>
            </w:pPr>
            <w:r>
              <w:rPr>
                <w:lang w:val="fr-FR"/>
              </w:rPr>
              <w:t>+/-10%</w:t>
            </w:r>
            <w:r w:rsidRPr="005166E7">
              <w:rPr>
                <w:rStyle w:val="Appelnotedebasdep"/>
                <w:rFonts w:eastAsia="Calibri"/>
                <w:b/>
                <w:bCs/>
                <w:spacing w:val="-2"/>
                <w:lang w:val="fr-FR"/>
              </w:rPr>
              <w:footnoteReference w:customMarkFollows="1" w:id="3"/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3C272B" w14:textId="77777777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>1 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B785D1" w14:textId="77777777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>Collision</w:t>
            </w:r>
          </w:p>
          <w:p w14:paraId="44C2792F" w14:textId="01FE5D99" w:rsidR="008E6E70" w:rsidRPr="00E2492A" w:rsidRDefault="008E6E70" w:rsidP="00E2492A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>Retournement</w:t>
            </w:r>
            <w:r w:rsidRPr="005A18E7">
              <w:rPr>
                <w:rStyle w:val="Appelnotedebasdep"/>
                <w:rFonts w:eastAsia="Calibri"/>
                <w:lang w:val="fr-FR"/>
              </w:rPr>
              <w:footnoteReference w:customMarkFollows="1" w:id="4"/>
              <w:t>11</w:t>
            </w:r>
          </w:p>
        </w:tc>
      </w:tr>
      <w:tr w:rsidR="00E2492A" w:rsidRPr="005166E7" w14:paraId="25B05A1C" w14:textId="77777777" w:rsidTr="00A01A5F">
        <w:trPr>
          <w:cantSplit/>
        </w:trPr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72C58" w14:textId="785E9430" w:rsidR="008E6E70" w:rsidRPr="00070F08" w:rsidRDefault="008E6E70" w:rsidP="00A01A5F">
            <w:pPr>
              <w:spacing w:before="60" w:after="60" w:line="240" w:lineRule="auto"/>
              <w:ind w:left="57" w:right="57"/>
              <w:rPr>
                <w:rFonts w:eastAsia="Calibri"/>
                <w:lang w:val="fr-FR"/>
              </w:rPr>
            </w:pPr>
            <w:r>
              <w:rPr>
                <w:lang w:val="fr-FR"/>
              </w:rPr>
              <w:t>Accélération longitudinale</w:t>
            </w:r>
            <w:r w:rsidR="00A01A5F">
              <w:rPr>
                <w:lang w:val="fr-FR"/>
              </w:rPr>
              <w:br/>
            </w:r>
            <w:r>
              <w:rPr>
                <w:lang w:val="fr-FR"/>
              </w:rPr>
              <w:t>(après un accident)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8D10AC" w14:textId="77777777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>Si l’élément est enregistré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C5751E" w14:textId="77777777" w:rsidR="008E6E70" w:rsidRPr="00070F08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  <w:lang w:val="fr-FR"/>
              </w:rPr>
            </w:pPr>
            <w:r>
              <w:rPr>
                <w:lang w:val="fr-FR"/>
              </w:rPr>
              <w:t>De 0 à 250 ms ou de 0 au moment de fin de l’événement plus 30 ms, selon le plus court de ces intervalles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2AE98C" w14:textId="77777777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>500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4E7E0B" w14:textId="6E13FBE7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 xml:space="preserve">De -50 </w:t>
            </w:r>
            <w:r w:rsidR="00A01A5F">
              <w:rPr>
                <w:lang w:val="fr-FR"/>
              </w:rPr>
              <w:br/>
            </w:r>
            <w:r>
              <w:rPr>
                <w:lang w:val="fr-FR"/>
              </w:rPr>
              <w:t>à +50 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465232" w14:textId="33BFF576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  <w:spacing w:val="-2"/>
              </w:rPr>
            </w:pPr>
            <w:r>
              <w:rPr>
                <w:lang w:val="fr-FR"/>
              </w:rPr>
              <w:t>+/-10%</w:t>
            </w:r>
            <w:r>
              <w:rPr>
                <w:vertAlign w:val="superscript"/>
                <w:lang w:val="fr-FR"/>
              </w:rPr>
              <w:t>10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CC3F13" w14:textId="77777777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Calibri"/>
              </w:rPr>
            </w:pPr>
            <w:r>
              <w:rPr>
                <w:lang w:val="fr-FR"/>
              </w:rPr>
              <w:t xml:space="preserve">1 g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9C9FEF" w14:textId="77777777" w:rsidR="008E6E70" w:rsidRPr="005166E7" w:rsidRDefault="008E6E70" w:rsidP="005A18E7">
            <w:pPr>
              <w:spacing w:before="60" w:after="60" w:line="240" w:lineRule="auto"/>
              <w:ind w:left="57" w:right="57"/>
              <w:rPr>
                <w:rFonts w:eastAsia="SimSun"/>
              </w:rPr>
            </w:pPr>
            <w:r>
              <w:rPr>
                <w:lang w:val="fr-FR"/>
              </w:rPr>
              <w:t>Collision</w:t>
            </w:r>
          </w:p>
        </w:tc>
      </w:tr>
    </w:tbl>
    <w:p w14:paraId="797DA62E" w14:textId="77777777" w:rsidR="008E6E70" w:rsidRPr="005166E7" w:rsidRDefault="008E6E70" w:rsidP="00E2492A">
      <w:pPr>
        <w:jc w:val="right"/>
      </w:pPr>
      <w:r>
        <w:rPr>
          <w:lang w:val="fr-FR"/>
        </w:rPr>
        <w:t>... »</w:t>
      </w:r>
    </w:p>
    <w:p w14:paraId="645D33E3" w14:textId="77777777" w:rsidR="008E6E70" w:rsidRPr="00070F08" w:rsidRDefault="008E6E70" w:rsidP="002A0A89">
      <w:pPr>
        <w:pStyle w:val="SingleTxtG"/>
        <w:rPr>
          <w:sz w:val="22"/>
          <w:szCs w:val="22"/>
          <w:lang w:val="fr-FR"/>
        </w:rPr>
      </w:pPr>
      <w:r w:rsidRPr="005E4873">
        <w:rPr>
          <w:i/>
          <w:iCs/>
          <w:lang w:val="fr-FR"/>
        </w:rPr>
        <w:t>Les notes de bas de page 10 à 17</w:t>
      </w:r>
      <w:r>
        <w:rPr>
          <w:lang w:val="fr-FR"/>
        </w:rPr>
        <w:t xml:space="preserve"> deviennent les notes de bas de page 12 à 19.</w:t>
      </w:r>
    </w:p>
    <w:p w14:paraId="7CBCC1EB" w14:textId="7E4739F0" w:rsidR="00F9573C" w:rsidRPr="002A0A89" w:rsidRDefault="002A0A89" w:rsidP="002A0A8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2A0A89" w:rsidSect="00090F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942F" w14:textId="77777777" w:rsidR="00E258C3" w:rsidRDefault="00E258C3" w:rsidP="00F95C08">
      <w:pPr>
        <w:spacing w:line="240" w:lineRule="auto"/>
      </w:pPr>
    </w:p>
  </w:endnote>
  <w:endnote w:type="continuationSeparator" w:id="0">
    <w:p w14:paraId="48604921" w14:textId="77777777" w:rsidR="00E258C3" w:rsidRPr="00AC3823" w:rsidRDefault="00E258C3" w:rsidP="00AC3823">
      <w:pPr>
        <w:pStyle w:val="Pieddepage"/>
      </w:pPr>
    </w:p>
  </w:endnote>
  <w:endnote w:type="continuationNotice" w:id="1">
    <w:p w14:paraId="76A536C7" w14:textId="77777777" w:rsidR="00E258C3" w:rsidRDefault="00E258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9EDC" w14:textId="34183A73" w:rsidR="00090FDE" w:rsidRPr="00090FDE" w:rsidRDefault="00090FDE" w:rsidP="00090FDE">
    <w:pPr>
      <w:pStyle w:val="Pieddepage"/>
      <w:tabs>
        <w:tab w:val="right" w:pos="9638"/>
      </w:tabs>
    </w:pPr>
    <w:r w:rsidRPr="00090FDE">
      <w:rPr>
        <w:b/>
        <w:sz w:val="18"/>
      </w:rPr>
      <w:fldChar w:fldCharType="begin"/>
    </w:r>
    <w:r w:rsidRPr="00090FDE">
      <w:rPr>
        <w:b/>
        <w:sz w:val="18"/>
      </w:rPr>
      <w:instrText xml:space="preserve"> PAGE  \* MERGEFORMAT </w:instrText>
    </w:r>
    <w:r w:rsidRPr="00090FDE">
      <w:rPr>
        <w:b/>
        <w:sz w:val="18"/>
      </w:rPr>
      <w:fldChar w:fldCharType="separate"/>
    </w:r>
    <w:r w:rsidRPr="00090FDE">
      <w:rPr>
        <w:b/>
        <w:noProof/>
        <w:sz w:val="18"/>
      </w:rPr>
      <w:t>2</w:t>
    </w:r>
    <w:r w:rsidRPr="00090FDE">
      <w:rPr>
        <w:b/>
        <w:sz w:val="18"/>
      </w:rPr>
      <w:fldChar w:fldCharType="end"/>
    </w:r>
    <w:r>
      <w:rPr>
        <w:b/>
        <w:sz w:val="18"/>
      </w:rPr>
      <w:tab/>
    </w:r>
    <w:r>
      <w:t>GE.23-16465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C41B" w14:textId="0BACBB62" w:rsidR="00090FDE" w:rsidRPr="00090FDE" w:rsidRDefault="00090FDE" w:rsidP="00090FDE">
    <w:pPr>
      <w:pStyle w:val="Pieddepage"/>
      <w:tabs>
        <w:tab w:val="right" w:pos="9638"/>
      </w:tabs>
      <w:rPr>
        <w:b/>
        <w:sz w:val="18"/>
      </w:rPr>
    </w:pPr>
    <w:r>
      <w:t>GE.23-16465</w:t>
    </w:r>
    <w:r>
      <w:tab/>
    </w:r>
    <w:r w:rsidRPr="00090FDE">
      <w:rPr>
        <w:b/>
        <w:sz w:val="18"/>
      </w:rPr>
      <w:fldChar w:fldCharType="begin"/>
    </w:r>
    <w:r w:rsidRPr="00090FDE">
      <w:rPr>
        <w:b/>
        <w:sz w:val="18"/>
      </w:rPr>
      <w:instrText xml:space="preserve"> PAGE  \* MERGEFORMAT </w:instrText>
    </w:r>
    <w:r w:rsidRPr="00090FDE">
      <w:rPr>
        <w:b/>
        <w:sz w:val="18"/>
      </w:rPr>
      <w:fldChar w:fldCharType="separate"/>
    </w:r>
    <w:r w:rsidRPr="00090FDE">
      <w:rPr>
        <w:b/>
        <w:noProof/>
        <w:sz w:val="18"/>
      </w:rPr>
      <w:t>3</w:t>
    </w:r>
    <w:r w:rsidRPr="00090F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8AE" w14:textId="2C476CB5" w:rsidR="007F20FA" w:rsidRPr="00090FDE" w:rsidRDefault="00090FDE" w:rsidP="00090FD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4B57FF2" wp14:editId="3410F09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23-16465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63D4E51" wp14:editId="0969CA0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210923    210923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0F1F" w14:textId="77777777" w:rsidR="00E258C3" w:rsidRPr="00AC3823" w:rsidRDefault="00E258C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7DEACE" w14:textId="77777777" w:rsidR="00E258C3" w:rsidRPr="00AC3823" w:rsidRDefault="00E258C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7F9B02" w14:textId="77777777" w:rsidR="00E258C3" w:rsidRPr="00AC3823" w:rsidRDefault="00E258C3">
      <w:pPr>
        <w:spacing w:line="240" w:lineRule="auto"/>
        <w:rPr>
          <w:sz w:val="2"/>
          <w:szCs w:val="2"/>
        </w:rPr>
      </w:pPr>
    </w:p>
  </w:footnote>
  <w:footnote w:id="2">
    <w:p w14:paraId="669C6AFF" w14:textId="77777777" w:rsidR="008E6E70" w:rsidRPr="00070F08" w:rsidRDefault="008E6E70" w:rsidP="008E6E70">
      <w:pPr>
        <w:pStyle w:val="Notedebasdepage"/>
        <w:rPr>
          <w:lang w:val="fr-FR"/>
        </w:rPr>
      </w:pPr>
      <w:r>
        <w:rPr>
          <w:lang w:val="fr-FR"/>
        </w:rPr>
        <w:tab/>
      </w:r>
      <w:r w:rsidRPr="00DC546A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2023 tel qu’il figure dans le projet de budget-programme pour 2023 (A/77/6 (Sect. 20), </w:t>
      </w:r>
      <w:r w:rsidRPr="00A32884">
        <w:rPr>
          <w:lang w:val="fr-FR"/>
        </w:rPr>
        <w:t>tableau</w:t>
      </w:r>
      <w:r>
        <w:rPr>
          <w:lang w:val="fr-FR"/>
        </w:rPr>
        <w:t xml:space="preserve">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19C1A92F" w14:textId="742CC77F" w:rsidR="008E6E70" w:rsidRPr="00070F08" w:rsidRDefault="008E6E70" w:rsidP="008E6E70">
      <w:pPr>
        <w:pStyle w:val="Notedebasdepage"/>
        <w:rPr>
          <w:lang w:val="fr-FR"/>
        </w:rPr>
      </w:pPr>
      <w:r>
        <w:rPr>
          <w:lang w:val="fr-FR"/>
        </w:rPr>
        <w:tab/>
      </w:r>
      <w:r>
        <w:rPr>
          <w:vertAlign w:val="superscript"/>
          <w:lang w:val="fr-FR"/>
        </w:rPr>
        <w:t>10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+/-10 % de l’amplitude maximale de l’accéléromètre utilisé dans le module de gestion électronique contenant la fonction EDR, comme spécifié au paragraphe 6.1.5.</w:t>
      </w:r>
      <w:bookmarkStart w:id="0" w:name="_Hlk121042371"/>
      <w:bookmarkEnd w:id="0"/>
    </w:p>
  </w:footnote>
  <w:footnote w:id="4">
    <w:p w14:paraId="35841CCF" w14:textId="77777777" w:rsidR="008E6E70" w:rsidRPr="00070F08" w:rsidRDefault="008E6E70" w:rsidP="008E6E70">
      <w:pPr>
        <w:pStyle w:val="Notedebasdepage"/>
        <w:rPr>
          <w:lang w:val="fr-FR"/>
        </w:rPr>
      </w:pPr>
      <w:r>
        <w:rPr>
          <w:lang w:val="fr-FR"/>
        </w:rPr>
        <w:tab/>
      </w:r>
      <w:r>
        <w:rPr>
          <w:vertAlign w:val="superscript"/>
          <w:lang w:val="fr-FR"/>
        </w:rPr>
        <w:t>11</w:t>
      </w:r>
      <w:r>
        <w:rPr>
          <w:lang w:val="fr-FR"/>
        </w:rPr>
        <w:t xml:space="preserve"> </w:t>
      </w:r>
      <w:r>
        <w:rPr>
          <w:lang w:val="fr-FR"/>
        </w:rPr>
        <w:tab/>
        <w:t>Le format pour l’accélération latérale enregistrée en cas de retournement est à la discrétion du fabricant.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B508" w14:textId="79352E7F" w:rsidR="00090FDE" w:rsidRPr="00090FDE" w:rsidRDefault="00090FDE">
    <w:pPr>
      <w:pStyle w:val="En-tte"/>
    </w:pPr>
    <w:fldSimple w:instr=" TITLE  \* MERGEFORMAT ">
      <w:r w:rsidR="005A54F9">
        <w:t>ECE/TRANS/WP.29/2023/101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2E75" w14:textId="750BB3B7" w:rsidR="00090FDE" w:rsidRPr="00090FDE" w:rsidRDefault="00090FDE" w:rsidP="00090FDE">
    <w:pPr>
      <w:pStyle w:val="En-tte"/>
      <w:jc w:val="right"/>
    </w:pPr>
    <w:fldSimple w:instr=" TITLE  \* MERGEFORMAT ">
      <w:r w:rsidR="005A54F9">
        <w:t>ECE/TRANS/WP.29/2023/101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19702146">
    <w:abstractNumId w:val="12"/>
  </w:num>
  <w:num w:numId="2" w16cid:durableId="67043466">
    <w:abstractNumId w:val="11"/>
  </w:num>
  <w:num w:numId="3" w16cid:durableId="746683024">
    <w:abstractNumId w:val="10"/>
  </w:num>
  <w:num w:numId="4" w16cid:durableId="501555148">
    <w:abstractNumId w:val="8"/>
  </w:num>
  <w:num w:numId="5" w16cid:durableId="880096116">
    <w:abstractNumId w:val="3"/>
  </w:num>
  <w:num w:numId="6" w16cid:durableId="1814520815">
    <w:abstractNumId w:val="2"/>
  </w:num>
  <w:num w:numId="7" w16cid:durableId="2067754223">
    <w:abstractNumId w:val="1"/>
  </w:num>
  <w:num w:numId="8" w16cid:durableId="1103763389">
    <w:abstractNumId w:val="0"/>
  </w:num>
  <w:num w:numId="9" w16cid:durableId="1328360508">
    <w:abstractNumId w:val="9"/>
  </w:num>
  <w:num w:numId="10" w16cid:durableId="1643005199">
    <w:abstractNumId w:val="7"/>
  </w:num>
  <w:num w:numId="11" w16cid:durableId="990595862">
    <w:abstractNumId w:val="6"/>
  </w:num>
  <w:num w:numId="12" w16cid:durableId="1968077726">
    <w:abstractNumId w:val="5"/>
  </w:num>
  <w:num w:numId="13" w16cid:durableId="1244337176">
    <w:abstractNumId w:val="4"/>
  </w:num>
  <w:num w:numId="14" w16cid:durableId="1025792328">
    <w:abstractNumId w:val="12"/>
  </w:num>
  <w:num w:numId="15" w16cid:durableId="254632861">
    <w:abstractNumId w:val="11"/>
  </w:num>
  <w:num w:numId="16" w16cid:durableId="2114131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C3"/>
    <w:rsid w:val="00017F94"/>
    <w:rsid w:val="00023842"/>
    <w:rsid w:val="000334F9"/>
    <w:rsid w:val="00045FEB"/>
    <w:rsid w:val="0007796D"/>
    <w:rsid w:val="00090FDE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A0A89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A18E7"/>
    <w:rsid w:val="005A54F9"/>
    <w:rsid w:val="005E07AF"/>
    <w:rsid w:val="006F3C0C"/>
    <w:rsid w:val="0071601D"/>
    <w:rsid w:val="007A62E6"/>
    <w:rsid w:val="007F20FA"/>
    <w:rsid w:val="0080684C"/>
    <w:rsid w:val="00871C75"/>
    <w:rsid w:val="008776DC"/>
    <w:rsid w:val="008D5EF9"/>
    <w:rsid w:val="008E6E70"/>
    <w:rsid w:val="00943EA6"/>
    <w:rsid w:val="009446C0"/>
    <w:rsid w:val="009705C8"/>
    <w:rsid w:val="009C1CF4"/>
    <w:rsid w:val="009F6B74"/>
    <w:rsid w:val="00A01A5F"/>
    <w:rsid w:val="00A3029F"/>
    <w:rsid w:val="00A30353"/>
    <w:rsid w:val="00A32884"/>
    <w:rsid w:val="00AC3823"/>
    <w:rsid w:val="00AE323C"/>
    <w:rsid w:val="00AF0CB5"/>
    <w:rsid w:val="00B00181"/>
    <w:rsid w:val="00B00B0D"/>
    <w:rsid w:val="00B45F2E"/>
    <w:rsid w:val="00B765F7"/>
    <w:rsid w:val="00B77993"/>
    <w:rsid w:val="00B9591F"/>
    <w:rsid w:val="00BA0CA9"/>
    <w:rsid w:val="00C02897"/>
    <w:rsid w:val="00C77348"/>
    <w:rsid w:val="00C97039"/>
    <w:rsid w:val="00D3439C"/>
    <w:rsid w:val="00D7622E"/>
    <w:rsid w:val="00DB1831"/>
    <w:rsid w:val="00DC546A"/>
    <w:rsid w:val="00DD3BFD"/>
    <w:rsid w:val="00DF6678"/>
    <w:rsid w:val="00E0299A"/>
    <w:rsid w:val="00E2492A"/>
    <w:rsid w:val="00E258C3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54EAAA"/>
  <w15:docId w15:val="{16B88693-4047-40EF-969D-3A6D56E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C546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C546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C546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8E6E7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8E6E7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8E6E70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210</Words>
  <Characters>1477</Characters>
  <Application>Microsoft Office Word</Application>
  <DocSecurity>0</DocSecurity>
  <Lines>123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ECE/TRANS/WP.29/2023/101</vt:lpstr>
    </vt:vector>
  </TitlesOfParts>
  <Company>DCM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ECE/TRANS/WP.29/2023/101</dc:title>
  <dc:subject/>
  <dc:creator>Nathalie VITTOZ</dc:creator>
  <cp:keywords/>
  <cp:lastModifiedBy>Nathalie Vittoz</cp:lastModifiedBy>
  <cp:revision>2</cp:revision>
  <cp:lastPrinted>2023-09-21T12:55:00Z</cp:lastPrinted>
  <dcterms:created xsi:type="dcterms:W3CDTF">2023-09-21T12:56:00Z</dcterms:created>
  <dcterms:modified xsi:type="dcterms:W3CDTF">2023-09-21T12:56:00Z</dcterms:modified>
</cp:coreProperties>
</file>