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FD274C1" w14:textId="77777777" w:rsidTr="00C97039">
        <w:trPr>
          <w:trHeight w:hRule="exact" w:val="851"/>
        </w:trPr>
        <w:tc>
          <w:tcPr>
            <w:tcW w:w="1276" w:type="dxa"/>
            <w:tcBorders>
              <w:bottom w:val="single" w:sz="4" w:space="0" w:color="auto"/>
            </w:tcBorders>
          </w:tcPr>
          <w:p w14:paraId="4488810B" w14:textId="77777777" w:rsidR="00F35BAF" w:rsidRPr="00DB58B5" w:rsidRDefault="00F35BAF" w:rsidP="00C91978"/>
        </w:tc>
        <w:tc>
          <w:tcPr>
            <w:tcW w:w="2268" w:type="dxa"/>
            <w:tcBorders>
              <w:bottom w:val="single" w:sz="4" w:space="0" w:color="auto"/>
            </w:tcBorders>
            <w:vAlign w:val="bottom"/>
          </w:tcPr>
          <w:p w14:paraId="43CB51F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14822A" w14:textId="4CA19FD2" w:rsidR="00F35BAF" w:rsidRPr="00DB58B5" w:rsidRDefault="00C91978" w:rsidP="00C91978">
            <w:pPr>
              <w:jc w:val="right"/>
            </w:pPr>
            <w:r w:rsidRPr="00C91978">
              <w:rPr>
                <w:sz w:val="40"/>
              </w:rPr>
              <w:t>ECE</w:t>
            </w:r>
            <w:r>
              <w:t>/TRANS/WP.29/2023/100</w:t>
            </w:r>
          </w:p>
        </w:tc>
      </w:tr>
      <w:tr w:rsidR="00F35BAF" w:rsidRPr="00DB58B5" w14:paraId="128A22C0" w14:textId="77777777" w:rsidTr="00C97039">
        <w:trPr>
          <w:trHeight w:hRule="exact" w:val="2835"/>
        </w:trPr>
        <w:tc>
          <w:tcPr>
            <w:tcW w:w="1276" w:type="dxa"/>
            <w:tcBorders>
              <w:top w:val="single" w:sz="4" w:space="0" w:color="auto"/>
              <w:bottom w:val="single" w:sz="12" w:space="0" w:color="auto"/>
            </w:tcBorders>
          </w:tcPr>
          <w:p w14:paraId="37D5CE61" w14:textId="77777777" w:rsidR="00F35BAF" w:rsidRPr="00DB58B5" w:rsidRDefault="00F35BAF" w:rsidP="00C97039">
            <w:pPr>
              <w:spacing w:before="120"/>
              <w:jc w:val="center"/>
            </w:pPr>
            <w:r>
              <w:rPr>
                <w:noProof/>
                <w:lang w:eastAsia="fr-CH"/>
              </w:rPr>
              <w:drawing>
                <wp:inline distT="0" distB="0" distL="0" distR="0" wp14:anchorId="192616B9" wp14:editId="654271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5B36E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AC5943" w14:textId="77777777" w:rsidR="00F35BAF" w:rsidRDefault="00C91978" w:rsidP="00C97039">
            <w:pPr>
              <w:spacing w:before="240"/>
            </w:pPr>
            <w:proofErr w:type="spellStart"/>
            <w:r>
              <w:t>Distr</w:t>
            </w:r>
            <w:proofErr w:type="spellEnd"/>
            <w:r>
              <w:t>. générale</w:t>
            </w:r>
          </w:p>
          <w:p w14:paraId="3700308E" w14:textId="77777777" w:rsidR="00C91978" w:rsidRDefault="00C91978" w:rsidP="00C91978">
            <w:pPr>
              <w:spacing w:line="240" w:lineRule="exact"/>
            </w:pPr>
            <w:r>
              <w:t>25 août 2023</w:t>
            </w:r>
          </w:p>
          <w:p w14:paraId="36151ADD" w14:textId="77777777" w:rsidR="00C91978" w:rsidRDefault="00C91978" w:rsidP="00C91978">
            <w:pPr>
              <w:spacing w:line="240" w:lineRule="exact"/>
            </w:pPr>
            <w:r>
              <w:t>Français</w:t>
            </w:r>
          </w:p>
          <w:p w14:paraId="665629B0" w14:textId="3B5E6192" w:rsidR="00C91978" w:rsidRPr="00DB58B5" w:rsidRDefault="00C91978" w:rsidP="00C91978">
            <w:pPr>
              <w:spacing w:line="240" w:lineRule="exact"/>
            </w:pPr>
            <w:r>
              <w:t>Original : anglais</w:t>
            </w:r>
          </w:p>
        </w:tc>
      </w:tr>
    </w:tbl>
    <w:p w14:paraId="5863E31C" w14:textId="77777777" w:rsidR="007F20FA" w:rsidRPr="000312C0" w:rsidRDefault="007F20FA" w:rsidP="007F20FA">
      <w:pPr>
        <w:spacing w:before="120"/>
        <w:rPr>
          <w:b/>
          <w:sz w:val="28"/>
          <w:szCs w:val="28"/>
        </w:rPr>
      </w:pPr>
      <w:r w:rsidRPr="000312C0">
        <w:rPr>
          <w:b/>
          <w:sz w:val="28"/>
          <w:szCs w:val="28"/>
        </w:rPr>
        <w:t>Commission économique pour l’Europe</w:t>
      </w:r>
    </w:p>
    <w:p w14:paraId="0B0C8E54" w14:textId="77777777" w:rsidR="007F20FA" w:rsidRDefault="007F20FA" w:rsidP="007F20FA">
      <w:pPr>
        <w:spacing w:before="120"/>
        <w:rPr>
          <w:sz w:val="28"/>
          <w:szCs w:val="28"/>
        </w:rPr>
      </w:pPr>
      <w:r w:rsidRPr="00685843">
        <w:rPr>
          <w:sz w:val="28"/>
          <w:szCs w:val="28"/>
        </w:rPr>
        <w:t>Comité des transports intérieurs</w:t>
      </w:r>
    </w:p>
    <w:p w14:paraId="613A1EBB" w14:textId="413A9FA3" w:rsidR="0017389B" w:rsidRPr="00BB03CE" w:rsidRDefault="0017389B" w:rsidP="0017389B">
      <w:pPr>
        <w:spacing w:before="120"/>
        <w:rPr>
          <w:b/>
          <w:sz w:val="24"/>
          <w:szCs w:val="24"/>
        </w:rPr>
      </w:pPr>
      <w:r w:rsidRPr="00BB03CE">
        <w:rPr>
          <w:b/>
          <w:bCs/>
          <w:sz w:val="24"/>
          <w:szCs w:val="24"/>
          <w:lang w:val="fr-FR"/>
        </w:rPr>
        <w:t xml:space="preserve">Forum mondial de l’harmonisation des Règlements </w:t>
      </w:r>
      <w:r w:rsidR="00BB03CE">
        <w:rPr>
          <w:b/>
          <w:bCs/>
          <w:sz w:val="24"/>
          <w:szCs w:val="24"/>
          <w:lang w:val="fr-FR"/>
        </w:rPr>
        <w:br/>
      </w:r>
      <w:r w:rsidRPr="00BB03CE">
        <w:rPr>
          <w:b/>
          <w:bCs/>
          <w:sz w:val="24"/>
          <w:szCs w:val="24"/>
          <w:lang w:val="fr-FR"/>
        </w:rPr>
        <w:t>concernant les véhicules</w:t>
      </w:r>
    </w:p>
    <w:p w14:paraId="0DB9DD74" w14:textId="77777777" w:rsidR="0017389B" w:rsidRPr="007E13D5" w:rsidRDefault="0017389B" w:rsidP="0017389B">
      <w:pPr>
        <w:spacing w:before="120"/>
        <w:rPr>
          <w:b/>
          <w:lang w:val="fr-FR"/>
        </w:rPr>
      </w:pPr>
      <w:r>
        <w:rPr>
          <w:b/>
          <w:bCs/>
          <w:lang w:val="fr-FR"/>
        </w:rPr>
        <w:t>191</w:t>
      </w:r>
      <w:r w:rsidRPr="00C51839">
        <w:rPr>
          <w:b/>
          <w:bCs/>
          <w:vertAlign w:val="superscript"/>
          <w:lang w:val="fr-FR"/>
        </w:rPr>
        <w:t>e</w:t>
      </w:r>
      <w:r>
        <w:rPr>
          <w:b/>
          <w:bCs/>
          <w:lang w:val="fr-FR"/>
        </w:rPr>
        <w:t xml:space="preserve"> session</w:t>
      </w:r>
    </w:p>
    <w:p w14:paraId="2E7165BC" w14:textId="77777777" w:rsidR="0017389B" w:rsidRPr="007E13D5" w:rsidRDefault="0017389B" w:rsidP="0017389B">
      <w:pPr>
        <w:rPr>
          <w:lang w:val="fr-FR"/>
        </w:rPr>
      </w:pPr>
      <w:r>
        <w:rPr>
          <w:lang w:val="fr-FR"/>
        </w:rPr>
        <w:t>Genève, 14-17 novembre 2023</w:t>
      </w:r>
    </w:p>
    <w:p w14:paraId="4F58B8C9" w14:textId="77777777" w:rsidR="0017389B" w:rsidRPr="007E13D5" w:rsidRDefault="0017389B" w:rsidP="0017389B">
      <w:pPr>
        <w:rPr>
          <w:lang w:val="fr-FR"/>
        </w:rPr>
      </w:pPr>
      <w:r>
        <w:rPr>
          <w:lang w:val="fr-FR"/>
        </w:rPr>
        <w:t>Point 4.7.3 de l’ordre du jour provisoire</w:t>
      </w:r>
    </w:p>
    <w:p w14:paraId="10640BBF" w14:textId="63D696BD" w:rsidR="0017389B" w:rsidRPr="007E13D5" w:rsidRDefault="0017389B" w:rsidP="0017389B">
      <w:pPr>
        <w:rPr>
          <w:b/>
          <w:bCs/>
          <w:lang w:val="fr-FR"/>
        </w:rPr>
      </w:pPr>
      <w:r>
        <w:rPr>
          <w:b/>
          <w:bCs/>
          <w:lang w:val="fr-FR"/>
        </w:rPr>
        <w:t>Accord de 1958 :</w:t>
      </w:r>
      <w:r w:rsidR="00BB03CE">
        <w:rPr>
          <w:b/>
          <w:bCs/>
          <w:lang w:val="fr-FR"/>
        </w:rPr>
        <w:t xml:space="preserve"> </w:t>
      </w:r>
      <w:r>
        <w:rPr>
          <w:b/>
          <w:bCs/>
          <w:lang w:val="fr-FR"/>
        </w:rPr>
        <w:t xml:space="preserve">Examen de projets d’amendements </w:t>
      </w:r>
      <w:r w:rsidR="00BB03CE">
        <w:rPr>
          <w:b/>
          <w:bCs/>
          <w:lang w:val="fr-FR"/>
        </w:rPr>
        <w:br/>
      </w:r>
      <w:r>
        <w:rPr>
          <w:b/>
          <w:bCs/>
          <w:lang w:val="fr-FR"/>
        </w:rPr>
        <w:t>à des Règlements ONU existants,</w:t>
      </w:r>
      <w:r w:rsidR="00BB03CE">
        <w:rPr>
          <w:b/>
          <w:bCs/>
          <w:lang w:val="fr-FR"/>
        </w:rPr>
        <w:t xml:space="preserve"> </w:t>
      </w:r>
      <w:r>
        <w:rPr>
          <w:b/>
          <w:bCs/>
          <w:lang w:val="fr-FR"/>
        </w:rPr>
        <w:t>soumis par le GRSG</w:t>
      </w:r>
    </w:p>
    <w:p w14:paraId="6923698A" w14:textId="3B741D36" w:rsidR="0017389B" w:rsidRPr="007E13D5" w:rsidRDefault="00BB03CE" w:rsidP="00BB03CE">
      <w:pPr>
        <w:pStyle w:val="HChG"/>
        <w:rPr>
          <w:lang w:val="fr-FR"/>
        </w:rPr>
      </w:pPr>
      <w:r>
        <w:rPr>
          <w:lang w:val="fr-FR"/>
        </w:rPr>
        <w:tab/>
      </w:r>
      <w:r>
        <w:rPr>
          <w:lang w:val="fr-FR"/>
        </w:rPr>
        <w:tab/>
      </w:r>
      <w:r w:rsidR="0017389B">
        <w:rPr>
          <w:lang w:val="fr-FR"/>
        </w:rPr>
        <w:t xml:space="preserve">Proposition de complément 7 à la version originale </w:t>
      </w:r>
      <w:r>
        <w:rPr>
          <w:lang w:val="fr-FR"/>
        </w:rPr>
        <w:br/>
      </w:r>
      <w:r w:rsidR="0017389B">
        <w:rPr>
          <w:lang w:val="fr-FR"/>
        </w:rPr>
        <w:t xml:space="preserve">du Règlement ONU </w:t>
      </w:r>
      <w:r w:rsidRPr="00BB03CE">
        <w:rPr>
          <w:rFonts w:eastAsia="MS Mincho"/>
          <w:lang w:val="fr-FR"/>
        </w:rPr>
        <w:t>n</w:t>
      </w:r>
      <w:r w:rsidRPr="00BB03CE">
        <w:rPr>
          <w:rFonts w:eastAsia="MS Mincho"/>
          <w:vertAlign w:val="superscript"/>
          <w:lang w:val="fr-FR"/>
        </w:rPr>
        <w:t>o</w:t>
      </w:r>
      <w:r>
        <w:rPr>
          <w:lang w:val="fr-FR"/>
        </w:rPr>
        <w:t> </w:t>
      </w:r>
      <w:r w:rsidR="0017389B">
        <w:rPr>
          <w:lang w:val="fr-FR"/>
        </w:rPr>
        <w:t xml:space="preserve">122 (Systèmes de chauffage) </w:t>
      </w:r>
    </w:p>
    <w:p w14:paraId="0E94B418" w14:textId="56A5084E" w:rsidR="0017389B" w:rsidRPr="007E13D5" w:rsidRDefault="0017389B" w:rsidP="00BB03CE">
      <w:pPr>
        <w:pStyle w:val="H1G"/>
        <w:rPr>
          <w:szCs w:val="24"/>
          <w:lang w:val="fr-FR"/>
        </w:rPr>
      </w:pPr>
      <w:r>
        <w:rPr>
          <w:lang w:val="fr-FR"/>
        </w:rPr>
        <w:tab/>
      </w:r>
      <w:r>
        <w:rPr>
          <w:lang w:val="fr-FR"/>
        </w:rPr>
        <w:tab/>
        <w:t xml:space="preserve">Communication du Groupe de travail des dispositions générales </w:t>
      </w:r>
      <w:r w:rsidR="00BB03CE">
        <w:rPr>
          <w:lang w:val="fr-FR"/>
        </w:rPr>
        <w:br/>
      </w:r>
      <w:r>
        <w:rPr>
          <w:lang w:val="fr-FR"/>
        </w:rPr>
        <w:t>de sécurité</w:t>
      </w:r>
      <w:r w:rsidR="00AE4058" w:rsidRPr="00AE4058">
        <w:rPr>
          <w:rStyle w:val="Appelnotedebasdep"/>
          <w:b w:val="0"/>
          <w:bCs/>
          <w:sz w:val="20"/>
          <w:vertAlign w:val="baseline"/>
        </w:rPr>
        <w:footnoteReference w:customMarkFollows="1" w:id="2"/>
        <w:t>*</w:t>
      </w:r>
    </w:p>
    <w:p w14:paraId="79CDB1D7" w14:textId="4A53E9C5" w:rsidR="0017389B" w:rsidRDefault="00AE4058" w:rsidP="0017389B">
      <w:pPr>
        <w:pStyle w:val="SingleTxtG"/>
        <w:ind w:firstLine="567"/>
        <w:rPr>
          <w:sz w:val="24"/>
          <w:szCs w:val="24"/>
          <w:lang w:val="fr-FR"/>
        </w:rPr>
      </w:pPr>
      <w:r>
        <w:rPr>
          <w:lang w:val="fr-FR"/>
        </w:rPr>
        <w:t xml:space="preserve">Le </w:t>
      </w:r>
      <w:r w:rsidR="0017389B">
        <w:rPr>
          <w:lang w:val="fr-FR"/>
        </w:rPr>
        <w:t>texte ci-après, adopté par le Groupe de travail des dispositions générales de sécurité (GRSG) à sa 125</w:t>
      </w:r>
      <w:r w:rsidR="0017389B" w:rsidRPr="00C51839">
        <w:rPr>
          <w:vertAlign w:val="superscript"/>
          <w:lang w:val="fr-FR"/>
        </w:rPr>
        <w:t>e</w:t>
      </w:r>
      <w:r>
        <w:rPr>
          <w:lang w:val="fr-FR"/>
        </w:rPr>
        <w:t> </w:t>
      </w:r>
      <w:r w:rsidR="0017389B">
        <w:rPr>
          <w:lang w:val="fr-FR"/>
        </w:rPr>
        <w:t>session (ECE/TRANS/WP.29/GRSG/104, par.</w:t>
      </w:r>
      <w:r w:rsidR="003D3896">
        <w:rPr>
          <w:lang w:val="fr-FR"/>
        </w:rPr>
        <w:t> </w:t>
      </w:r>
      <w:r w:rsidR="0017389B">
        <w:rPr>
          <w:lang w:val="fr-FR"/>
        </w:rPr>
        <w:t xml:space="preserve">24), est fondé sur le document ECE/TRANS/WP.29/GRSG/2023/8, tel que modifié par l’annexe IV du rapport. Il est soumis au Forum mondial de l’harmonisation des Règlements concernant les véhicules (WP.29) et au Comité d’administration de l’Accord de 1958 (AC.1) pour examen à leurs sessions de novembre 2023. </w:t>
      </w:r>
    </w:p>
    <w:p w14:paraId="632C7CFD" w14:textId="77777777" w:rsidR="0017389B" w:rsidRPr="007E13D5" w:rsidRDefault="0017389B" w:rsidP="0017389B">
      <w:pPr>
        <w:suppressAutoHyphens w:val="0"/>
        <w:spacing w:line="240" w:lineRule="auto"/>
        <w:rPr>
          <w:lang w:val="fr-FR"/>
        </w:rPr>
      </w:pPr>
      <w:r w:rsidRPr="007E13D5">
        <w:rPr>
          <w:lang w:val="fr-FR"/>
        </w:rPr>
        <w:br w:type="page"/>
      </w:r>
    </w:p>
    <w:p w14:paraId="3CC3E7BA" w14:textId="182CDE1B" w:rsidR="0017389B" w:rsidRPr="007E13D5" w:rsidRDefault="0017389B" w:rsidP="0017389B">
      <w:pPr>
        <w:pStyle w:val="SingleTxtG"/>
        <w:keepNext/>
        <w:rPr>
          <w:rFonts w:eastAsia="MS Mincho"/>
          <w:bCs/>
          <w:color w:val="000000" w:themeColor="text1"/>
          <w:lang w:val="fr-FR"/>
        </w:rPr>
      </w:pPr>
      <w:r w:rsidRPr="007E13D5">
        <w:rPr>
          <w:i/>
          <w:iCs/>
          <w:lang w:val="fr-FR"/>
        </w:rPr>
        <w:lastRenderedPageBreak/>
        <w:t>Paragraphe 6.1.1</w:t>
      </w:r>
      <w:r>
        <w:rPr>
          <w:lang w:val="fr-FR"/>
        </w:rPr>
        <w:t>. lire</w:t>
      </w:r>
      <w:r w:rsidR="003D3896">
        <w:rPr>
          <w:lang w:val="fr-FR"/>
        </w:rPr>
        <w:t> :</w:t>
      </w:r>
    </w:p>
    <w:p w14:paraId="429DA10A" w14:textId="47430A47" w:rsidR="0017389B" w:rsidRPr="007E13D5" w:rsidRDefault="0017389B" w:rsidP="0017389B">
      <w:pPr>
        <w:pStyle w:val="SingleTxtG"/>
        <w:ind w:left="2268" w:hanging="1134"/>
        <w:rPr>
          <w:bCs/>
          <w:color w:val="000000" w:themeColor="text1"/>
          <w:lang w:val="fr-FR"/>
        </w:rPr>
      </w:pPr>
      <w:r>
        <w:rPr>
          <w:lang w:val="fr-FR"/>
        </w:rPr>
        <w:t>« 6.1.1</w:t>
      </w:r>
      <w:r>
        <w:rPr>
          <w:lang w:val="fr-FR"/>
        </w:rPr>
        <w:tab/>
      </w:r>
      <w:r>
        <w:rPr>
          <w:lang w:val="fr-FR"/>
        </w:rPr>
        <w:t>“</w:t>
      </w:r>
      <w:r w:rsidRPr="0017389B">
        <w:rPr>
          <w:i/>
          <w:iCs/>
          <w:lang w:val="fr-FR"/>
        </w:rPr>
        <w:t>Système de chauffage</w:t>
      </w:r>
      <w:r>
        <w:rPr>
          <w:lang w:val="fr-FR"/>
        </w:rPr>
        <w:t>”</w:t>
      </w:r>
      <w:r>
        <w:rPr>
          <w:lang w:val="fr-FR"/>
        </w:rPr>
        <w:t>, tout type de dispositif permettant d’élever la température à l’intérieur d’un véhicule, y compris tout espace de chargement, et/ou la température ressentie par les occupants.</w:t>
      </w:r>
      <w:r w:rsidR="003D3896">
        <w:rPr>
          <w:lang w:val="fr-FR"/>
        </w:rPr>
        <w:t> </w:t>
      </w:r>
      <w:r>
        <w:rPr>
          <w:lang w:val="fr-FR"/>
        </w:rPr>
        <w:t>».</w:t>
      </w:r>
    </w:p>
    <w:p w14:paraId="3437C7A3" w14:textId="66398227" w:rsidR="0017389B" w:rsidRPr="007E13D5" w:rsidRDefault="0017389B" w:rsidP="0017389B">
      <w:pPr>
        <w:pStyle w:val="SingleTxtG"/>
        <w:keepNext/>
        <w:rPr>
          <w:bCs/>
          <w:color w:val="000000" w:themeColor="text1"/>
          <w:sz w:val="22"/>
          <w:szCs w:val="22"/>
          <w:lang w:val="fr-FR"/>
        </w:rPr>
      </w:pPr>
      <w:r w:rsidRPr="007E13D5">
        <w:rPr>
          <w:i/>
          <w:iCs/>
          <w:lang w:val="fr-FR"/>
        </w:rPr>
        <w:t>Paragraphe 6.1.</w:t>
      </w:r>
      <w:r>
        <w:rPr>
          <w:i/>
          <w:iCs/>
          <w:lang w:val="fr-FR"/>
        </w:rPr>
        <w:t>5</w:t>
      </w:r>
      <w:r>
        <w:rPr>
          <w:lang w:val="fr-FR"/>
        </w:rPr>
        <w:t>. lire</w:t>
      </w:r>
      <w:r w:rsidR="003D3896">
        <w:rPr>
          <w:lang w:val="fr-FR"/>
        </w:rPr>
        <w:t> :</w:t>
      </w:r>
    </w:p>
    <w:p w14:paraId="5AF28B3C" w14:textId="71EE2626" w:rsidR="0017389B" w:rsidRPr="007E13D5" w:rsidRDefault="0017389B" w:rsidP="0017389B">
      <w:pPr>
        <w:pStyle w:val="SingleTxtG"/>
        <w:ind w:left="2268" w:hanging="1134"/>
        <w:rPr>
          <w:bCs/>
          <w:lang w:val="fr-FR"/>
        </w:rPr>
      </w:pPr>
      <w:r>
        <w:rPr>
          <w:lang w:val="fr-FR"/>
        </w:rPr>
        <w:t>« </w:t>
      </w:r>
      <w:r>
        <w:rPr>
          <w:lang w:val="fr-FR"/>
        </w:rPr>
        <w:t>6.1.5</w:t>
      </w:r>
      <w:r>
        <w:rPr>
          <w:lang w:val="fr-FR"/>
        </w:rPr>
        <w:tab/>
      </w:r>
      <w:r>
        <w:rPr>
          <w:lang w:val="fr-FR"/>
        </w:rPr>
        <w:t>“</w:t>
      </w:r>
      <w:r w:rsidRPr="0017389B">
        <w:rPr>
          <w:i/>
          <w:iCs/>
          <w:lang w:val="fr-FR"/>
        </w:rPr>
        <w:t>Chauffage électrique</w:t>
      </w:r>
      <w:r>
        <w:rPr>
          <w:lang w:val="fr-FR"/>
        </w:rPr>
        <w:t>”</w:t>
      </w:r>
      <w:r>
        <w:rPr>
          <w:lang w:val="fr-FR"/>
        </w:rPr>
        <w:t>, un dispositif utilisant l’énergie électrique d’une source embarquée ou externe pour augmenter la température à l’intérieur du véhicule et/ou la température ressentie par les occupants du véhicule. Les dispositifs électriques qui sont installés en plus du système de chauffage principal et dont la fonction principale n’est pas de chauffer l’intérieur du véhicule ne sont pas considérés comme des chauffages électriques au titre du présent Règlement. Par exemple, les dispositifs électriques installés dans un composant aux seules fins de chauffage de ce composant ne sont pas considérés comme étant des chauffages électriques au titre du présent Règlement.</w:t>
      </w:r>
      <w:r>
        <w:rPr>
          <w:lang w:val="fr-FR"/>
        </w:rPr>
        <w:t> </w:t>
      </w:r>
      <w:r>
        <w:rPr>
          <w:lang w:val="fr-FR"/>
        </w:rPr>
        <w:t>».</w:t>
      </w:r>
    </w:p>
    <w:p w14:paraId="25D46087" w14:textId="3EA8B787" w:rsidR="0017389B" w:rsidRPr="007E13D5" w:rsidRDefault="0017389B" w:rsidP="0017389B">
      <w:pPr>
        <w:pStyle w:val="SingleTxtG"/>
        <w:keepNext/>
        <w:rPr>
          <w:rFonts w:eastAsia="Malgun Gothic"/>
          <w:bCs/>
          <w:color w:val="000000" w:themeColor="text1"/>
          <w:sz w:val="22"/>
          <w:szCs w:val="22"/>
          <w:lang w:val="fr-FR"/>
        </w:rPr>
      </w:pPr>
      <w:r>
        <w:rPr>
          <w:i/>
          <w:iCs/>
          <w:lang w:val="fr-FR"/>
        </w:rPr>
        <w:t>Annexe 1, deuxième partie, appendice 1, section II</w:t>
      </w:r>
      <w:r>
        <w:rPr>
          <w:lang w:val="fr-FR"/>
        </w:rPr>
        <w:t>, lire</w:t>
      </w:r>
      <w:r>
        <w:rPr>
          <w:lang w:val="fr-FR"/>
        </w:rPr>
        <w:t> :</w:t>
      </w:r>
    </w:p>
    <w:p w14:paraId="5F87EBD0" w14:textId="77777777" w:rsidR="0017389B" w:rsidRPr="007E13D5" w:rsidRDefault="0017389B" w:rsidP="005F0A3C">
      <w:pPr>
        <w:pStyle w:val="SingleTxtG"/>
        <w:rPr>
          <w:rFonts w:eastAsia="Malgun Gothic"/>
          <w:bCs/>
          <w:color w:val="000000" w:themeColor="text1"/>
          <w:lang w:val="fr-FR"/>
        </w:rPr>
      </w:pPr>
      <w:r>
        <w:rPr>
          <w:lang w:val="fr-FR"/>
        </w:rPr>
        <w:t>« ...</w:t>
      </w:r>
    </w:p>
    <w:p w14:paraId="7C6E836B" w14:textId="78C93722" w:rsidR="0017389B" w:rsidRPr="007E13D5" w:rsidRDefault="0017389B" w:rsidP="0017389B">
      <w:pPr>
        <w:pStyle w:val="SingleTxtG"/>
        <w:ind w:left="2268" w:hanging="1134"/>
        <w:rPr>
          <w:rFonts w:eastAsia="Malgun Gothic"/>
          <w:bCs/>
          <w:color w:val="000000" w:themeColor="text1"/>
          <w:lang w:val="fr-FR"/>
        </w:rPr>
      </w:pPr>
      <w:r>
        <w:rPr>
          <w:lang w:val="fr-FR"/>
        </w:rPr>
        <w:t xml:space="preserve">10. </w:t>
      </w:r>
      <w:r>
        <w:rPr>
          <w:lang w:val="fr-FR"/>
        </w:rPr>
        <w:tab/>
        <w:t>Le véhicule est homologué conformément aux prescriptions de l’annexe</w:t>
      </w:r>
      <w:r w:rsidR="000116A5">
        <w:rPr>
          <w:lang w:val="fr-FR"/>
        </w:rPr>
        <w:t> </w:t>
      </w:r>
      <w:r>
        <w:rPr>
          <w:lang w:val="fr-FR"/>
        </w:rPr>
        <w:t>9 (ADR)</w:t>
      </w:r>
      <w:r w:rsidR="000116A5">
        <w:rPr>
          <w:lang w:val="fr-FR"/>
        </w:rPr>
        <w:t> :</w:t>
      </w:r>
      <w:r>
        <w:rPr>
          <w:lang w:val="fr-FR"/>
        </w:rPr>
        <w:t xml:space="preserve"> Oui/Non</w:t>
      </w:r>
      <w:r w:rsidRPr="009411B4">
        <w:rPr>
          <w:sz w:val="18"/>
          <w:szCs w:val="18"/>
          <w:vertAlign w:val="superscript"/>
          <w:lang w:val="fr-FR"/>
        </w:rPr>
        <w:t>2</w:t>
      </w:r>
      <w:r>
        <w:rPr>
          <w:lang w:val="fr-FR"/>
        </w:rPr>
        <w:t>.</w:t>
      </w:r>
    </w:p>
    <w:p w14:paraId="36B49F8D" w14:textId="75D25E55" w:rsidR="0017389B" w:rsidRPr="007E13D5" w:rsidRDefault="0017389B" w:rsidP="0017389B">
      <w:pPr>
        <w:pStyle w:val="SingleTxtG"/>
        <w:ind w:left="2268" w:hanging="1134"/>
        <w:rPr>
          <w:rFonts w:eastAsia="Malgun Gothic"/>
          <w:bCs/>
          <w:color w:val="000000" w:themeColor="text1"/>
          <w:lang w:val="fr-FR"/>
        </w:rPr>
      </w:pPr>
      <w:r>
        <w:rPr>
          <w:lang w:val="fr-FR"/>
        </w:rPr>
        <w:t xml:space="preserve">11. </w:t>
      </w:r>
      <w:r>
        <w:rPr>
          <w:lang w:val="fr-FR"/>
        </w:rPr>
        <w:tab/>
        <w:t>La température de surface dépasse les limites définies aux paragraphes</w:t>
      </w:r>
      <w:r w:rsidR="007050F5">
        <w:rPr>
          <w:lang w:val="fr-FR"/>
        </w:rPr>
        <w:t> </w:t>
      </w:r>
      <w:r>
        <w:rPr>
          <w:lang w:val="fr-FR"/>
        </w:rPr>
        <w:t>2.1 à</w:t>
      </w:r>
      <w:r w:rsidR="000116A5">
        <w:rPr>
          <w:lang w:val="fr-FR"/>
        </w:rPr>
        <w:t> </w:t>
      </w:r>
      <w:r>
        <w:rPr>
          <w:lang w:val="fr-FR"/>
        </w:rPr>
        <w:t>2.3 de l’annexe 5</w:t>
      </w:r>
      <w:r w:rsidR="000116A5">
        <w:rPr>
          <w:lang w:val="fr-FR"/>
        </w:rPr>
        <w:t> </w:t>
      </w:r>
      <w:r>
        <w:rPr>
          <w:lang w:val="fr-FR"/>
        </w:rPr>
        <w:t>: Oui/Non</w:t>
      </w:r>
      <w:r w:rsidR="007050F5">
        <w:rPr>
          <w:lang w:val="fr-FR"/>
        </w:rPr>
        <w:t>.</w:t>
      </w:r>
      <w:r w:rsidR="005F0A3C">
        <w:rPr>
          <w:lang w:val="fr-FR"/>
        </w:rPr>
        <w:t> </w:t>
      </w:r>
      <w:r>
        <w:rPr>
          <w:lang w:val="fr-FR"/>
        </w:rPr>
        <w:t>».</w:t>
      </w:r>
    </w:p>
    <w:p w14:paraId="4A59AB7B" w14:textId="3E6C6263" w:rsidR="0017389B" w:rsidRPr="007E13D5" w:rsidRDefault="0017389B" w:rsidP="005F0A3C">
      <w:pPr>
        <w:pStyle w:val="SingleTxtG"/>
        <w:keepNext/>
        <w:rPr>
          <w:bCs/>
          <w:i/>
          <w:iCs/>
          <w:color w:val="000000" w:themeColor="text1"/>
          <w:lang w:val="fr-FR"/>
        </w:rPr>
      </w:pPr>
      <w:r w:rsidRPr="007E13D5">
        <w:rPr>
          <w:i/>
          <w:iCs/>
          <w:lang w:val="fr-FR"/>
        </w:rPr>
        <w:t>Annexe 5, paragraphe 2</w:t>
      </w:r>
      <w:r>
        <w:rPr>
          <w:lang w:val="fr-FR"/>
        </w:rPr>
        <w:t>, lire</w:t>
      </w:r>
      <w:r w:rsidR="00165B40">
        <w:rPr>
          <w:lang w:val="fr-FR"/>
        </w:rPr>
        <w:t> :</w:t>
      </w:r>
    </w:p>
    <w:p w14:paraId="6D145D8E" w14:textId="77777777" w:rsidR="0017389B" w:rsidRPr="007E13D5" w:rsidRDefault="0017389B" w:rsidP="005F0A3C">
      <w:pPr>
        <w:pStyle w:val="SingleTxtG"/>
        <w:keepNext/>
        <w:ind w:left="2268" w:hanging="1134"/>
        <w:jc w:val="left"/>
        <w:rPr>
          <w:bCs/>
          <w:color w:val="000000" w:themeColor="text1"/>
          <w:lang w:val="fr-FR"/>
        </w:rPr>
      </w:pPr>
      <w:r>
        <w:rPr>
          <w:lang w:val="fr-FR"/>
        </w:rPr>
        <w:t>2.</w:t>
      </w:r>
      <w:r>
        <w:rPr>
          <w:lang w:val="fr-FR"/>
        </w:rPr>
        <w:tab/>
        <w:t>Température de surface</w:t>
      </w:r>
    </w:p>
    <w:p w14:paraId="4156028D" w14:textId="77777777" w:rsidR="0017389B" w:rsidRPr="007E13D5" w:rsidRDefault="0017389B" w:rsidP="005F0A3C">
      <w:pPr>
        <w:pStyle w:val="SingleTxtG"/>
        <w:ind w:left="2268"/>
        <w:rPr>
          <w:bCs/>
          <w:color w:val="000000" w:themeColor="text1"/>
          <w:lang w:val="fr-FR"/>
        </w:rPr>
      </w:pPr>
      <w:r>
        <w:rPr>
          <w:lang w:val="fr-FR"/>
        </w:rPr>
        <w:tab/>
        <w:t>La température de surface de toute pièce du système de chauffage susceptible d’entrer en contact avec l’un quelconque des occupants du véhicule pendant l’utilisation normale du véhicule sur route est mesurée à l’aide d’un thermomètre à contact. Aucune pièce ainsi contrôlée ne doit présenter une température dépassant les limites définies aux paragraphes ci-dessous à moins que le constructeur ne puisse apporter la preuve, au moment de l’homologation de type, que le concept de sécurité couvre des températures plus élevées et que le risque de brûlure auquel sont exposés les occupants du véhicule n’est pas plus important à ces températures qu’à celles énoncées ci-dessous. La démonstration et tous les documents l’accompagnant doivent être joints au procès-verbal d’essai. Pour les véhicules des catégories M</w:t>
      </w:r>
      <w:r>
        <w:rPr>
          <w:vertAlign w:val="subscript"/>
          <w:lang w:val="fr-FR"/>
        </w:rPr>
        <w:t>2</w:t>
      </w:r>
      <w:r>
        <w:rPr>
          <w:lang w:val="fr-FR"/>
        </w:rPr>
        <w:t xml:space="preserve"> et M</w:t>
      </w:r>
      <w:r>
        <w:rPr>
          <w:vertAlign w:val="subscript"/>
          <w:lang w:val="fr-FR"/>
        </w:rPr>
        <w:t>3</w:t>
      </w:r>
      <w:r>
        <w:rPr>
          <w:lang w:val="fr-FR"/>
        </w:rPr>
        <w:t>, la possibilité de dépasser les températures prescrites ne s’applique qu’au conducteur et aux passagers assis sur les sièges adjacents à ce dernier.</w:t>
      </w:r>
    </w:p>
    <w:p w14:paraId="1BACBFB4" w14:textId="543F66BE" w:rsidR="0017389B" w:rsidRPr="007E13D5" w:rsidRDefault="0017389B" w:rsidP="0017389B">
      <w:pPr>
        <w:pStyle w:val="SingleTxtG"/>
        <w:ind w:left="2268" w:hanging="1134"/>
        <w:rPr>
          <w:bCs/>
          <w:color w:val="000000" w:themeColor="text1"/>
          <w:lang w:val="fr-FR"/>
        </w:rPr>
      </w:pPr>
      <w:r>
        <w:rPr>
          <w:lang w:val="fr-FR"/>
        </w:rPr>
        <w:t>2.1</w:t>
      </w:r>
      <w:r>
        <w:rPr>
          <w:lang w:val="fr-FR"/>
        </w:rPr>
        <w:tab/>
        <w:t xml:space="preserve">La température de surface de toute pièce du système de chauffage susceptible d’entrer en contact avec le conducteur du véhicule </w:t>
      </w:r>
      <w:r w:rsidRPr="00D50FF7">
        <w:rPr>
          <w:lang w:val="fr-FR"/>
        </w:rPr>
        <w:t>pendant l</w:t>
      </w:r>
      <w:r>
        <w:rPr>
          <w:lang w:val="fr-FR"/>
        </w:rPr>
        <w:t>’</w:t>
      </w:r>
      <w:r w:rsidRPr="00D50FF7">
        <w:rPr>
          <w:lang w:val="fr-FR"/>
        </w:rPr>
        <w:t>utilisation normale du véhicule sur route</w:t>
      </w:r>
      <w:r>
        <w:rPr>
          <w:lang w:val="fr-FR"/>
        </w:rPr>
        <w:t xml:space="preserve"> ne doit pas dépasser 70</w:t>
      </w:r>
      <w:r w:rsidR="00C50CDB">
        <w:rPr>
          <w:lang w:val="fr-FR"/>
        </w:rPr>
        <w:t>° </w:t>
      </w:r>
      <w:r>
        <w:rPr>
          <w:lang w:val="fr-FR"/>
        </w:rPr>
        <w:t>C pour les métaux non revêtus et 80°</w:t>
      </w:r>
      <w:r w:rsidR="00C50CDB">
        <w:rPr>
          <w:lang w:val="fr-FR"/>
        </w:rPr>
        <w:t> </w:t>
      </w:r>
      <w:r>
        <w:rPr>
          <w:lang w:val="fr-FR"/>
        </w:rPr>
        <w:t>C pour les autres matériaux.</w:t>
      </w:r>
    </w:p>
    <w:p w14:paraId="4D43261F" w14:textId="3226230F" w:rsidR="0017389B" w:rsidRPr="007E13D5" w:rsidRDefault="0017389B" w:rsidP="0017389B">
      <w:pPr>
        <w:pStyle w:val="SingleTxtG"/>
        <w:ind w:left="2268" w:hanging="1134"/>
        <w:rPr>
          <w:bCs/>
          <w:color w:val="000000" w:themeColor="text1"/>
          <w:lang w:val="fr-FR"/>
        </w:rPr>
      </w:pPr>
      <w:r>
        <w:rPr>
          <w:lang w:val="fr-FR"/>
        </w:rPr>
        <w:t>2.2</w:t>
      </w:r>
      <w:r>
        <w:rPr>
          <w:lang w:val="fr-FR"/>
        </w:rPr>
        <w:tab/>
        <w:t>Pour les véhicules des catégories M</w:t>
      </w:r>
      <w:r w:rsidRPr="00C51839">
        <w:rPr>
          <w:vertAlign w:val="subscript"/>
          <w:lang w:val="fr-FR"/>
        </w:rPr>
        <w:t>1</w:t>
      </w:r>
      <w:r>
        <w:rPr>
          <w:lang w:val="fr-FR"/>
        </w:rPr>
        <w:t xml:space="preserve"> et N, la température de surface de toute pièce du système de chauffage susceptible d’entrer en contact avec des passagers assis </w:t>
      </w:r>
      <w:r w:rsidRPr="00D50FF7">
        <w:rPr>
          <w:lang w:val="fr-FR"/>
        </w:rPr>
        <w:t>pendant l</w:t>
      </w:r>
      <w:r>
        <w:rPr>
          <w:lang w:val="fr-FR"/>
        </w:rPr>
        <w:t>’</w:t>
      </w:r>
      <w:r w:rsidRPr="00D50FF7">
        <w:rPr>
          <w:lang w:val="fr-FR"/>
        </w:rPr>
        <w:t>utilisation normale du véhicule sur route</w:t>
      </w:r>
      <w:r>
        <w:rPr>
          <w:lang w:val="fr-FR"/>
        </w:rPr>
        <w:t>, à l’exception de la grille de sortie, ne doit pas dépasser 110°</w:t>
      </w:r>
      <w:r w:rsidR="009D032D">
        <w:rPr>
          <w:lang w:val="fr-FR"/>
        </w:rPr>
        <w:t> </w:t>
      </w:r>
      <w:r>
        <w:rPr>
          <w:lang w:val="fr-FR"/>
        </w:rPr>
        <w:t>C.</w:t>
      </w:r>
    </w:p>
    <w:p w14:paraId="0368981E" w14:textId="436B3F13" w:rsidR="00F9573C" w:rsidRDefault="0017389B" w:rsidP="0017389B">
      <w:pPr>
        <w:pStyle w:val="SingleTxtG"/>
        <w:ind w:left="2268" w:hanging="1134"/>
        <w:rPr>
          <w:lang w:val="fr-FR"/>
        </w:rPr>
      </w:pPr>
      <w:r>
        <w:rPr>
          <w:lang w:val="fr-FR"/>
        </w:rPr>
        <w:t>2.3</w:t>
      </w:r>
      <w:r>
        <w:rPr>
          <w:lang w:val="fr-FR"/>
        </w:rPr>
        <w:tab/>
        <w:t>Pour les véhicules des catégories M</w:t>
      </w:r>
      <w:r w:rsidRPr="00C51839">
        <w:rPr>
          <w:vertAlign w:val="subscript"/>
          <w:lang w:val="fr-FR"/>
        </w:rPr>
        <w:t>2</w:t>
      </w:r>
      <w:r>
        <w:rPr>
          <w:lang w:val="fr-FR"/>
        </w:rPr>
        <w:t xml:space="preserve"> et M</w:t>
      </w:r>
      <w:r w:rsidRPr="00C51839">
        <w:rPr>
          <w:vertAlign w:val="subscript"/>
          <w:lang w:val="fr-FR"/>
        </w:rPr>
        <w:t>3</w:t>
      </w:r>
      <w:r>
        <w:rPr>
          <w:lang w:val="fr-FR"/>
        </w:rPr>
        <w:t xml:space="preserve">, la température de surface de toute pièce du système de chauffage susceptible d’entrer en contact avec les passagers du véhicule </w:t>
      </w:r>
      <w:r w:rsidRPr="00D50FF7">
        <w:rPr>
          <w:lang w:val="fr-FR"/>
        </w:rPr>
        <w:t>pendant l</w:t>
      </w:r>
      <w:r>
        <w:rPr>
          <w:lang w:val="fr-FR"/>
        </w:rPr>
        <w:t>’</w:t>
      </w:r>
      <w:r w:rsidRPr="00D50FF7">
        <w:rPr>
          <w:lang w:val="fr-FR"/>
        </w:rPr>
        <w:t xml:space="preserve">utilisation normale du véhicule sur route </w:t>
      </w:r>
      <w:r>
        <w:rPr>
          <w:lang w:val="fr-FR"/>
        </w:rPr>
        <w:t>ne doit pas dépasser 70°</w:t>
      </w:r>
      <w:r w:rsidR="009D032D">
        <w:rPr>
          <w:lang w:val="fr-FR"/>
        </w:rPr>
        <w:t> </w:t>
      </w:r>
      <w:r>
        <w:rPr>
          <w:lang w:val="fr-FR"/>
        </w:rPr>
        <w:t>C pour les métaux non revêtus et 80°</w:t>
      </w:r>
      <w:r w:rsidR="009D032D">
        <w:rPr>
          <w:lang w:val="fr-FR"/>
        </w:rPr>
        <w:t> </w:t>
      </w:r>
      <w:r>
        <w:rPr>
          <w:lang w:val="fr-FR"/>
        </w:rPr>
        <w:t>C pour les autres matériaux.</w:t>
      </w:r>
      <w:r w:rsidR="009D032D">
        <w:rPr>
          <w:lang w:val="fr-FR"/>
        </w:rPr>
        <w:t> </w:t>
      </w:r>
      <w:r>
        <w:rPr>
          <w:lang w:val="fr-FR"/>
        </w:rPr>
        <w:t>».</w:t>
      </w:r>
    </w:p>
    <w:p w14:paraId="2B552206" w14:textId="33F1AC5B" w:rsidR="005F0A3C" w:rsidRPr="005F0A3C" w:rsidRDefault="005F0A3C" w:rsidP="005F0A3C">
      <w:pPr>
        <w:pStyle w:val="SingleTxtG"/>
        <w:spacing w:before="240" w:after="0"/>
        <w:jc w:val="center"/>
        <w:rPr>
          <w:u w:val="single"/>
        </w:rPr>
      </w:pPr>
      <w:r>
        <w:rPr>
          <w:u w:val="single"/>
        </w:rPr>
        <w:tab/>
      </w:r>
      <w:r>
        <w:rPr>
          <w:u w:val="single"/>
        </w:rPr>
        <w:tab/>
      </w:r>
      <w:r>
        <w:rPr>
          <w:u w:val="single"/>
        </w:rPr>
        <w:tab/>
      </w:r>
      <w:r>
        <w:rPr>
          <w:u w:val="single"/>
        </w:rPr>
        <w:tab/>
      </w:r>
    </w:p>
    <w:sectPr w:rsidR="005F0A3C" w:rsidRPr="005F0A3C" w:rsidSect="00C919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C9E3" w14:textId="77777777" w:rsidR="00284AB5" w:rsidRDefault="00284AB5" w:rsidP="00F95C08">
      <w:pPr>
        <w:spacing w:line="240" w:lineRule="auto"/>
      </w:pPr>
    </w:p>
  </w:endnote>
  <w:endnote w:type="continuationSeparator" w:id="0">
    <w:p w14:paraId="78D87554" w14:textId="77777777" w:rsidR="00284AB5" w:rsidRPr="00AC3823" w:rsidRDefault="00284AB5" w:rsidP="00AC3823">
      <w:pPr>
        <w:pStyle w:val="Pieddepage"/>
      </w:pPr>
    </w:p>
  </w:endnote>
  <w:endnote w:type="continuationNotice" w:id="1">
    <w:p w14:paraId="3840FFDE" w14:textId="77777777" w:rsidR="00284AB5" w:rsidRDefault="00284A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CF7D" w14:textId="1122FA54" w:rsidR="00C91978" w:rsidRPr="00C91978" w:rsidRDefault="00C91978" w:rsidP="00C91978">
    <w:pPr>
      <w:pStyle w:val="Pieddepage"/>
      <w:tabs>
        <w:tab w:val="right" w:pos="9638"/>
      </w:tabs>
    </w:pPr>
    <w:r w:rsidRPr="00C91978">
      <w:rPr>
        <w:b/>
        <w:sz w:val="18"/>
      </w:rPr>
      <w:fldChar w:fldCharType="begin"/>
    </w:r>
    <w:r w:rsidRPr="00C91978">
      <w:rPr>
        <w:b/>
        <w:sz w:val="18"/>
      </w:rPr>
      <w:instrText xml:space="preserve"> PAGE  \* MERGEFORMAT </w:instrText>
    </w:r>
    <w:r w:rsidRPr="00C91978">
      <w:rPr>
        <w:b/>
        <w:sz w:val="18"/>
      </w:rPr>
      <w:fldChar w:fldCharType="separate"/>
    </w:r>
    <w:r w:rsidRPr="00C91978">
      <w:rPr>
        <w:b/>
        <w:noProof/>
        <w:sz w:val="18"/>
      </w:rPr>
      <w:t>2</w:t>
    </w:r>
    <w:r w:rsidRPr="00C91978">
      <w:rPr>
        <w:b/>
        <w:sz w:val="18"/>
      </w:rPr>
      <w:fldChar w:fldCharType="end"/>
    </w:r>
    <w:r>
      <w:rPr>
        <w:b/>
        <w:sz w:val="18"/>
      </w:rPr>
      <w:tab/>
    </w:r>
    <w:r>
      <w:t>GE.23-16434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4AEE" w14:textId="22F498D7" w:rsidR="00C91978" w:rsidRPr="00C91978" w:rsidRDefault="00C91978" w:rsidP="00C91978">
    <w:pPr>
      <w:pStyle w:val="Pieddepage"/>
      <w:tabs>
        <w:tab w:val="right" w:pos="9638"/>
      </w:tabs>
      <w:rPr>
        <w:b/>
        <w:sz w:val="18"/>
      </w:rPr>
    </w:pPr>
    <w:r>
      <w:t>GE.23-16434</w:t>
    </w:r>
    <w:r>
      <w:tab/>
    </w:r>
    <w:r w:rsidRPr="00C91978">
      <w:rPr>
        <w:b/>
        <w:sz w:val="18"/>
      </w:rPr>
      <w:fldChar w:fldCharType="begin"/>
    </w:r>
    <w:r w:rsidRPr="00C91978">
      <w:rPr>
        <w:b/>
        <w:sz w:val="18"/>
      </w:rPr>
      <w:instrText xml:space="preserve"> PAGE  \* MERGEFORMAT </w:instrText>
    </w:r>
    <w:r w:rsidRPr="00C91978">
      <w:rPr>
        <w:b/>
        <w:sz w:val="18"/>
      </w:rPr>
      <w:fldChar w:fldCharType="separate"/>
    </w:r>
    <w:r w:rsidRPr="00C91978">
      <w:rPr>
        <w:b/>
        <w:noProof/>
        <w:sz w:val="18"/>
      </w:rPr>
      <w:t>3</w:t>
    </w:r>
    <w:r w:rsidRPr="00C919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437D" w14:textId="7B2E8AE3" w:rsidR="007F20FA" w:rsidRPr="00C91978" w:rsidRDefault="00C91978" w:rsidP="00C9197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8DA78A5" wp14:editId="4558B9D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23-16434  (F)</w:t>
    </w:r>
    <w:r>
      <w:rPr>
        <w:noProof/>
        <w:sz w:val="20"/>
      </w:rPr>
      <w:drawing>
        <wp:anchor distT="0" distB="0" distL="114300" distR="114300" simplePos="0" relativeHeight="251660288" behindDoc="0" locked="0" layoutInCell="1" allowOverlap="1" wp14:anchorId="59CB870F" wp14:editId="3A653B7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220923    250923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81DE" w14:textId="77777777" w:rsidR="00284AB5" w:rsidRPr="00AC3823" w:rsidRDefault="00284AB5" w:rsidP="00AC3823">
      <w:pPr>
        <w:pStyle w:val="Pieddepage"/>
        <w:tabs>
          <w:tab w:val="right" w:pos="2155"/>
        </w:tabs>
        <w:spacing w:after="80" w:line="240" w:lineRule="atLeast"/>
        <w:ind w:left="680"/>
        <w:rPr>
          <w:u w:val="single"/>
        </w:rPr>
      </w:pPr>
      <w:r>
        <w:rPr>
          <w:u w:val="single"/>
        </w:rPr>
        <w:tab/>
      </w:r>
    </w:p>
  </w:footnote>
  <w:footnote w:type="continuationSeparator" w:id="0">
    <w:p w14:paraId="784A9ADC" w14:textId="77777777" w:rsidR="00284AB5" w:rsidRPr="00AC3823" w:rsidRDefault="00284AB5" w:rsidP="00AC3823">
      <w:pPr>
        <w:pStyle w:val="Pieddepage"/>
        <w:tabs>
          <w:tab w:val="right" w:pos="2155"/>
        </w:tabs>
        <w:spacing w:after="80" w:line="240" w:lineRule="atLeast"/>
        <w:ind w:left="680"/>
        <w:rPr>
          <w:u w:val="single"/>
        </w:rPr>
      </w:pPr>
      <w:r>
        <w:rPr>
          <w:u w:val="single"/>
        </w:rPr>
        <w:tab/>
      </w:r>
    </w:p>
  </w:footnote>
  <w:footnote w:type="continuationNotice" w:id="1">
    <w:p w14:paraId="374A3CDC" w14:textId="77777777" w:rsidR="00284AB5" w:rsidRPr="00AC3823" w:rsidRDefault="00284AB5">
      <w:pPr>
        <w:spacing w:line="240" w:lineRule="auto"/>
        <w:rPr>
          <w:sz w:val="2"/>
          <w:szCs w:val="2"/>
        </w:rPr>
      </w:pPr>
    </w:p>
  </w:footnote>
  <w:footnote w:id="2">
    <w:p w14:paraId="09C954B2" w14:textId="387539DF" w:rsidR="00AE4058" w:rsidRDefault="00AE4058">
      <w:pPr>
        <w:pStyle w:val="Notedebasdepage"/>
        <w:rPr>
          <w:lang w:val="fr-FR"/>
        </w:rPr>
      </w:pPr>
      <w:r>
        <w:rPr>
          <w:rStyle w:val="Appelnotedebasdep"/>
        </w:rPr>
        <w:tab/>
      </w:r>
      <w:r w:rsidRPr="00AE4058">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0439F79B" w14:textId="77777777" w:rsidR="00AE4058" w:rsidRPr="00AE4058" w:rsidRDefault="00AE405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82E0" w14:textId="3FB11D24" w:rsidR="00C91978" w:rsidRPr="00C91978" w:rsidRDefault="00C91978">
    <w:pPr>
      <w:pStyle w:val="En-tte"/>
    </w:pPr>
    <w:fldSimple w:instr=" TITLE  \* MERGEFORMAT ">
      <w:r>
        <w:t>ECE/TRANS/WP.29/2023/100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5E7E" w14:textId="2B2AEAB9" w:rsidR="00C91978" w:rsidRPr="00C91978" w:rsidRDefault="00C91978" w:rsidP="00C91978">
    <w:pPr>
      <w:pStyle w:val="En-tte"/>
      <w:jc w:val="right"/>
    </w:pPr>
    <w:fldSimple w:instr=" TITLE  \* MERGEFORMAT ">
      <w:r>
        <w:t>ECE/TRANS/WP.29/2023/100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46560149">
    <w:abstractNumId w:val="12"/>
  </w:num>
  <w:num w:numId="2" w16cid:durableId="689338365">
    <w:abstractNumId w:val="11"/>
  </w:num>
  <w:num w:numId="3" w16cid:durableId="2145195805">
    <w:abstractNumId w:val="10"/>
  </w:num>
  <w:num w:numId="4" w16cid:durableId="934440605">
    <w:abstractNumId w:val="8"/>
  </w:num>
  <w:num w:numId="5" w16cid:durableId="1509829335">
    <w:abstractNumId w:val="3"/>
  </w:num>
  <w:num w:numId="6" w16cid:durableId="1871528878">
    <w:abstractNumId w:val="2"/>
  </w:num>
  <w:num w:numId="7" w16cid:durableId="1252354422">
    <w:abstractNumId w:val="1"/>
  </w:num>
  <w:num w:numId="8" w16cid:durableId="292752152">
    <w:abstractNumId w:val="0"/>
  </w:num>
  <w:num w:numId="9" w16cid:durableId="857164116">
    <w:abstractNumId w:val="9"/>
  </w:num>
  <w:num w:numId="10" w16cid:durableId="465197354">
    <w:abstractNumId w:val="7"/>
  </w:num>
  <w:num w:numId="11" w16cid:durableId="1178541044">
    <w:abstractNumId w:val="6"/>
  </w:num>
  <w:num w:numId="12" w16cid:durableId="1549877517">
    <w:abstractNumId w:val="5"/>
  </w:num>
  <w:num w:numId="13" w16cid:durableId="1563636811">
    <w:abstractNumId w:val="4"/>
  </w:num>
  <w:num w:numId="14" w16cid:durableId="1693847430">
    <w:abstractNumId w:val="12"/>
  </w:num>
  <w:num w:numId="15" w16cid:durableId="1183006875">
    <w:abstractNumId w:val="11"/>
  </w:num>
  <w:num w:numId="16" w16cid:durableId="2044472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B5"/>
    <w:rsid w:val="000116A5"/>
    <w:rsid w:val="00017F94"/>
    <w:rsid w:val="00023842"/>
    <w:rsid w:val="000334F9"/>
    <w:rsid w:val="00045FEB"/>
    <w:rsid w:val="0007796D"/>
    <w:rsid w:val="000B7790"/>
    <w:rsid w:val="00111F2F"/>
    <w:rsid w:val="0014365E"/>
    <w:rsid w:val="00143C66"/>
    <w:rsid w:val="00165B40"/>
    <w:rsid w:val="0017389B"/>
    <w:rsid w:val="00176178"/>
    <w:rsid w:val="001F525A"/>
    <w:rsid w:val="00201148"/>
    <w:rsid w:val="00223272"/>
    <w:rsid w:val="0024779E"/>
    <w:rsid w:val="00257168"/>
    <w:rsid w:val="002744B8"/>
    <w:rsid w:val="002832AC"/>
    <w:rsid w:val="00284AB5"/>
    <w:rsid w:val="002D7C93"/>
    <w:rsid w:val="00305801"/>
    <w:rsid w:val="003916DE"/>
    <w:rsid w:val="003D3896"/>
    <w:rsid w:val="00421996"/>
    <w:rsid w:val="00441C3B"/>
    <w:rsid w:val="00446FE5"/>
    <w:rsid w:val="00452396"/>
    <w:rsid w:val="00477EB2"/>
    <w:rsid w:val="004837D8"/>
    <w:rsid w:val="004E2EED"/>
    <w:rsid w:val="004E468C"/>
    <w:rsid w:val="005505B7"/>
    <w:rsid w:val="0056602A"/>
    <w:rsid w:val="00573BE5"/>
    <w:rsid w:val="00586ED3"/>
    <w:rsid w:val="00596AA9"/>
    <w:rsid w:val="005F0A3C"/>
    <w:rsid w:val="007050F5"/>
    <w:rsid w:val="0071601D"/>
    <w:rsid w:val="007A62E6"/>
    <w:rsid w:val="007F20FA"/>
    <w:rsid w:val="0080684C"/>
    <w:rsid w:val="00871C75"/>
    <w:rsid w:val="008776DC"/>
    <w:rsid w:val="008D5EF9"/>
    <w:rsid w:val="009411B4"/>
    <w:rsid w:val="009446C0"/>
    <w:rsid w:val="009705C8"/>
    <w:rsid w:val="009C1CF4"/>
    <w:rsid w:val="009D032D"/>
    <w:rsid w:val="009F6B74"/>
    <w:rsid w:val="00A3029F"/>
    <w:rsid w:val="00A30353"/>
    <w:rsid w:val="00AC3823"/>
    <w:rsid w:val="00AE323C"/>
    <w:rsid w:val="00AE4058"/>
    <w:rsid w:val="00AF0CB5"/>
    <w:rsid w:val="00B00181"/>
    <w:rsid w:val="00B00B0D"/>
    <w:rsid w:val="00B45F2E"/>
    <w:rsid w:val="00B765F7"/>
    <w:rsid w:val="00B77993"/>
    <w:rsid w:val="00BA0CA9"/>
    <w:rsid w:val="00BB03CE"/>
    <w:rsid w:val="00C02897"/>
    <w:rsid w:val="00C50CDB"/>
    <w:rsid w:val="00C91978"/>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BCCD5"/>
  <w15:docId w15:val="{A16B3699-75A1-4C96-B646-E69795C8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7389B"/>
    <w:rPr>
      <w:rFonts w:ascii="Times New Roman" w:eastAsiaTheme="minorHAnsi" w:hAnsi="Times New Roman" w:cs="Times New Roman"/>
      <w:sz w:val="20"/>
      <w:szCs w:val="20"/>
      <w:lang w:eastAsia="en-US"/>
    </w:rPr>
  </w:style>
  <w:style w:type="character" w:customStyle="1" w:styleId="HChGChar">
    <w:name w:val="_ H _Ch_G Char"/>
    <w:link w:val="HChG"/>
    <w:locked/>
    <w:rsid w:val="0017389B"/>
    <w:rPr>
      <w:rFonts w:ascii="Times New Roman" w:eastAsiaTheme="minorHAnsi" w:hAnsi="Times New Roman" w:cs="Times New Roman"/>
      <w:b/>
      <w:sz w:val="28"/>
      <w:szCs w:val="20"/>
      <w:lang w:eastAsia="en-US"/>
    </w:rPr>
  </w:style>
  <w:style w:type="character" w:customStyle="1" w:styleId="H1GChar">
    <w:name w:val="_ H_1_G Char"/>
    <w:link w:val="H1G"/>
    <w:locked/>
    <w:rsid w:val="0017389B"/>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529</Words>
  <Characters>3707</Characters>
  <Application>Microsoft Office Word</Application>
  <DocSecurity>0</DocSecurity>
  <Lines>308</Lines>
  <Paragraphs>169</Paragraphs>
  <ScaleCrop>false</ScaleCrop>
  <HeadingPairs>
    <vt:vector size="2" baseType="variant">
      <vt:variant>
        <vt:lpstr>Titre</vt:lpstr>
      </vt:variant>
      <vt:variant>
        <vt:i4>1</vt:i4>
      </vt:variant>
    </vt:vector>
  </HeadingPairs>
  <TitlesOfParts>
    <vt:vector size="1" baseType="lpstr">
      <vt:lpstr>ECE/TRANS/WP.29/2023/100</vt:lpstr>
    </vt:vector>
  </TitlesOfParts>
  <Company>DCM</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ECE/TRANS/WP.29/2023/100</dc:title>
  <dc:subject/>
  <dc:creator>Nathalie VITTOZ</dc:creator>
  <cp:keywords/>
  <cp:lastModifiedBy>Nathalie Vittoz</cp:lastModifiedBy>
  <cp:revision>2</cp:revision>
  <cp:lastPrinted>2014-05-14T10:59:00Z</cp:lastPrinted>
  <dcterms:created xsi:type="dcterms:W3CDTF">2023-09-25T15:08:00Z</dcterms:created>
  <dcterms:modified xsi:type="dcterms:W3CDTF">2023-09-25T15:08:00Z</dcterms:modified>
</cp:coreProperties>
</file>