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3FED4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55C9DD" w14:textId="77777777" w:rsidR="002D5AAC" w:rsidRDefault="002D5AAC" w:rsidP="000D63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2E094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263158" w14:textId="3AD9B01F" w:rsidR="002D5AAC" w:rsidRDefault="000D63E1" w:rsidP="000D63E1">
            <w:pPr>
              <w:jc w:val="right"/>
            </w:pPr>
            <w:r w:rsidRPr="000D63E1">
              <w:rPr>
                <w:sz w:val="40"/>
              </w:rPr>
              <w:t>ECE</w:t>
            </w:r>
            <w:r>
              <w:t>/TRANS/WP.29/GRE/2023/28</w:t>
            </w:r>
          </w:p>
        </w:tc>
      </w:tr>
      <w:tr w:rsidR="002D5AAC" w14:paraId="2CBF39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7EEE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F629B0" wp14:editId="32AA12D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801F9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008F6C" w14:textId="77777777" w:rsidR="002D5AAC" w:rsidRDefault="000D63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CDC81D" w14:textId="77777777" w:rsidR="000D63E1" w:rsidRDefault="000D63E1" w:rsidP="000D63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2023</w:t>
            </w:r>
          </w:p>
          <w:p w14:paraId="604EA3BB" w14:textId="77777777" w:rsidR="000D63E1" w:rsidRDefault="000D63E1" w:rsidP="000D63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49228C" w14:textId="57D2D1C8" w:rsidR="000D63E1" w:rsidRPr="008D53B6" w:rsidRDefault="000D63E1" w:rsidP="000D63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04A87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551C0F" w14:textId="77777777" w:rsidR="000D63E1" w:rsidRPr="000D63E1" w:rsidRDefault="000D63E1" w:rsidP="000D63E1">
      <w:pPr>
        <w:spacing w:before="120" w:after="120"/>
        <w:rPr>
          <w:sz w:val="28"/>
          <w:szCs w:val="28"/>
        </w:rPr>
      </w:pPr>
      <w:r w:rsidRPr="000D63E1">
        <w:rPr>
          <w:sz w:val="28"/>
          <w:szCs w:val="28"/>
        </w:rPr>
        <w:t>Комитет по внутреннему транспорту</w:t>
      </w:r>
    </w:p>
    <w:p w14:paraId="0622418C" w14:textId="2F3B2739" w:rsidR="000D63E1" w:rsidRPr="000D63E1" w:rsidRDefault="000D63E1" w:rsidP="000D63E1">
      <w:pPr>
        <w:spacing w:before="120" w:after="120"/>
        <w:rPr>
          <w:b/>
          <w:bCs/>
          <w:sz w:val="24"/>
          <w:szCs w:val="24"/>
        </w:rPr>
      </w:pPr>
      <w:r w:rsidRPr="000D63E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D63E1">
        <w:rPr>
          <w:b/>
          <w:bCs/>
          <w:sz w:val="24"/>
          <w:szCs w:val="24"/>
        </w:rPr>
        <w:t>в области транспортных средств</w:t>
      </w:r>
    </w:p>
    <w:p w14:paraId="6B394005" w14:textId="0B5C7493" w:rsidR="000D63E1" w:rsidRPr="000D63E1" w:rsidRDefault="000D63E1" w:rsidP="000D63E1">
      <w:pPr>
        <w:spacing w:before="120" w:after="120"/>
        <w:rPr>
          <w:b/>
          <w:bCs/>
        </w:rPr>
      </w:pPr>
      <w:r w:rsidRPr="000D63E1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0D63E1">
        <w:rPr>
          <w:b/>
          <w:bCs/>
        </w:rPr>
        <w:t>и световой сигнализации</w:t>
      </w:r>
    </w:p>
    <w:p w14:paraId="0E59E772" w14:textId="77777777" w:rsidR="000D63E1" w:rsidRPr="000D63E1" w:rsidRDefault="000D63E1" w:rsidP="000D63E1">
      <w:pPr>
        <w:rPr>
          <w:b/>
        </w:rPr>
      </w:pPr>
      <w:r w:rsidRPr="000D63E1">
        <w:rPr>
          <w:b/>
          <w:bCs/>
        </w:rPr>
        <w:t>Восемьдесят девятая сессия</w:t>
      </w:r>
    </w:p>
    <w:p w14:paraId="2A10BBFC" w14:textId="77777777" w:rsidR="000D63E1" w:rsidRPr="000D63E1" w:rsidRDefault="000D63E1" w:rsidP="000D63E1">
      <w:r w:rsidRPr="000D63E1">
        <w:t>Женева, 24–27 октября 2023 года</w:t>
      </w:r>
    </w:p>
    <w:p w14:paraId="5F087588" w14:textId="77777777" w:rsidR="000D63E1" w:rsidRPr="000D63E1" w:rsidRDefault="000D63E1" w:rsidP="000D63E1">
      <w:pPr>
        <w:rPr>
          <w:bCs/>
        </w:rPr>
      </w:pPr>
      <w:r w:rsidRPr="000D63E1">
        <w:t>Пункт 6 а) предварительной повестки дня</w:t>
      </w:r>
    </w:p>
    <w:p w14:paraId="0E28B4F5" w14:textId="1C34A06B" w:rsidR="000D63E1" w:rsidRPr="000D63E1" w:rsidRDefault="000D63E1" w:rsidP="000D63E1">
      <w:pPr>
        <w:rPr>
          <w:b/>
          <w:bCs/>
        </w:rPr>
      </w:pPr>
      <w:r w:rsidRPr="000D63E1">
        <w:rPr>
          <w:b/>
          <w:bCs/>
        </w:rPr>
        <w:t>Правила ООН, касающиеся установки:</w:t>
      </w:r>
      <w:r w:rsidRPr="000D63E1">
        <w:t xml:space="preserve"> </w:t>
      </w:r>
      <w:r>
        <w:br/>
      </w:r>
      <w:r w:rsidRPr="000D63E1">
        <w:rPr>
          <w:b/>
          <w:bCs/>
        </w:rPr>
        <w:t xml:space="preserve">Правила № 48 ООН (установка устройств освещения </w:t>
      </w:r>
      <w:r>
        <w:rPr>
          <w:b/>
          <w:bCs/>
        </w:rPr>
        <w:br/>
      </w:r>
      <w:r w:rsidRPr="000D63E1">
        <w:rPr>
          <w:b/>
          <w:bCs/>
        </w:rPr>
        <w:t>и световой сигнализации)</w:t>
      </w:r>
    </w:p>
    <w:p w14:paraId="4AB2C3B1" w14:textId="1E401142" w:rsidR="000D63E1" w:rsidRPr="000D63E1" w:rsidRDefault="000D63E1" w:rsidP="000D63E1">
      <w:pPr>
        <w:pStyle w:val="HChG"/>
      </w:pPr>
      <w:r w:rsidRPr="000D63E1">
        <w:tab/>
      </w:r>
      <w:r>
        <w:tab/>
      </w:r>
      <w:r w:rsidRPr="000D63E1">
        <w:t>Пересмотренное предложение по переходным положениям поправок серии 09 к Правилам № 48 ООН</w:t>
      </w:r>
    </w:p>
    <w:p w14:paraId="470A28FA" w14:textId="76227619" w:rsidR="000D63E1" w:rsidRPr="000D63E1" w:rsidRDefault="000D63E1" w:rsidP="000D63E1">
      <w:pPr>
        <w:pStyle w:val="H1G"/>
      </w:pPr>
      <w:r w:rsidRPr="000D63E1">
        <w:tab/>
      </w:r>
      <w:r w:rsidRPr="000D63E1">
        <w:tab/>
        <w:t>Представлено экспертом от Международной организации предприятий автомобильной промышленности</w:t>
      </w:r>
      <w:r w:rsidRPr="000D63E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BD2EA31" w14:textId="119E1F0C" w:rsidR="000D63E1" w:rsidRPr="000D63E1" w:rsidRDefault="000D63E1" w:rsidP="000D63E1">
      <w:pPr>
        <w:pStyle w:val="SingleTxtG"/>
        <w:rPr>
          <w:bCs/>
        </w:rPr>
      </w:pPr>
      <w:r>
        <w:tab/>
      </w:r>
      <w:r w:rsidRPr="000D63E1">
        <w:t>Воспроизведенный ниже текст был подготовлен экспертами от Международной организации предприятий автомобильной промышленности (МОПАП) в целях включения переходных положений с более продолжительным сроком для тяжелых коммерческих транспортных средств и прицепов, охваченных Правилами № 48 ООН. Настоящий документ представляет собой пересмотренный вариант документа ECE/TRANS/WP.29/GRE/2020/8/Rev.3 с изменениями, указанными в неофициальном документе GRE-88-22. Предлагаемые изменения к существующему тексту выделены жирным шрифтом в случае новых элементов или зачеркиванием в случае исключенных элементов.</w:t>
      </w:r>
    </w:p>
    <w:p w14:paraId="4AFAEA67" w14:textId="77777777" w:rsidR="000D63E1" w:rsidRDefault="000D63E1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156F3ECF" w14:textId="7A19CDD9" w:rsidR="000D63E1" w:rsidRPr="000D63E1" w:rsidRDefault="000D63E1" w:rsidP="000D63E1">
      <w:pPr>
        <w:pStyle w:val="HChG"/>
      </w:pPr>
      <w:r w:rsidRPr="000D63E1">
        <w:lastRenderedPageBreak/>
        <w:tab/>
        <w:t>I.</w:t>
      </w:r>
      <w:r w:rsidRPr="000D63E1">
        <w:tab/>
        <w:t xml:space="preserve">Предложение </w:t>
      </w:r>
    </w:p>
    <w:p w14:paraId="67C938FA" w14:textId="77777777" w:rsidR="000D63E1" w:rsidRPr="000D63E1" w:rsidRDefault="000D63E1" w:rsidP="000D63E1">
      <w:pPr>
        <w:pStyle w:val="SingleTxtG"/>
      </w:pPr>
      <w:r w:rsidRPr="000D63E1">
        <w:rPr>
          <w:i/>
          <w:iCs/>
        </w:rPr>
        <w:t>Пункт 12.8</w:t>
      </w:r>
      <w:r w:rsidRPr="000D63E1">
        <w:t xml:space="preserve"> изменить следующим образом:</w:t>
      </w:r>
    </w:p>
    <w:p w14:paraId="2D9BCE5A" w14:textId="3BD95A04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>
        <w:t>«</w:t>
      </w:r>
      <w:r w:rsidRPr="000D63E1">
        <w:t>12.8</w:t>
      </w:r>
      <w:r w:rsidRPr="000D63E1">
        <w:tab/>
        <w:t>Переходные положения, применимые к поправкам серии [09]</w:t>
      </w:r>
    </w:p>
    <w:p w14:paraId="4D480C04" w14:textId="09B91953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12.8.1</w:t>
      </w:r>
      <w:r w:rsidRPr="000D63E1">
        <w:tab/>
        <w:t>Начиная с официальной даты вступления в силу поправок серии [09]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поправками серии</w:t>
      </w:r>
      <w:r>
        <w:t> </w:t>
      </w:r>
      <w:r w:rsidRPr="000D63E1">
        <w:t>[09].</w:t>
      </w:r>
    </w:p>
    <w:p w14:paraId="6001CD91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12.8.2</w:t>
      </w:r>
      <w:r w:rsidRPr="000D63E1">
        <w:tab/>
        <w:t>В случае транспортных средств категорий M, N</w:t>
      </w:r>
      <w:r w:rsidRPr="000D63E1">
        <w:rPr>
          <w:vertAlign w:val="subscript"/>
        </w:rPr>
        <w:t>1</w:t>
      </w:r>
      <w:r w:rsidRPr="000D63E1">
        <w:t>, O</w:t>
      </w:r>
      <w:r w:rsidRPr="000D63E1">
        <w:rPr>
          <w:vertAlign w:val="subscript"/>
        </w:rPr>
        <w:t>1</w:t>
      </w:r>
      <w:r w:rsidRPr="000D63E1">
        <w:t xml:space="preserve"> и O</w:t>
      </w:r>
      <w:r w:rsidRPr="000D63E1">
        <w:rPr>
          <w:vertAlign w:val="subscript"/>
        </w:rPr>
        <w:t>2</w:t>
      </w:r>
      <w:bookmarkStart w:id="0" w:name="_Hlk133417572"/>
      <w:bookmarkEnd w:id="0"/>
    </w:p>
    <w:p w14:paraId="403824E5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12.8.2.1</w:t>
      </w:r>
      <w:r w:rsidRPr="000D63E1">
        <w:tab/>
        <w:t>Начиная с 1 сентября [2027] года Договаривающиеся стороны, применяющие настоящие Правила, не обязаны признавать официальные утверждения типа, предоставленные впервые на основании поправок предшествующих серий после 1 сентября [2027] года.</w:t>
      </w:r>
      <w:bookmarkStart w:id="1" w:name="_Hlk132268311"/>
      <w:bookmarkEnd w:id="1"/>
    </w:p>
    <w:p w14:paraId="44EC2A46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12.8.2.2</w:t>
      </w:r>
      <w:r w:rsidRPr="000D63E1">
        <w:tab/>
        <w:t>До 1 сентября [2030] года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1 сентября [2027] года.</w:t>
      </w:r>
    </w:p>
    <w:p w14:paraId="331EAB67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12.8.2.3</w:t>
      </w:r>
      <w:r w:rsidRPr="000D63E1">
        <w:tab/>
        <w:t>Начиная с 1 сентября [2030] года Договаривающиеся стороны, применяющие настоящие Правила, не обязаны признавать официальные утверждения типа и их распространения, предоставленные на основании предшествующих серий поправок к настоящим Правилам.</w:t>
      </w:r>
    </w:p>
    <w:p w14:paraId="3AA25E71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12.8.3</w:t>
      </w:r>
      <w:r w:rsidRPr="000D63E1">
        <w:tab/>
        <w:t>В случае транспортных средств категорий N</w:t>
      </w:r>
      <w:r w:rsidRPr="000D63E1">
        <w:rPr>
          <w:vertAlign w:val="subscript"/>
        </w:rPr>
        <w:t>2</w:t>
      </w:r>
      <w:r w:rsidRPr="000D63E1">
        <w:t>, N</w:t>
      </w:r>
      <w:r w:rsidRPr="000D63E1">
        <w:rPr>
          <w:vertAlign w:val="subscript"/>
        </w:rPr>
        <w:t>3</w:t>
      </w:r>
      <w:r w:rsidRPr="000D63E1">
        <w:t>, O</w:t>
      </w:r>
      <w:r w:rsidRPr="000D63E1">
        <w:rPr>
          <w:vertAlign w:val="subscript"/>
        </w:rPr>
        <w:t>3</w:t>
      </w:r>
      <w:r w:rsidRPr="000D63E1">
        <w:t xml:space="preserve"> и O</w:t>
      </w:r>
      <w:r w:rsidRPr="000D63E1">
        <w:rPr>
          <w:vertAlign w:val="subscript"/>
        </w:rPr>
        <w:t>4</w:t>
      </w:r>
    </w:p>
    <w:p w14:paraId="020DEE98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12.8.3.1</w:t>
      </w:r>
      <w:r w:rsidRPr="000D63E1">
        <w:tab/>
        <w:t>Начиная с 1 сентября [2028] года Договаривающиеся стороны, применяющие настоящие Правила, не обязаны признавать официальные утверждения типа, предоставленные впервые на основании поправок предшествующих серий после 1 сентября [2028] года.</w:t>
      </w:r>
    </w:p>
    <w:p w14:paraId="6B86F304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12.8.3.2</w:t>
      </w:r>
      <w:r w:rsidRPr="000D63E1">
        <w:tab/>
        <w:t>До 1 сентября [203</w:t>
      </w:r>
      <w:r w:rsidRPr="000D63E1">
        <w:rPr>
          <w:strike/>
        </w:rPr>
        <w:t>1</w:t>
      </w:r>
      <w:r w:rsidRPr="000D63E1">
        <w:rPr>
          <w:b/>
          <w:bCs/>
        </w:rPr>
        <w:t>2</w:t>
      </w:r>
      <w:r w:rsidRPr="000D63E1">
        <w:t>] года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1 сентября [2028] года.</w:t>
      </w:r>
    </w:p>
    <w:p w14:paraId="3325CA55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12.8.3.3</w:t>
      </w:r>
      <w:r w:rsidRPr="000D63E1">
        <w:tab/>
        <w:t>Начиная с 1 сентября [203</w:t>
      </w:r>
      <w:r w:rsidRPr="000D63E1">
        <w:rPr>
          <w:strike/>
        </w:rPr>
        <w:t>1</w:t>
      </w:r>
      <w:r w:rsidRPr="000D63E1">
        <w:rPr>
          <w:b/>
          <w:bCs/>
        </w:rPr>
        <w:t>2</w:t>
      </w:r>
      <w:r w:rsidRPr="000D63E1">
        <w:t>] года Договаривающиеся стороны, применяющие настоящие Правила, не обязаны признавать официальные утверждения типа и их распространения, предоставленные на основании предшествующих серий поправок к настоящим Правилам.</w:t>
      </w:r>
    </w:p>
    <w:p w14:paraId="4BCFDC3F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0D63E1">
        <w:t>12.8.4</w:t>
      </w:r>
      <w:r w:rsidRPr="000D63E1">
        <w:tab/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предшествующих серий поправок к настоящим Правилам.</w:t>
      </w:r>
    </w:p>
    <w:p w14:paraId="00412DAA" w14:textId="22308869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12.8.5</w:t>
      </w:r>
      <w:r w:rsidRPr="000D63E1">
        <w:tab/>
        <w:t>Независимо от предписаний пунктов 12.8.2.3 и 12.8.3.3 Договаривающиеся стороны, применяющие настоящие Правила, продолжают признавать официальные утверждения типа, предоставленные на основании предшествующих серий поправок к настоящим Правилам в отношении типов транспортных средств, которые не затронуты изменениями, внесенными на основании поправок серии</w:t>
      </w:r>
      <w:r>
        <w:t> </w:t>
      </w:r>
      <w:r w:rsidRPr="000D63E1">
        <w:t>[09].</w:t>
      </w:r>
    </w:p>
    <w:p w14:paraId="5F817EE4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t>12.8.6</w:t>
      </w:r>
      <w:r w:rsidRPr="000D63E1">
        <w:tab/>
        <w:t>Договаривающиеся стороны, применяющие настоящие Правила, могут предоставлять официальные утверждения типа на основании любой предшествующей серии поправок к настоящим Правилам.</w:t>
      </w:r>
    </w:p>
    <w:p w14:paraId="05EDCA26" w14:textId="77777777" w:rsidR="000D63E1" w:rsidRPr="000D63E1" w:rsidRDefault="000D63E1" w:rsidP="000D63E1">
      <w:pPr>
        <w:pStyle w:val="SingleTxtG"/>
        <w:tabs>
          <w:tab w:val="clear" w:pos="1701"/>
        </w:tabs>
        <w:ind w:left="2268" w:hanging="1134"/>
        <w:rPr>
          <w:bCs/>
        </w:rPr>
      </w:pPr>
      <w:r w:rsidRPr="000D63E1">
        <w:lastRenderedPageBreak/>
        <w:t>12.8.7</w:t>
      </w:r>
      <w:r w:rsidRPr="000D63E1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 ООН».</w:t>
      </w:r>
    </w:p>
    <w:p w14:paraId="0E70C316" w14:textId="3AEDD5BF" w:rsidR="000D63E1" w:rsidRPr="000D63E1" w:rsidRDefault="000D63E1" w:rsidP="000D63E1">
      <w:pPr>
        <w:pStyle w:val="HChG"/>
        <w:rPr>
          <w:lang w:val="en-GB"/>
        </w:rPr>
      </w:pPr>
      <w:r>
        <w:tab/>
      </w:r>
      <w:r w:rsidRPr="000D63E1">
        <w:t>II.</w:t>
      </w:r>
      <w:r w:rsidRPr="000D63E1">
        <w:tab/>
        <w:t>Обоснование</w:t>
      </w:r>
    </w:p>
    <w:p w14:paraId="16F8EE13" w14:textId="77777777" w:rsidR="000D63E1" w:rsidRPr="000D63E1" w:rsidRDefault="000D63E1" w:rsidP="000D63E1">
      <w:pPr>
        <w:pStyle w:val="SingleTxtG"/>
      </w:pPr>
      <w:r w:rsidRPr="000D63E1">
        <w:t>1.</w:t>
      </w:r>
      <w:r w:rsidRPr="000D63E1">
        <w:tab/>
        <w:t>Что касается только транспортных средств категорий N</w:t>
      </w:r>
      <w:r w:rsidRPr="000D63E1">
        <w:rPr>
          <w:vertAlign w:val="subscript"/>
        </w:rPr>
        <w:t>2</w:t>
      </w:r>
      <w:r w:rsidRPr="000D63E1">
        <w:t>, N</w:t>
      </w:r>
      <w:r w:rsidRPr="000D63E1">
        <w:rPr>
          <w:vertAlign w:val="subscript"/>
        </w:rPr>
        <w:t>3</w:t>
      </w:r>
      <w:r w:rsidRPr="000D63E1">
        <w:t>, O</w:t>
      </w:r>
      <w:r w:rsidRPr="000D63E1">
        <w:rPr>
          <w:vertAlign w:val="subscript"/>
        </w:rPr>
        <w:t>3</w:t>
      </w:r>
      <w:r w:rsidRPr="000D63E1">
        <w:t xml:space="preserve"> и O</w:t>
      </w:r>
      <w:r w:rsidRPr="000D63E1">
        <w:rPr>
          <w:vertAlign w:val="subscript"/>
        </w:rPr>
        <w:t>4</w:t>
      </w:r>
      <w:r w:rsidRPr="000D63E1">
        <w:t>, МОПАП просил бы предоставить дополнительный год для внедрения поправок серии 09 к Правилам № 48 ООН применительно к дате регистрации всех транспортных средств. Это создаст четырехлетний зазор между датой регистрации новых типов транспортных средств и датой всех регистраций.</w:t>
      </w:r>
    </w:p>
    <w:p w14:paraId="21B7D4A7" w14:textId="2BA173BC" w:rsidR="000D63E1" w:rsidRPr="000D63E1" w:rsidRDefault="000D63E1" w:rsidP="000D63E1">
      <w:pPr>
        <w:pStyle w:val="SingleTxtG"/>
      </w:pPr>
      <w:r w:rsidRPr="000D63E1">
        <w:t>2.</w:t>
      </w:r>
      <w:r w:rsidRPr="000D63E1">
        <w:tab/>
        <w:t>У тяжелых коммерческих транспортных средств и прицепов срок службы платформы транспортного средства весьма велик и зачастую достигает 20 лет. Даже после внедрения новой платформы прежняя платформа в течение некоторого времени остается в производстве для продажи на конкретных рынках и применительно к специальным конфигурациям автомобилей, в частности речь идет о специальных кабинах для пожарных машин, оборонных транспортных средствах и т.</w:t>
      </w:r>
      <w:r>
        <w:t> </w:t>
      </w:r>
      <w:r w:rsidRPr="000D63E1">
        <w:t>д. Такие специальные транспортные средства не претерпевают обновлений ввиду небольшого объема их выпуска, и там продолжают использоваться прежняя электрическая архитектура и системы подвески.</w:t>
      </w:r>
    </w:p>
    <w:p w14:paraId="2465DBD1" w14:textId="77777777" w:rsidR="000D63E1" w:rsidRPr="000D63E1" w:rsidRDefault="000D63E1" w:rsidP="000D63E1">
      <w:pPr>
        <w:pStyle w:val="SingleTxtG"/>
      </w:pPr>
      <w:r w:rsidRPr="000D63E1">
        <w:t>3.</w:t>
      </w:r>
      <w:r w:rsidRPr="000D63E1">
        <w:tab/>
        <w:t>Поправки серии 09 предписывают автоматическое выравнивание фар, а для некоторых конфигураций транспортных средств установка этой функции невозможна без существенной переделки всей подвески. Для регистраций существующих типов транспортных средств это потребует изменения конструкции огней, которые были официальных утверждены в соответствии с предыдущей серией поправок. Такие изменения потребуют больших ресурсов, что отнимает ресурсы, необходимые для развития электрификации, автоматизации и систем активной безопасности.</w:t>
      </w:r>
    </w:p>
    <w:p w14:paraId="72AEAFE6" w14:textId="6BE1C292" w:rsidR="000D63E1" w:rsidRPr="000D63E1" w:rsidRDefault="000D63E1" w:rsidP="000D63E1">
      <w:pPr>
        <w:pStyle w:val="SingleTxtG"/>
      </w:pPr>
      <w:r w:rsidRPr="000D63E1">
        <w:t>4.</w:t>
      </w:r>
      <w:r w:rsidRPr="000D63E1">
        <w:tab/>
        <w:t>Отрасль должна получить достаточное количество времени, с тем чтобы суметь отреагировать на изменения в законодательстве, и</w:t>
      </w:r>
      <w:r>
        <w:t>,</w:t>
      </w:r>
      <w:r w:rsidRPr="000D63E1">
        <w:t xml:space="preserve"> хотя вопрос о выравнивании фар обсуждается уже на протяжении нескольких лет, пока еще не просматривается окончательная диаграмма направленности и переход на новые устройства и не запланирована работа группы заинтересованных экспертов.  </w:t>
      </w:r>
    </w:p>
    <w:p w14:paraId="329EF5A1" w14:textId="77777777" w:rsidR="000D63E1" w:rsidRPr="000D63E1" w:rsidRDefault="000D63E1" w:rsidP="000D63E1">
      <w:pPr>
        <w:pStyle w:val="SingleTxtG"/>
      </w:pPr>
      <w:r w:rsidRPr="000D63E1">
        <w:t>5.</w:t>
      </w:r>
      <w:r w:rsidRPr="000D63E1">
        <w:tab/>
        <w:t>Для транспортных средств категорий M, N</w:t>
      </w:r>
      <w:r w:rsidRPr="000D63E1">
        <w:rPr>
          <w:vertAlign w:val="subscript"/>
        </w:rPr>
        <w:t>1</w:t>
      </w:r>
      <w:r w:rsidRPr="000D63E1">
        <w:t>, O</w:t>
      </w:r>
      <w:r w:rsidRPr="000D63E1">
        <w:rPr>
          <w:vertAlign w:val="subscript"/>
        </w:rPr>
        <w:t>1</w:t>
      </w:r>
      <w:r w:rsidRPr="000D63E1">
        <w:t xml:space="preserve"> и O</w:t>
      </w:r>
      <w:r w:rsidRPr="000D63E1">
        <w:rPr>
          <w:vertAlign w:val="subscript"/>
        </w:rPr>
        <w:t>2</w:t>
      </w:r>
      <w:r w:rsidRPr="000D63E1">
        <w:t xml:space="preserve"> существующий трехлетний зазор с датой всех регистраций остается без изменений.</w:t>
      </w:r>
    </w:p>
    <w:p w14:paraId="7B565F2B" w14:textId="2793C931" w:rsidR="00E12C5F" w:rsidRPr="000D63E1" w:rsidRDefault="000D63E1" w:rsidP="000D63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D63E1" w:rsidSect="000D63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091D" w14:textId="77777777" w:rsidR="00473AAE" w:rsidRPr="00A312BC" w:rsidRDefault="00473AAE" w:rsidP="00A312BC"/>
  </w:endnote>
  <w:endnote w:type="continuationSeparator" w:id="0">
    <w:p w14:paraId="2527B5F5" w14:textId="77777777" w:rsidR="00473AAE" w:rsidRPr="00A312BC" w:rsidRDefault="00473A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C94" w14:textId="70809E14" w:rsidR="000D63E1" w:rsidRPr="000D63E1" w:rsidRDefault="000D63E1">
    <w:pPr>
      <w:pStyle w:val="a8"/>
    </w:pPr>
    <w:r w:rsidRPr="000D63E1">
      <w:rPr>
        <w:b/>
        <w:sz w:val="18"/>
      </w:rPr>
      <w:fldChar w:fldCharType="begin"/>
    </w:r>
    <w:r w:rsidRPr="000D63E1">
      <w:rPr>
        <w:b/>
        <w:sz w:val="18"/>
      </w:rPr>
      <w:instrText xml:space="preserve"> PAGE  \* MERGEFORMAT </w:instrText>
    </w:r>
    <w:r w:rsidRPr="000D63E1">
      <w:rPr>
        <w:b/>
        <w:sz w:val="18"/>
      </w:rPr>
      <w:fldChar w:fldCharType="separate"/>
    </w:r>
    <w:r w:rsidRPr="000D63E1">
      <w:rPr>
        <w:b/>
        <w:noProof/>
        <w:sz w:val="18"/>
      </w:rPr>
      <w:t>2</w:t>
    </w:r>
    <w:r w:rsidRPr="000D63E1">
      <w:rPr>
        <w:b/>
        <w:sz w:val="18"/>
      </w:rPr>
      <w:fldChar w:fldCharType="end"/>
    </w:r>
    <w:r>
      <w:rPr>
        <w:b/>
        <w:sz w:val="18"/>
      </w:rPr>
      <w:tab/>
    </w:r>
    <w:r>
      <w:t>GE.23-15406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4C76" w14:textId="6F6DBE3D" w:rsidR="000D63E1" w:rsidRPr="000D63E1" w:rsidRDefault="000D63E1" w:rsidP="000D63E1">
    <w:pPr>
      <w:pStyle w:val="a8"/>
      <w:tabs>
        <w:tab w:val="clear" w:pos="9639"/>
        <w:tab w:val="right" w:pos="9638"/>
      </w:tabs>
      <w:rPr>
        <w:b/>
        <w:sz w:val="18"/>
      </w:rPr>
    </w:pPr>
    <w:r>
      <w:t>GE.23-15406</w:t>
    </w:r>
    <w:r>
      <w:tab/>
    </w:r>
    <w:r w:rsidRPr="000D63E1">
      <w:rPr>
        <w:b/>
        <w:sz w:val="18"/>
      </w:rPr>
      <w:fldChar w:fldCharType="begin"/>
    </w:r>
    <w:r w:rsidRPr="000D63E1">
      <w:rPr>
        <w:b/>
        <w:sz w:val="18"/>
      </w:rPr>
      <w:instrText xml:space="preserve"> PAGE  \* MERGEFORMAT </w:instrText>
    </w:r>
    <w:r w:rsidRPr="000D63E1">
      <w:rPr>
        <w:b/>
        <w:sz w:val="18"/>
      </w:rPr>
      <w:fldChar w:fldCharType="separate"/>
    </w:r>
    <w:r w:rsidRPr="000D63E1">
      <w:rPr>
        <w:b/>
        <w:noProof/>
        <w:sz w:val="18"/>
      </w:rPr>
      <w:t>3</w:t>
    </w:r>
    <w:r w:rsidRPr="000D63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641F" w14:textId="0E797D75" w:rsidR="00042B72" w:rsidRPr="000D63E1" w:rsidRDefault="000D63E1" w:rsidP="000D63E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D39A1E" wp14:editId="0539F48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23-15406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B3B22A" wp14:editId="2A4D128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lang w:val="en-US"/>
      </w:rPr>
      <w:t>230823   240823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7E87" w14:textId="77777777" w:rsidR="00473AAE" w:rsidRPr="001075E9" w:rsidRDefault="00473A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2A7D3F" w14:textId="77777777" w:rsidR="00473AAE" w:rsidRDefault="00473A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198A2E" w14:textId="1573204B" w:rsidR="000D63E1" w:rsidRPr="000D63E1" w:rsidRDefault="000D63E1">
      <w:pPr>
        <w:pStyle w:val="ad"/>
        <w:rPr>
          <w:sz w:val="20"/>
          <w:lang w:val="en-US"/>
        </w:rPr>
      </w:pPr>
      <w:r>
        <w:tab/>
      </w:r>
      <w:r w:rsidRPr="000D63E1">
        <w:rPr>
          <w:rStyle w:val="aa"/>
          <w:sz w:val="20"/>
          <w:vertAlign w:val="baseline"/>
        </w:rPr>
        <w:t>*</w:t>
      </w:r>
      <w:r w:rsidRPr="000D63E1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DFFD" w14:textId="59302C25" w:rsidR="000D63E1" w:rsidRPr="000D63E1" w:rsidRDefault="000D63E1">
    <w:pPr>
      <w:pStyle w:val="a5"/>
    </w:pPr>
    <w:fldSimple w:instr=" TITLE  \* MERGEFORMAT ">
      <w:r w:rsidR="008E54B0">
        <w:t>ECE/TRANS/WP.29/GRE/2023/28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C5AC" w14:textId="1AA20FD6" w:rsidR="000D63E1" w:rsidRPr="000D63E1" w:rsidRDefault="000D63E1" w:rsidP="000D63E1">
    <w:pPr>
      <w:pStyle w:val="a5"/>
      <w:jc w:val="right"/>
    </w:pPr>
    <w:fldSimple w:instr=" TITLE  \* MERGEFORMAT ">
      <w:r w:rsidR="008E54B0">
        <w:t>ECE/TRANS/WP.29/GRE/2023/28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AE"/>
    <w:rsid w:val="00033EE1"/>
    <w:rsid w:val="00042B72"/>
    <w:rsid w:val="000558BD"/>
    <w:rsid w:val="000B57E7"/>
    <w:rsid w:val="000B6373"/>
    <w:rsid w:val="000D63E1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3AAE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54B0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46D1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1247"/>
  <w15:docId w15:val="{CCAAAC25-5882-455C-A80F-17D18FD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B6411-0E4E-4F9F-B80A-9AA1AB44B00C}"/>
</file>

<file path=customXml/itemProps2.xml><?xml version="1.0" encoding="utf-8"?>
<ds:datastoreItem xmlns:ds="http://schemas.openxmlformats.org/officeDocument/2006/customXml" ds:itemID="{81519C6A-2D51-4A0C-9004-1EF80E85C8F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791</Words>
  <Characters>5640</Characters>
  <Application>Microsoft Office Word</Application>
  <DocSecurity>0</DocSecurity>
  <Lines>120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ECE/TRANS/WP.29/GRE/2023/28</dc:title>
  <dc:subject/>
  <dc:creator>Larisa MAYKOVSKAYA</dc:creator>
  <cp:keywords/>
  <cp:lastModifiedBy>Larisa MAYKOVSKAYA</cp:lastModifiedBy>
  <cp:revision>3</cp:revision>
  <cp:lastPrinted>2023-08-24T08:43:00Z</cp:lastPrinted>
  <dcterms:created xsi:type="dcterms:W3CDTF">2023-08-24T08:43:00Z</dcterms:created>
  <dcterms:modified xsi:type="dcterms:W3CDTF">2023-08-24T08:43:00Z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