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703DC23A" w:rsidR="003F1AB4" w:rsidRPr="00B7744C" w:rsidRDefault="003F1AB4" w:rsidP="003F1AB4">
            <w:pPr>
              <w:jc w:val="right"/>
            </w:pPr>
            <w:r w:rsidRPr="00B7744C">
              <w:rPr>
                <w:sz w:val="40"/>
              </w:rPr>
              <w:t>ECE</w:t>
            </w:r>
            <w:r w:rsidRPr="00B7744C">
              <w:t>/TRANS/WP.29/GRE/202</w:t>
            </w:r>
            <w:r w:rsidR="0002472C" w:rsidRPr="00B7744C">
              <w:t>3</w:t>
            </w:r>
            <w:r w:rsidRPr="00B7744C">
              <w:t>/</w:t>
            </w:r>
            <w:r w:rsidR="00B7744C" w:rsidRPr="00B7744C">
              <w:t>21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B7744C" w:rsidRDefault="003F1AB4" w:rsidP="003F1AB4">
            <w:pPr>
              <w:spacing w:before="240" w:line="240" w:lineRule="exact"/>
            </w:pPr>
            <w:r w:rsidRPr="00B7744C">
              <w:t>Distr.: General</w:t>
            </w:r>
          </w:p>
          <w:p w14:paraId="2ACA1E89" w14:textId="680782AB" w:rsidR="000A0737" w:rsidRPr="00B7744C" w:rsidRDefault="000F57C2" w:rsidP="000A0737">
            <w:pPr>
              <w:spacing w:line="240" w:lineRule="exact"/>
            </w:pPr>
            <w:r>
              <w:t>8</w:t>
            </w:r>
            <w:r w:rsidR="000A0737" w:rsidRPr="00B7744C">
              <w:t xml:space="preserve"> </w:t>
            </w:r>
            <w:r w:rsidR="00C055AB" w:rsidRPr="00B7744C">
              <w:t>August</w:t>
            </w:r>
            <w:r w:rsidR="000A0737" w:rsidRPr="00B7744C">
              <w:t xml:space="preserve"> 2023</w:t>
            </w:r>
          </w:p>
          <w:p w14:paraId="5FF26AE7" w14:textId="77777777" w:rsidR="003F1AB4" w:rsidRPr="00B7744C" w:rsidRDefault="003F1AB4" w:rsidP="003F1AB4">
            <w:pPr>
              <w:spacing w:line="240" w:lineRule="exact"/>
            </w:pPr>
          </w:p>
          <w:p w14:paraId="71FBFBB4" w14:textId="0CC13DCC" w:rsidR="000A0737" w:rsidRPr="00B7744C" w:rsidRDefault="003F1AB4" w:rsidP="003427A2">
            <w:pPr>
              <w:spacing w:line="240" w:lineRule="exact"/>
            </w:pPr>
            <w:r w:rsidRPr="00B7744C">
              <w:t>Original: English</w:t>
            </w:r>
          </w:p>
        </w:tc>
      </w:tr>
    </w:tbl>
    <w:p w14:paraId="32D3E06F" w14:textId="394FCE03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15CBE644" w14:textId="043D9B11" w:rsidR="000A0737" w:rsidRPr="00F61414" w:rsidRDefault="000A0737" w:rsidP="000A0737">
      <w:pPr>
        <w:ind w:right="1134"/>
        <w:rPr>
          <w:b/>
        </w:rPr>
      </w:pPr>
      <w:r w:rsidRPr="00F61414">
        <w:rPr>
          <w:b/>
        </w:rPr>
        <w:t>Eighty-</w:t>
      </w:r>
      <w:r w:rsidR="00C055AB">
        <w:rPr>
          <w:b/>
        </w:rPr>
        <w:t>nin</w:t>
      </w:r>
      <w:r>
        <w:rPr>
          <w:b/>
        </w:rPr>
        <w:t>th</w:t>
      </w:r>
      <w:r w:rsidRPr="00F61414">
        <w:rPr>
          <w:b/>
        </w:rPr>
        <w:t xml:space="preserve"> session</w:t>
      </w:r>
    </w:p>
    <w:p w14:paraId="4A4D8D9A" w14:textId="67A97291" w:rsidR="000A0737" w:rsidRPr="00F61414" w:rsidRDefault="000A0737" w:rsidP="000A0737">
      <w:pPr>
        <w:ind w:right="1134"/>
      </w:pPr>
      <w:r w:rsidRPr="00F61414">
        <w:t xml:space="preserve">Geneva, </w:t>
      </w:r>
      <w:r>
        <w:t>2</w:t>
      </w:r>
      <w:r w:rsidR="00C055AB">
        <w:t>4</w:t>
      </w:r>
      <w:r>
        <w:t>-2</w:t>
      </w:r>
      <w:r w:rsidR="00C055AB">
        <w:t>7</w:t>
      </w:r>
      <w:r>
        <w:t xml:space="preserve"> </w:t>
      </w:r>
      <w:r w:rsidR="00C055AB">
        <w:t>October</w:t>
      </w:r>
      <w:r>
        <w:t xml:space="preserve"> </w:t>
      </w:r>
      <w:r w:rsidRPr="00F61414">
        <w:t>202</w:t>
      </w:r>
      <w:r>
        <w:t>3</w:t>
      </w:r>
    </w:p>
    <w:p w14:paraId="1C3E310D" w14:textId="4DC39C2D" w:rsidR="000A0737" w:rsidRPr="00F61414" w:rsidRDefault="000A0737" w:rsidP="000A0737">
      <w:pPr>
        <w:ind w:right="1134"/>
        <w:rPr>
          <w:bCs/>
        </w:rPr>
      </w:pPr>
      <w:r w:rsidRPr="00B7744C">
        <w:rPr>
          <w:bCs/>
        </w:rPr>
        <w:t xml:space="preserve">Item </w:t>
      </w:r>
      <w:r w:rsidR="00B7744C" w:rsidRPr="00B7744C">
        <w:rPr>
          <w:bCs/>
        </w:rPr>
        <w:t xml:space="preserve">7 (b) </w:t>
      </w:r>
      <w:r w:rsidRPr="00B7744C">
        <w:rPr>
          <w:bCs/>
        </w:rPr>
        <w:t>of the provisional agenda</w:t>
      </w:r>
    </w:p>
    <w:p w14:paraId="6D3D162D" w14:textId="1F83DE04" w:rsidR="00B11C3C" w:rsidRPr="009E297C" w:rsidRDefault="00B11C3C" w:rsidP="000A0737">
      <w:pPr>
        <w:ind w:right="1467"/>
        <w:rPr>
          <w:b/>
          <w:bCs/>
          <w:lang w:val="en-US"/>
        </w:rPr>
      </w:pPr>
      <w:r w:rsidRPr="009E297C">
        <w:rPr>
          <w:b/>
          <w:bCs/>
          <w:lang w:val="en-US"/>
        </w:rPr>
        <w:t>Device UN Regulations:</w:t>
      </w:r>
    </w:p>
    <w:p w14:paraId="18EC8CFA" w14:textId="23496B4F" w:rsidR="000A0737" w:rsidRPr="009E297C" w:rsidRDefault="00330090" w:rsidP="000A0737">
      <w:pPr>
        <w:ind w:right="1467"/>
        <w:rPr>
          <w:b/>
          <w:bCs/>
          <w:lang w:val="en-US"/>
        </w:rPr>
      </w:pPr>
      <w:r w:rsidRPr="009E297C">
        <w:rPr>
          <w:b/>
          <w:bCs/>
          <w:lang w:val="en-US"/>
        </w:rPr>
        <w:t xml:space="preserve">UN Regulation No. </w:t>
      </w:r>
      <w:r w:rsidR="00C055AB" w:rsidRPr="009E297C">
        <w:rPr>
          <w:b/>
          <w:bCs/>
          <w:lang w:val="en-US"/>
        </w:rPr>
        <w:t>1</w:t>
      </w:r>
      <w:r w:rsidR="00731769" w:rsidRPr="009E297C">
        <w:rPr>
          <w:b/>
          <w:bCs/>
          <w:lang w:val="en-US"/>
        </w:rPr>
        <w:t>50</w:t>
      </w:r>
      <w:r w:rsidRPr="009E297C">
        <w:rPr>
          <w:b/>
          <w:bCs/>
          <w:lang w:val="en-US"/>
        </w:rPr>
        <w:t xml:space="preserve"> (</w:t>
      </w:r>
      <w:r w:rsidR="00731769" w:rsidRPr="009E297C">
        <w:rPr>
          <w:b/>
          <w:bCs/>
          <w:lang w:val="en-US"/>
        </w:rPr>
        <w:t>Retro-</w:t>
      </w:r>
      <w:r w:rsidR="00B11C3C" w:rsidRPr="009E297C">
        <w:rPr>
          <w:b/>
          <w:bCs/>
          <w:lang w:val="en-US"/>
        </w:rPr>
        <w:t>R</w:t>
      </w:r>
      <w:r w:rsidR="00731769" w:rsidRPr="009E297C">
        <w:rPr>
          <w:b/>
          <w:bCs/>
          <w:lang w:val="en-US"/>
        </w:rPr>
        <w:t xml:space="preserve">eflective </w:t>
      </w:r>
      <w:r w:rsidR="00B11C3C" w:rsidRPr="009E297C">
        <w:rPr>
          <w:b/>
          <w:bCs/>
          <w:lang w:val="en-US"/>
        </w:rPr>
        <w:t>D</w:t>
      </w:r>
      <w:r w:rsidR="00731769" w:rsidRPr="009E297C">
        <w:rPr>
          <w:b/>
          <w:bCs/>
          <w:lang w:val="en-US"/>
        </w:rPr>
        <w:t>evices</w:t>
      </w:r>
      <w:r w:rsidRPr="009E297C">
        <w:rPr>
          <w:b/>
          <w:bCs/>
          <w:lang w:val="en-US"/>
        </w:rPr>
        <w:t>)</w:t>
      </w:r>
    </w:p>
    <w:p w14:paraId="1BE1B729" w14:textId="5FA09BCC" w:rsidR="00732AD2" w:rsidRPr="00525E6C" w:rsidRDefault="00732AD2" w:rsidP="003F1AB4">
      <w:pPr>
        <w:pStyle w:val="HChG"/>
      </w:pPr>
      <w:r w:rsidRPr="009E297C">
        <w:rPr>
          <w:lang w:val="en-US"/>
        </w:rPr>
        <w:tab/>
      </w:r>
      <w:r w:rsidRPr="009E297C">
        <w:rPr>
          <w:lang w:val="en-US"/>
        </w:rPr>
        <w:tab/>
      </w:r>
      <w:r w:rsidR="00330090">
        <w:t xml:space="preserve">Proposal for a Supplement to the </w:t>
      </w:r>
      <w:r w:rsidR="00E66D37">
        <w:t>01 series of amendments to UN Regulation No. 1</w:t>
      </w:r>
      <w:r w:rsidR="00731769">
        <w:t>50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7476F730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with the aim </w:t>
      </w:r>
      <w:bookmarkStart w:id="0" w:name="_Hlk141093795"/>
      <w:r w:rsidR="00330090" w:rsidRPr="006F522D">
        <w:t xml:space="preserve">to </w:t>
      </w:r>
      <w:r w:rsidR="004246D5" w:rsidRPr="004246D5">
        <w:t xml:space="preserve">align </w:t>
      </w:r>
      <w:r w:rsidR="00314D95" w:rsidRPr="00314D95">
        <w:t xml:space="preserve">the procedure to follow in case of a surface reflection </w:t>
      </w:r>
      <w:r w:rsidR="004246D5" w:rsidRPr="004246D5">
        <w:t xml:space="preserve">for </w:t>
      </w:r>
      <w:r w:rsidR="00DC63BA" w:rsidRPr="00DC63BA">
        <w:t xml:space="preserve">both coefficient of luminous intensity (CIL) measurement and colour measurement. </w:t>
      </w:r>
      <w:bookmarkEnd w:id="0"/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0ACCDB5" w14:textId="13037E9F" w:rsidR="009265AA" w:rsidRPr="00CB28A9" w:rsidRDefault="009265AA" w:rsidP="00CB28A9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7C901A1A" w14:textId="77777777" w:rsidR="004F07B6" w:rsidRPr="0076471B" w:rsidRDefault="004F07B6" w:rsidP="004F07B6">
      <w:pPr>
        <w:spacing w:after="120"/>
        <w:ind w:left="2268" w:right="1395" w:hanging="1134"/>
        <w:jc w:val="both"/>
        <w:rPr>
          <w:rFonts w:eastAsia="Calibri"/>
          <w:u w:val="single"/>
        </w:rPr>
      </w:pPr>
      <w:r w:rsidRPr="00B16EF6">
        <w:rPr>
          <w:rFonts w:eastAsia="Calibri"/>
          <w:i/>
        </w:rPr>
        <w:t>Paragraph 4.2.1.2</w:t>
      </w:r>
      <w:r>
        <w:rPr>
          <w:rFonts w:eastAsia="Calibri"/>
          <w:i/>
        </w:rPr>
        <w:t>.,</w:t>
      </w:r>
      <w:r w:rsidRPr="00B16EF6">
        <w:rPr>
          <w:rFonts w:eastAsia="Calibri"/>
          <w:i/>
        </w:rPr>
        <w:t xml:space="preserve"> </w:t>
      </w:r>
      <w:r w:rsidRPr="00B16EF6">
        <w:rPr>
          <w:rFonts w:eastAsia="Calibri"/>
        </w:rPr>
        <w:t>amend to read</w:t>
      </w:r>
      <w:r w:rsidRPr="0076471B">
        <w:rPr>
          <w:rFonts w:eastAsia="Calibri"/>
        </w:rPr>
        <w:t>:</w:t>
      </w:r>
    </w:p>
    <w:p w14:paraId="3F464417" w14:textId="77777777" w:rsidR="004F07B6" w:rsidRPr="004F07B6" w:rsidRDefault="004F07B6" w:rsidP="004F07B6">
      <w:pPr>
        <w:widowControl w:val="0"/>
        <w:spacing w:after="120"/>
        <w:ind w:left="2268" w:right="1395" w:hanging="1134"/>
        <w:jc w:val="both"/>
        <w:rPr>
          <w:b/>
          <w:bCs/>
        </w:rPr>
      </w:pPr>
      <w:r>
        <w:t>“</w:t>
      </w:r>
      <w:r w:rsidRPr="00C7692E">
        <w:t>4.2</w:t>
      </w:r>
      <w:r w:rsidRPr="00C011F6">
        <w:t>.</w:t>
      </w:r>
      <w:r w:rsidRPr="00C011F6">
        <w:rPr>
          <w:bCs/>
        </w:rPr>
        <w:t>1.2.</w:t>
      </w:r>
      <w:r w:rsidRPr="00C011F6">
        <w:rPr>
          <w:bCs/>
        </w:rPr>
        <w:tab/>
        <w:t xml:space="preserve">For </w:t>
      </w:r>
      <w:r w:rsidRPr="00C011F6">
        <w:t>testing</w:t>
      </w:r>
      <w:r w:rsidRPr="00C011F6">
        <w:rPr>
          <w:bCs/>
        </w:rPr>
        <w:t xml:space="preserve"> the colour of the retro-reflective device, the</w:t>
      </w:r>
      <w:r w:rsidRPr="00C011F6">
        <w:t xml:space="preserve"> device</w:t>
      </w:r>
      <w:r w:rsidRPr="00C011F6">
        <w:rPr>
          <w:bCs/>
        </w:rPr>
        <w:t xml:space="preserve"> shall be illuminated by CIE Standard </w:t>
      </w:r>
      <w:proofErr w:type="spellStart"/>
      <w:r w:rsidRPr="00C011F6">
        <w:rPr>
          <w:bCs/>
        </w:rPr>
        <w:t>Illuminant</w:t>
      </w:r>
      <w:proofErr w:type="spellEnd"/>
      <w:r w:rsidRPr="00C011F6">
        <w:rPr>
          <w:bCs/>
        </w:rPr>
        <w:t xml:space="preserve"> A, with an angle of divergence of 1/3° and an illumination angle of </w:t>
      </w:r>
      <w:r w:rsidRPr="00C011F6">
        <w:rPr>
          <w:rFonts w:ascii="Symbol" w:hAnsi="Symbol"/>
          <w:bCs/>
        </w:rPr>
        <w:t></w:t>
      </w:r>
      <w:r w:rsidRPr="00C011F6">
        <w:rPr>
          <w:bCs/>
          <w:vertAlign w:val="subscript"/>
        </w:rPr>
        <w:t>1</w:t>
      </w:r>
      <w:r w:rsidRPr="00C011F6">
        <w:rPr>
          <w:bCs/>
        </w:rPr>
        <w:t>= </w:t>
      </w:r>
      <w:r w:rsidRPr="00C011F6">
        <w:rPr>
          <w:rFonts w:ascii="Symbol" w:hAnsi="Symbol"/>
          <w:bCs/>
        </w:rPr>
        <w:t></w:t>
      </w:r>
      <w:r w:rsidRPr="00C011F6">
        <w:rPr>
          <w:bCs/>
          <w:vertAlign w:val="subscript"/>
        </w:rPr>
        <w:t>2</w:t>
      </w:r>
      <w:r w:rsidRPr="00C011F6">
        <w:rPr>
          <w:bCs/>
        </w:rPr>
        <w:t>= 0</w:t>
      </w:r>
      <w:r w:rsidRPr="00C011F6">
        <w:rPr>
          <w:b/>
        </w:rPr>
        <w:t xml:space="preserve">° </w:t>
      </w:r>
      <w:r w:rsidRPr="00C011F6">
        <w:rPr>
          <w:bCs/>
          <w:strike/>
        </w:rPr>
        <w:t>degree</w:t>
      </w:r>
      <w:r w:rsidRPr="00C011F6">
        <w:rPr>
          <w:b/>
          <w:strike/>
        </w:rPr>
        <w:t xml:space="preserve"> </w:t>
      </w:r>
      <w:r w:rsidRPr="00C011F6">
        <w:rPr>
          <w:bCs/>
        </w:rPr>
        <w:t xml:space="preserve">or, if this produces a colourless surface reflection, an angle </w:t>
      </w:r>
      <w:r w:rsidRPr="00C011F6">
        <w:rPr>
          <w:rFonts w:ascii="Symbol" w:hAnsi="Symbol"/>
          <w:bCs/>
          <w:strike/>
        </w:rPr>
        <w:t></w:t>
      </w:r>
      <w:r w:rsidRPr="00C011F6">
        <w:rPr>
          <w:bCs/>
          <w:strike/>
          <w:vertAlign w:val="subscript"/>
        </w:rPr>
        <w:t>1</w:t>
      </w:r>
      <w:r w:rsidRPr="00C011F6">
        <w:rPr>
          <w:bCs/>
          <w:strike/>
        </w:rPr>
        <w:t xml:space="preserve"> ± 5 degrees, </w:t>
      </w:r>
      <w:r w:rsidRPr="00C011F6">
        <w:rPr>
          <w:rFonts w:ascii="Symbol" w:hAnsi="Symbol"/>
          <w:bCs/>
          <w:strike/>
        </w:rPr>
        <w:t></w:t>
      </w:r>
      <w:r w:rsidRPr="00C011F6">
        <w:rPr>
          <w:bCs/>
          <w:strike/>
          <w:vertAlign w:val="subscript"/>
        </w:rPr>
        <w:t>2</w:t>
      </w:r>
      <w:r w:rsidRPr="00C011F6">
        <w:rPr>
          <w:bCs/>
          <w:strike/>
        </w:rPr>
        <w:t>= 0 degree, t</w:t>
      </w:r>
      <w:r w:rsidRPr="00C011F6">
        <w:rPr>
          <w:bCs/>
        </w:rPr>
        <w:t xml:space="preserve"> </w:t>
      </w:r>
      <w:r w:rsidRPr="00C011F6">
        <w:rPr>
          <w:b/>
        </w:rPr>
        <w:t>as specified in Annex 4, Part 1, paragraph 1.1. shall be used.</w:t>
      </w:r>
      <w:r w:rsidRPr="00C011F6">
        <w:rPr>
          <w:bCs/>
        </w:rPr>
        <w:t xml:space="preserve"> </w:t>
      </w:r>
      <w:r w:rsidRPr="00C011F6">
        <w:rPr>
          <w:b/>
        </w:rPr>
        <w:t>T</w:t>
      </w:r>
      <w:r w:rsidRPr="00C011F6">
        <w:rPr>
          <w:bCs/>
        </w:rPr>
        <w:t>he trichromatic coordinates of the reflected luminous intensity</w:t>
      </w:r>
      <w:r w:rsidRPr="00C011F6">
        <w:rPr>
          <w:bCs/>
          <w:strike/>
        </w:rPr>
        <w:t xml:space="preserve"> must</w:t>
      </w:r>
      <w:r w:rsidRPr="00C011F6">
        <w:rPr>
          <w:b/>
          <w:strike/>
        </w:rPr>
        <w:t xml:space="preserve"> </w:t>
      </w:r>
      <w:r w:rsidRPr="00C011F6">
        <w:rPr>
          <w:b/>
        </w:rPr>
        <w:t xml:space="preserve">shall </w:t>
      </w:r>
      <w:r w:rsidRPr="00C011F6">
        <w:rPr>
          <w:bCs/>
        </w:rPr>
        <w:t xml:space="preserve">be within the limits </w:t>
      </w:r>
      <w:r w:rsidRPr="00C011F6">
        <w:rPr>
          <w:bCs/>
          <w:strike/>
        </w:rPr>
        <w:t>according to the specifications in paragraph 2.30. of UN Regulation No. 48.</w:t>
      </w:r>
      <w:r w:rsidRPr="00C011F6">
        <w:rPr>
          <w:bCs/>
        </w:rPr>
        <w:t xml:space="preserve"> </w:t>
      </w:r>
      <w:r w:rsidRPr="00C011F6">
        <w:rPr>
          <w:b/>
        </w:rPr>
        <w:t xml:space="preserve">for the night-time </w:t>
      </w:r>
      <w:r w:rsidRPr="004F07B6">
        <w:rPr>
          <w:b/>
        </w:rPr>
        <w:t xml:space="preserve">colour of the light retro-reflected </w:t>
      </w:r>
      <w:r w:rsidRPr="004F07B6">
        <w:rPr>
          <w:b/>
          <w:bCs/>
        </w:rPr>
        <w:t>from that device, as defined in UN Regulation No. 48.”</w:t>
      </w:r>
    </w:p>
    <w:p w14:paraId="18616F02" w14:textId="07F76A5E" w:rsidR="004F07B6" w:rsidRPr="004F07B6" w:rsidRDefault="004F07B6" w:rsidP="00B11C3C">
      <w:pPr>
        <w:spacing w:after="120"/>
        <w:ind w:left="2268" w:right="1395" w:hanging="1134"/>
        <w:jc w:val="both"/>
        <w:rPr>
          <w:bCs/>
          <w:i/>
        </w:rPr>
      </w:pPr>
      <w:r w:rsidRPr="004F07B6">
        <w:rPr>
          <w:bCs/>
          <w:i/>
        </w:rPr>
        <w:t>Annex 4</w:t>
      </w:r>
      <w:r w:rsidR="00B11C3C">
        <w:rPr>
          <w:bCs/>
          <w:i/>
        </w:rPr>
        <w:t xml:space="preserve">, </w:t>
      </w:r>
      <w:r w:rsidRPr="004F07B6">
        <w:rPr>
          <w:bCs/>
          <w:i/>
        </w:rPr>
        <w:t xml:space="preserve">Part 1, </w:t>
      </w:r>
      <w:r w:rsidR="00B11C3C">
        <w:rPr>
          <w:bCs/>
          <w:i/>
        </w:rPr>
        <w:t>p</w:t>
      </w:r>
      <w:r w:rsidRPr="004F07B6">
        <w:rPr>
          <w:rFonts w:eastAsia="Calibri"/>
          <w:i/>
        </w:rPr>
        <w:t>aragraph</w:t>
      </w:r>
      <w:r w:rsidRPr="004F07B6">
        <w:rPr>
          <w:bCs/>
          <w:i/>
        </w:rPr>
        <w:t xml:space="preserve"> 1.1.,</w:t>
      </w:r>
      <w:r w:rsidRPr="004F07B6">
        <w:rPr>
          <w:bCs/>
          <w:iCs/>
        </w:rPr>
        <w:t xml:space="preserve"> amend to read:</w:t>
      </w:r>
    </w:p>
    <w:p w14:paraId="331D6A1A" w14:textId="5E0762F0" w:rsidR="00BD4526" w:rsidRPr="004F07B6" w:rsidRDefault="004F07B6" w:rsidP="00B11C3C">
      <w:pPr>
        <w:pStyle w:val="Annex1"/>
        <w:tabs>
          <w:tab w:val="clear" w:pos="1700"/>
          <w:tab w:val="clear" w:pos="8505"/>
        </w:tabs>
        <w:ind w:right="1395"/>
      </w:pPr>
      <w:r w:rsidRPr="004F07B6">
        <w:rPr>
          <w:bCs/>
          <w:lang w:eastAsia="it-IT"/>
        </w:rPr>
        <w:t>“1.1.</w:t>
      </w:r>
      <w:r w:rsidRPr="004F07B6">
        <w:rPr>
          <w:bCs/>
          <w:lang w:eastAsia="it-IT"/>
        </w:rPr>
        <w:tab/>
        <w:t>When the R</w:t>
      </w:r>
      <w:r w:rsidRPr="004F07B6">
        <w:rPr>
          <w:bCs/>
          <w:vertAlign w:val="subscript"/>
          <w:lang w:eastAsia="it-IT"/>
        </w:rPr>
        <w:t>I</w:t>
      </w:r>
      <w:r w:rsidRPr="004F07B6">
        <w:rPr>
          <w:bCs/>
          <w:lang w:eastAsia="it-IT"/>
        </w:rPr>
        <w:t xml:space="preserve"> of a retro-reflective device is measured for an angle β of β</w:t>
      </w:r>
      <w:r w:rsidRPr="004F07B6">
        <w:rPr>
          <w:bCs/>
          <w:vertAlign w:val="subscript"/>
          <w:lang w:eastAsia="it-IT"/>
        </w:rPr>
        <w:t>1</w:t>
      </w:r>
      <w:r w:rsidRPr="004F07B6">
        <w:rPr>
          <w:bCs/>
          <w:lang w:eastAsia="it-IT"/>
        </w:rPr>
        <w:t> = β</w:t>
      </w:r>
      <w:r w:rsidRPr="004F07B6">
        <w:rPr>
          <w:bCs/>
          <w:vertAlign w:val="subscript"/>
          <w:lang w:eastAsia="it-IT"/>
        </w:rPr>
        <w:t>2</w:t>
      </w:r>
      <w:r w:rsidRPr="004F07B6">
        <w:rPr>
          <w:bCs/>
          <w:lang w:eastAsia="it-IT"/>
        </w:rPr>
        <w:t> = 0°, it shall be ascertained whether any mirror effect is produced by slightly turning the device. If there is any such effect, a reading shall be taken with an angle β of β</w:t>
      </w:r>
      <w:r w:rsidRPr="004F07B6">
        <w:rPr>
          <w:bCs/>
          <w:vertAlign w:val="subscript"/>
          <w:lang w:eastAsia="it-IT"/>
        </w:rPr>
        <w:t>1</w:t>
      </w:r>
      <w:r w:rsidRPr="004F07B6">
        <w:rPr>
          <w:bCs/>
          <w:lang w:eastAsia="it-IT"/>
        </w:rPr>
        <w:t xml:space="preserve"> = </w:t>
      </w:r>
      <w:r w:rsidRPr="004F07B6">
        <w:rPr>
          <w:bCs/>
          <w:strike/>
          <w:lang w:eastAsia="it-IT"/>
        </w:rPr>
        <w:t>±</w:t>
      </w:r>
      <w:r w:rsidRPr="004F07B6">
        <w:rPr>
          <w:bCs/>
          <w:lang w:eastAsia="it-IT"/>
        </w:rPr>
        <w:t xml:space="preserve"> </w:t>
      </w:r>
      <w:r w:rsidRPr="004F07B6">
        <w:rPr>
          <w:b/>
          <w:lang w:eastAsia="it-IT"/>
        </w:rPr>
        <w:t>-</w:t>
      </w:r>
      <w:r w:rsidRPr="004F07B6">
        <w:rPr>
          <w:bCs/>
          <w:lang w:eastAsia="it-IT"/>
        </w:rPr>
        <w:t>5°, β</w:t>
      </w:r>
      <w:r w:rsidRPr="004F07B6">
        <w:rPr>
          <w:bCs/>
          <w:vertAlign w:val="subscript"/>
          <w:lang w:eastAsia="it-IT"/>
        </w:rPr>
        <w:t>2</w:t>
      </w:r>
      <w:r w:rsidRPr="004F07B6">
        <w:rPr>
          <w:bCs/>
          <w:lang w:eastAsia="it-IT"/>
        </w:rPr>
        <w:t xml:space="preserve"> = 0°. </w:t>
      </w:r>
      <w:r w:rsidRPr="004F07B6">
        <w:rPr>
          <w:bCs/>
          <w:strike/>
          <w:lang w:eastAsia="it-IT"/>
        </w:rPr>
        <w:t>The position adopted shall be that corresponding to the minimum R</w:t>
      </w:r>
      <w:r w:rsidRPr="004F07B6">
        <w:rPr>
          <w:bCs/>
          <w:strike/>
          <w:vertAlign w:val="subscript"/>
          <w:lang w:eastAsia="it-IT"/>
        </w:rPr>
        <w:t>I</w:t>
      </w:r>
      <w:r w:rsidRPr="004F07B6" w:rsidDel="00881AB4">
        <w:rPr>
          <w:bCs/>
          <w:strike/>
          <w:lang w:eastAsia="it-IT"/>
        </w:rPr>
        <w:t xml:space="preserve"> </w:t>
      </w:r>
      <w:r w:rsidRPr="004F07B6">
        <w:rPr>
          <w:bCs/>
          <w:strike/>
          <w:lang w:eastAsia="it-IT"/>
        </w:rPr>
        <w:t>for one of these positions.</w:t>
      </w:r>
      <w:r w:rsidRPr="004F07B6">
        <w:rPr>
          <w:bCs/>
          <w:lang w:eastAsia="it-IT"/>
        </w:rPr>
        <w:t>”</w:t>
      </w: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5FDD969D" w14:textId="35CF5266" w:rsidR="007B3D4F" w:rsidRPr="00B11C3C" w:rsidRDefault="007B3D4F" w:rsidP="009265AA">
      <w:pPr>
        <w:spacing w:after="120"/>
        <w:ind w:left="1134" w:right="1134"/>
        <w:jc w:val="both"/>
        <w:rPr>
          <w:bCs/>
          <w:i/>
          <w:iCs/>
        </w:rPr>
      </w:pPr>
      <w:bookmarkStart w:id="2" w:name="_Hlk108093346"/>
      <w:r w:rsidRPr="00B11C3C">
        <w:rPr>
          <w:bCs/>
          <w:i/>
          <w:iCs/>
        </w:rPr>
        <w:t>General</w:t>
      </w:r>
    </w:p>
    <w:p w14:paraId="3988CFD9" w14:textId="2CEAFECE" w:rsidR="007B3D4F" w:rsidRDefault="007B0BB4" w:rsidP="009265AA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</w:r>
      <w:r w:rsidR="007B3D4F" w:rsidRPr="007B3D4F">
        <w:rPr>
          <w:bCs/>
          <w:iCs/>
        </w:rPr>
        <w:t xml:space="preserve">In </w:t>
      </w:r>
      <w:r w:rsidR="004F0618">
        <w:rPr>
          <w:bCs/>
          <w:iCs/>
        </w:rPr>
        <w:t xml:space="preserve">UN </w:t>
      </w:r>
      <w:r w:rsidR="007B3D4F" w:rsidRPr="007B3D4F">
        <w:rPr>
          <w:bCs/>
          <w:iCs/>
        </w:rPr>
        <w:t xml:space="preserve">Regulation No. 150, the </w:t>
      </w:r>
      <w:r w:rsidR="004F0618" w:rsidRPr="007B3D4F">
        <w:rPr>
          <w:bCs/>
          <w:iCs/>
        </w:rPr>
        <w:t xml:space="preserve">measuring </w:t>
      </w:r>
      <w:r w:rsidR="007B3D4F" w:rsidRPr="007B3D4F">
        <w:rPr>
          <w:bCs/>
          <w:iCs/>
        </w:rPr>
        <w:t xml:space="preserve">procedure when having a surface </w:t>
      </w:r>
      <w:r w:rsidR="00091C33">
        <w:rPr>
          <w:bCs/>
          <w:iCs/>
        </w:rPr>
        <w:t>reflection</w:t>
      </w:r>
      <w:r w:rsidR="007B3D4F" w:rsidRPr="007B3D4F">
        <w:rPr>
          <w:bCs/>
          <w:iCs/>
        </w:rPr>
        <w:t xml:space="preserve"> on the retroreflector is different for the measurement of colour and retroreflection. This may result in different measured colour coordinates in different laboratories</w:t>
      </w:r>
      <w:r w:rsidR="007B3D4F">
        <w:rPr>
          <w:bCs/>
          <w:iCs/>
        </w:rPr>
        <w:t>.</w:t>
      </w:r>
    </w:p>
    <w:p w14:paraId="4D0AEAD0" w14:textId="34AD9C60" w:rsidR="00681086" w:rsidRPr="00A54DCD" w:rsidRDefault="007B0BB4" w:rsidP="009265AA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681086" w:rsidRPr="00681086">
        <w:rPr>
          <w:lang w:eastAsia="fr-FR"/>
        </w:rPr>
        <w:t xml:space="preserve">In </w:t>
      </w:r>
      <w:r w:rsidR="005B138B">
        <w:rPr>
          <w:lang w:eastAsia="fr-FR"/>
        </w:rPr>
        <w:t>p</w:t>
      </w:r>
      <w:r w:rsidR="00681086" w:rsidRPr="00681086">
        <w:rPr>
          <w:lang w:eastAsia="fr-FR"/>
        </w:rPr>
        <w:t xml:space="preserve">aragraph 3.1. of Annex 4, Part 1 the position of </w:t>
      </w:r>
      <w:r w:rsidR="004F0618">
        <w:rPr>
          <w:lang w:eastAsia="fr-FR"/>
        </w:rPr>
        <w:t xml:space="preserve">the </w:t>
      </w:r>
      <w:r w:rsidR="00681086" w:rsidRPr="00681086">
        <w:rPr>
          <w:lang w:eastAsia="fr-FR"/>
        </w:rPr>
        <w:t xml:space="preserve">photometer head, the reference axis and the directions are clearly described. If the surface </w:t>
      </w:r>
      <w:r w:rsidR="00091C33">
        <w:rPr>
          <w:lang w:eastAsia="fr-FR"/>
        </w:rPr>
        <w:t>reflection</w:t>
      </w:r>
      <w:r w:rsidR="00681086" w:rsidRPr="00681086">
        <w:rPr>
          <w:lang w:eastAsia="fr-FR"/>
        </w:rPr>
        <w:t xml:space="preserve"> is on the opposite side of the source from the photometer head, which is given at an angle of (β1 = -5°), the surface </w:t>
      </w:r>
      <w:r w:rsidR="00091C33">
        <w:rPr>
          <w:lang w:eastAsia="fr-FR"/>
        </w:rPr>
        <w:t>reflection</w:t>
      </w:r>
      <w:r w:rsidR="00681086" w:rsidRPr="00681086">
        <w:rPr>
          <w:lang w:eastAsia="fr-FR"/>
        </w:rPr>
        <w:t xml:space="preserve"> has no influence on the measurement. This is true for the measurement of R</w:t>
      </w:r>
      <w:r w:rsidR="00681086" w:rsidRPr="00681086">
        <w:rPr>
          <w:vertAlign w:val="subscript"/>
          <w:lang w:eastAsia="fr-FR"/>
        </w:rPr>
        <w:t>I</w:t>
      </w:r>
      <w:r w:rsidR="00681086" w:rsidRPr="00681086">
        <w:rPr>
          <w:lang w:eastAsia="fr-FR"/>
        </w:rPr>
        <w:t xml:space="preserve"> values as well as for colour </w:t>
      </w:r>
      <w:r w:rsidR="00681086" w:rsidRPr="00A54DCD">
        <w:rPr>
          <w:lang w:eastAsia="fr-FR"/>
        </w:rPr>
        <w:t>measurement.</w:t>
      </w:r>
    </w:p>
    <w:p w14:paraId="31993A59" w14:textId="05A34785" w:rsidR="009265AA" w:rsidRPr="00A54DCD" w:rsidRDefault="007B0BB4" w:rsidP="009265AA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681086" w:rsidRPr="00A54DCD">
        <w:rPr>
          <w:lang w:eastAsia="fr-FR"/>
        </w:rPr>
        <w:t xml:space="preserve">The proposed solution </w:t>
      </w:r>
      <w:r w:rsidR="005D260E" w:rsidRPr="00A54DCD">
        <w:rPr>
          <w:lang w:eastAsia="fr-FR"/>
        </w:rPr>
        <w:t>is based</w:t>
      </w:r>
      <w:r w:rsidR="00681086" w:rsidRPr="00A54DCD">
        <w:rPr>
          <w:lang w:eastAsia="fr-FR"/>
        </w:rPr>
        <w:t xml:space="preserve"> </w:t>
      </w:r>
      <w:r w:rsidR="004F0618" w:rsidRPr="00A54DCD">
        <w:rPr>
          <w:lang w:eastAsia="fr-FR"/>
        </w:rPr>
        <w:t xml:space="preserve">on </w:t>
      </w:r>
      <w:r w:rsidR="00681086" w:rsidRPr="00A54DCD">
        <w:rPr>
          <w:lang w:eastAsia="fr-FR"/>
        </w:rPr>
        <w:t xml:space="preserve">an </w:t>
      </w:r>
      <w:r w:rsidR="00AC2FE3" w:rsidRPr="00A54DCD">
        <w:rPr>
          <w:lang w:eastAsia="fr-FR"/>
        </w:rPr>
        <w:t>existing</w:t>
      </w:r>
      <w:r w:rsidR="00681086" w:rsidRPr="00A54DCD">
        <w:rPr>
          <w:lang w:eastAsia="fr-FR"/>
        </w:rPr>
        <w:t xml:space="preserve"> description </w:t>
      </w:r>
      <w:r w:rsidR="00AC2FE3" w:rsidRPr="00A54DCD">
        <w:rPr>
          <w:lang w:eastAsia="fr-FR"/>
        </w:rPr>
        <w:t>in</w:t>
      </w:r>
      <w:r w:rsidR="00681086" w:rsidRPr="00A54DCD">
        <w:rPr>
          <w:lang w:eastAsia="fr-FR"/>
        </w:rPr>
        <w:t xml:space="preserve"> UN Regulation No. 27</w:t>
      </w:r>
      <w:r w:rsidR="005B138B" w:rsidRPr="00A54DCD">
        <w:rPr>
          <w:lang w:eastAsia="fr-FR"/>
        </w:rPr>
        <w:t xml:space="preserve"> (namely paragraph 2.6. of Annex 6) </w:t>
      </w:r>
      <w:r w:rsidR="00314D95" w:rsidRPr="00A54DCD">
        <w:rPr>
          <w:lang w:eastAsia="fr-FR"/>
        </w:rPr>
        <w:t xml:space="preserve">concerning the procedure to follow in case of a surface reflection </w:t>
      </w:r>
      <w:r w:rsidR="00681086" w:rsidRPr="00A54DCD">
        <w:rPr>
          <w:lang w:eastAsia="fr-FR"/>
        </w:rPr>
        <w:t>for both colour measurement and CIL measurement.</w:t>
      </w:r>
    </w:p>
    <w:bookmarkEnd w:id="2"/>
    <w:p w14:paraId="5B3E914E" w14:textId="681C7842" w:rsidR="00EA6FC0" w:rsidRPr="00B11C3C" w:rsidRDefault="007B3D4F" w:rsidP="00EA6FC0">
      <w:pPr>
        <w:spacing w:after="120"/>
        <w:ind w:left="1134" w:right="1134"/>
        <w:jc w:val="both"/>
        <w:rPr>
          <w:i/>
          <w:iCs/>
          <w:lang w:eastAsia="fr-FR"/>
        </w:rPr>
      </w:pPr>
      <w:r w:rsidRPr="00B11C3C">
        <w:rPr>
          <w:i/>
          <w:iCs/>
          <w:lang w:eastAsia="fr-FR"/>
        </w:rPr>
        <w:tab/>
      </w:r>
      <w:r w:rsidR="00EA6FC0" w:rsidRPr="00B11C3C">
        <w:rPr>
          <w:i/>
          <w:iCs/>
          <w:lang w:eastAsia="fr-FR"/>
        </w:rPr>
        <w:t xml:space="preserve">Changes to </w:t>
      </w:r>
      <w:r w:rsidR="00623D51">
        <w:rPr>
          <w:i/>
          <w:iCs/>
          <w:lang w:eastAsia="fr-FR"/>
        </w:rPr>
        <w:t xml:space="preserve">paragraph </w:t>
      </w:r>
      <w:r w:rsidR="00EA6FC0" w:rsidRPr="00B11C3C">
        <w:rPr>
          <w:i/>
          <w:iCs/>
          <w:lang w:eastAsia="fr-FR"/>
        </w:rPr>
        <w:t>4.2.1.2.</w:t>
      </w:r>
    </w:p>
    <w:p w14:paraId="0A594D48" w14:textId="2580F1CE" w:rsidR="00EA6FC0" w:rsidRDefault="008004ED" w:rsidP="00EA6FC0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4.</w:t>
      </w:r>
      <w:r>
        <w:rPr>
          <w:lang w:eastAsia="fr-FR"/>
        </w:rPr>
        <w:tab/>
      </w:r>
      <w:r w:rsidR="00EA6FC0">
        <w:rPr>
          <w:lang w:eastAsia="fr-FR"/>
        </w:rPr>
        <w:t>The word “degree” is replaced by the sign “°”</w:t>
      </w:r>
      <w:r>
        <w:rPr>
          <w:lang w:eastAsia="fr-FR"/>
        </w:rPr>
        <w:t>.</w:t>
      </w:r>
    </w:p>
    <w:p w14:paraId="1EF684DF" w14:textId="5FA9DBD6" w:rsidR="00EA6FC0" w:rsidRDefault="008004ED" w:rsidP="00EA6FC0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5.</w:t>
      </w:r>
      <w:r>
        <w:rPr>
          <w:lang w:eastAsia="fr-FR"/>
        </w:rPr>
        <w:tab/>
      </w:r>
      <w:r w:rsidR="00EA6FC0">
        <w:rPr>
          <w:lang w:eastAsia="fr-FR"/>
        </w:rPr>
        <w:t>Instead of indicating the angles, a reference is made to the relevant text in Annex 4</w:t>
      </w:r>
      <w:r>
        <w:rPr>
          <w:lang w:eastAsia="fr-FR"/>
        </w:rPr>
        <w:t>.</w:t>
      </w:r>
    </w:p>
    <w:p w14:paraId="6B07A4C8" w14:textId="5AD31506" w:rsidR="007B3D4F" w:rsidRDefault="008004ED" w:rsidP="00EA6FC0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6.</w:t>
      </w:r>
      <w:r>
        <w:rPr>
          <w:lang w:eastAsia="fr-FR"/>
        </w:rPr>
        <w:tab/>
      </w:r>
      <w:r w:rsidR="00EA6FC0">
        <w:rPr>
          <w:lang w:eastAsia="fr-FR"/>
        </w:rPr>
        <w:t xml:space="preserve">The reference to UN </w:t>
      </w:r>
      <w:proofErr w:type="spellStart"/>
      <w:r w:rsidR="00EA6FC0">
        <w:rPr>
          <w:lang w:eastAsia="fr-FR"/>
        </w:rPr>
        <w:t>Regulaton</w:t>
      </w:r>
      <w:proofErr w:type="spellEnd"/>
      <w:r w:rsidR="00EA6FC0">
        <w:rPr>
          <w:lang w:eastAsia="fr-FR"/>
        </w:rPr>
        <w:t xml:space="preserve"> No. 48 is wrong. To correct this</w:t>
      </w:r>
      <w:r w:rsidR="004F0618">
        <w:rPr>
          <w:lang w:eastAsia="fr-FR"/>
        </w:rPr>
        <w:t>,</w:t>
      </w:r>
      <w:r w:rsidR="00EA6FC0">
        <w:rPr>
          <w:lang w:eastAsia="fr-FR"/>
        </w:rPr>
        <w:t xml:space="preserve"> and make the text future proof, the specific reference has been replaced with the relevant text.</w:t>
      </w:r>
    </w:p>
    <w:p w14:paraId="5C55859B" w14:textId="15CAB37C" w:rsidR="004F0618" w:rsidRPr="00B11C3C" w:rsidRDefault="004F0618" w:rsidP="004F0618">
      <w:pPr>
        <w:spacing w:after="120"/>
        <w:ind w:left="1134" w:right="1134"/>
        <w:jc w:val="both"/>
        <w:rPr>
          <w:i/>
          <w:iCs/>
          <w:lang w:val="en-US" w:eastAsia="fr-FR"/>
        </w:rPr>
      </w:pPr>
      <w:r w:rsidRPr="00B11C3C">
        <w:rPr>
          <w:i/>
          <w:iCs/>
          <w:lang w:val="en-US" w:eastAsia="fr-FR"/>
        </w:rPr>
        <w:t>Changes to Annex 4, Part 1, para</w:t>
      </w:r>
      <w:r w:rsidR="00623D51">
        <w:rPr>
          <w:i/>
          <w:iCs/>
          <w:lang w:val="en-US" w:eastAsia="fr-FR"/>
        </w:rPr>
        <w:t xml:space="preserve">graph </w:t>
      </w:r>
      <w:r w:rsidRPr="00B11C3C">
        <w:rPr>
          <w:i/>
          <w:iCs/>
          <w:lang w:val="en-US" w:eastAsia="fr-FR"/>
        </w:rPr>
        <w:t>1.1.</w:t>
      </w:r>
    </w:p>
    <w:p w14:paraId="57F36FC9" w14:textId="709B4EB6" w:rsidR="004F0618" w:rsidRPr="004F0618" w:rsidRDefault="00623D51" w:rsidP="004F0618">
      <w:pPr>
        <w:spacing w:after="120"/>
        <w:ind w:left="1134" w:right="1134"/>
        <w:jc w:val="both"/>
        <w:rPr>
          <w:lang w:val="en-US" w:eastAsia="fr-FR"/>
        </w:rPr>
      </w:pPr>
      <w:r>
        <w:rPr>
          <w:lang w:val="en-US" w:eastAsia="fr-FR"/>
        </w:rPr>
        <w:t>7.</w:t>
      </w:r>
      <w:r>
        <w:rPr>
          <w:lang w:val="en-US" w:eastAsia="fr-FR"/>
        </w:rPr>
        <w:tab/>
      </w:r>
      <w:r w:rsidR="004F0618" w:rsidRPr="004F0618">
        <w:rPr>
          <w:lang w:val="en-US" w:eastAsia="fr-FR"/>
        </w:rPr>
        <w:t xml:space="preserve">There is only one angle of -5° which assures that the surface </w:t>
      </w:r>
      <w:r w:rsidR="00091C33">
        <w:rPr>
          <w:lang w:val="en-US" w:eastAsia="fr-FR"/>
        </w:rPr>
        <w:t>reflection</w:t>
      </w:r>
      <w:r w:rsidR="004F0618" w:rsidRPr="004F0618">
        <w:rPr>
          <w:lang w:val="en-US" w:eastAsia="fr-FR"/>
        </w:rPr>
        <w:t xml:space="preserve"> is on the </w:t>
      </w:r>
      <w:r w:rsidR="004F0618">
        <w:rPr>
          <w:lang w:val="en-US" w:eastAsia="fr-FR"/>
        </w:rPr>
        <w:t>opposite</w:t>
      </w:r>
      <w:r w:rsidR="004F0618" w:rsidRPr="004F0618">
        <w:rPr>
          <w:lang w:val="en-US" w:eastAsia="fr-FR"/>
        </w:rPr>
        <w:t xml:space="preserve"> side </w:t>
      </w:r>
      <w:r w:rsidR="004F0618">
        <w:rPr>
          <w:lang w:val="en-US" w:eastAsia="fr-FR"/>
        </w:rPr>
        <w:t>of</w:t>
      </w:r>
      <w:r w:rsidR="004F0618" w:rsidRPr="004F0618">
        <w:rPr>
          <w:lang w:val="en-US" w:eastAsia="fr-FR"/>
        </w:rPr>
        <w:t xml:space="preserve"> the detector.</w:t>
      </w:r>
      <w:r w:rsidR="004F0618">
        <w:rPr>
          <w:lang w:val="en-US" w:eastAsia="fr-FR"/>
        </w:rPr>
        <w:t xml:space="preserve"> For this reason, the symbol “</w:t>
      </w:r>
      <w:r w:rsidR="004F0618" w:rsidRPr="004F0618">
        <w:rPr>
          <w:bCs/>
          <w:lang w:eastAsia="it-IT"/>
        </w:rPr>
        <w:t>±</w:t>
      </w:r>
      <w:r w:rsidR="004F0618">
        <w:rPr>
          <w:lang w:val="en-US" w:eastAsia="fr-FR"/>
        </w:rPr>
        <w:t>” has been replaced by “-”.</w:t>
      </w:r>
    </w:p>
    <w:p w14:paraId="15C415A7" w14:textId="22A6E87B" w:rsidR="004F0618" w:rsidRDefault="00623D51" w:rsidP="004F0618">
      <w:pPr>
        <w:spacing w:after="120"/>
        <w:ind w:left="1134" w:right="1134"/>
        <w:jc w:val="both"/>
        <w:rPr>
          <w:lang w:val="en-US" w:eastAsia="fr-FR"/>
        </w:rPr>
      </w:pPr>
      <w:r>
        <w:rPr>
          <w:lang w:val="en-US" w:eastAsia="fr-FR"/>
        </w:rPr>
        <w:t>8.</w:t>
      </w:r>
      <w:r>
        <w:rPr>
          <w:lang w:val="en-US" w:eastAsia="fr-FR"/>
        </w:rPr>
        <w:tab/>
      </w:r>
      <w:r w:rsidR="004F0618" w:rsidRPr="004F0618">
        <w:rPr>
          <w:lang w:val="en-US" w:eastAsia="fr-FR"/>
        </w:rPr>
        <w:t xml:space="preserve">The last sentence is </w:t>
      </w:r>
      <w:r w:rsidR="004F0618">
        <w:rPr>
          <w:lang w:val="en-US" w:eastAsia="fr-FR"/>
        </w:rPr>
        <w:t xml:space="preserve">deleted because </w:t>
      </w:r>
      <w:r w:rsidR="008F31BD">
        <w:rPr>
          <w:lang w:val="en-US" w:eastAsia="fr-FR"/>
        </w:rPr>
        <w:t xml:space="preserve">it is </w:t>
      </w:r>
      <w:r w:rsidR="004F0618">
        <w:rPr>
          <w:lang w:val="en-US" w:eastAsia="fr-FR"/>
        </w:rPr>
        <w:t xml:space="preserve">not </w:t>
      </w:r>
      <w:r w:rsidR="004F0618" w:rsidRPr="004F0618">
        <w:rPr>
          <w:lang w:val="en-US" w:eastAsia="fr-FR"/>
        </w:rPr>
        <w:t>needed</w:t>
      </w:r>
      <w:r w:rsidR="004F0618">
        <w:rPr>
          <w:lang w:val="en-US" w:eastAsia="fr-FR"/>
        </w:rPr>
        <w:t>,</w:t>
      </w:r>
      <w:r w:rsidR="004F0618" w:rsidRPr="004F0618">
        <w:rPr>
          <w:lang w:val="en-US" w:eastAsia="fr-FR"/>
        </w:rPr>
        <w:t xml:space="preserve"> since there will be only one possibility to set the correct angle.</w:t>
      </w:r>
    </w:p>
    <w:p w14:paraId="202EDA1B" w14:textId="60D69121" w:rsidR="008F31BD" w:rsidRPr="00EA6FC0" w:rsidRDefault="008F31BD" w:rsidP="008F31BD">
      <w:pPr>
        <w:spacing w:after="120"/>
        <w:ind w:left="1134" w:right="1134"/>
        <w:jc w:val="center"/>
        <w:rPr>
          <w:lang w:val="en-US" w:eastAsia="fr-FR"/>
        </w:rPr>
      </w:pPr>
      <w:r>
        <w:rPr>
          <w:lang w:val="en-US" w:eastAsia="fr-FR"/>
        </w:rPr>
        <w:t>__________________</w:t>
      </w:r>
    </w:p>
    <w:sectPr w:rsidR="008F31BD" w:rsidRPr="00EA6FC0" w:rsidSect="00CB57C1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E263" w14:textId="77777777" w:rsidR="00975E0C" w:rsidRDefault="00975E0C"/>
  </w:endnote>
  <w:endnote w:type="continuationSeparator" w:id="0">
    <w:p w14:paraId="7F2AC1FA" w14:textId="77777777" w:rsidR="00975E0C" w:rsidRDefault="00975E0C"/>
  </w:endnote>
  <w:endnote w:type="continuationNotice" w:id="1">
    <w:p w14:paraId="60C84B2F" w14:textId="77777777" w:rsidR="00975E0C" w:rsidRDefault="00975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AF2" w14:textId="359A1C81" w:rsidR="00B57AA8" w:rsidRDefault="00B57AA8" w:rsidP="00B57AA8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F78C8EE" wp14:editId="27C116F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44B7D" w14:textId="58AA35E3" w:rsidR="00B57AA8" w:rsidRPr="00B57AA8" w:rsidRDefault="00B57AA8" w:rsidP="00B57AA8">
    <w:pPr>
      <w:pStyle w:val="Footer"/>
      <w:ind w:right="1134"/>
      <w:rPr>
        <w:sz w:val="20"/>
      </w:rPr>
    </w:pPr>
    <w:r>
      <w:rPr>
        <w:sz w:val="20"/>
      </w:rPr>
      <w:t>GE.23-15323(E)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2EEC0B" wp14:editId="40B3D6B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388A" w14:textId="77777777" w:rsidR="00975E0C" w:rsidRPr="000B175B" w:rsidRDefault="00975E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1E21F8" w14:textId="77777777" w:rsidR="00975E0C" w:rsidRPr="00FC68B7" w:rsidRDefault="00975E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7F4640" w14:textId="77777777" w:rsidR="00975E0C" w:rsidRDefault="00975E0C"/>
  </w:footnote>
  <w:footnote w:id="2">
    <w:p w14:paraId="26469265" w14:textId="3F135974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02472C" w:rsidRPr="00AB708F">
        <w:rPr>
          <w:szCs w:val="18"/>
          <w:lang w:val="en-US"/>
        </w:rPr>
        <w:t>In accordance with the programme of work of</w:t>
      </w:r>
      <w:r w:rsidR="0002472C">
        <w:rPr>
          <w:szCs w:val="18"/>
          <w:lang w:val="en-US"/>
        </w:rPr>
        <w:t xml:space="preserve"> the</w:t>
      </w:r>
      <w:r w:rsidR="0002472C" w:rsidRPr="00AB708F">
        <w:rPr>
          <w:szCs w:val="18"/>
          <w:lang w:val="en-US"/>
        </w:rPr>
        <w:t xml:space="preserve"> </w:t>
      </w:r>
      <w:r w:rsidR="0002472C" w:rsidRPr="00C14763">
        <w:rPr>
          <w:szCs w:val="18"/>
          <w:lang w:val="en-US"/>
        </w:rPr>
        <w:t>Inland Transport Committee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as outlined in proposed programme budget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(</w:t>
      </w:r>
      <w:r w:rsidR="0002472C" w:rsidRPr="00CC1F43">
        <w:rPr>
          <w:szCs w:val="18"/>
          <w:lang w:val="en-US"/>
        </w:rPr>
        <w:t>A/77/6 (Sect. 20), table 20.6</w:t>
      </w:r>
      <w:r w:rsidR="0002472C" w:rsidRPr="00C14763">
        <w:rPr>
          <w:szCs w:val="18"/>
          <w:lang w:val="en-US"/>
        </w:rPr>
        <w:t xml:space="preserve">), </w:t>
      </w:r>
      <w:r w:rsidR="0002472C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7CADA3A8" w:rsidR="00C740F6" w:rsidRPr="00A6183A" w:rsidRDefault="00B7744C" w:rsidP="00A6183A">
    <w:pPr>
      <w:pStyle w:val="Header"/>
    </w:pPr>
    <w:r w:rsidRPr="00323888">
      <w:t>ECE/TRANS/WP.29/GRE/2023/</w:t>
    </w:r>
    <w:r>
      <w:t>2</w:t>
    </w:r>
    <w:r w:rsidRPr="0032388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77777777" w:rsidR="00C740F6" w:rsidRPr="00A6183A" w:rsidRDefault="00C740F6" w:rsidP="00A61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8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7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0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1"/>
  </w:num>
  <w:num w:numId="18" w16cid:durableId="391275985">
    <w:abstractNumId w:val="11"/>
  </w:num>
  <w:num w:numId="19" w16cid:durableId="1399790029">
    <w:abstractNumId w:val="19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53A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1C33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97AEB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062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7C2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5FD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7B80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A8A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2CD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9D6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D9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46FE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6D5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6681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618"/>
    <w:rsid w:val="004F07B6"/>
    <w:rsid w:val="004F0B1B"/>
    <w:rsid w:val="004F0BBB"/>
    <w:rsid w:val="004F10A2"/>
    <w:rsid w:val="004F133F"/>
    <w:rsid w:val="004F1C0A"/>
    <w:rsid w:val="004F1E0A"/>
    <w:rsid w:val="004F20D2"/>
    <w:rsid w:val="004F2416"/>
    <w:rsid w:val="004F2935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8B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60E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7AE"/>
    <w:rsid w:val="005E6EB6"/>
    <w:rsid w:val="005F0558"/>
    <w:rsid w:val="005F057A"/>
    <w:rsid w:val="005F1BC6"/>
    <w:rsid w:val="005F1BD1"/>
    <w:rsid w:val="005F2CAF"/>
    <w:rsid w:val="005F46D0"/>
    <w:rsid w:val="005F4813"/>
    <w:rsid w:val="005F48DA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D51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561F7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086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769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404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0BB4"/>
    <w:rsid w:val="007B15F6"/>
    <w:rsid w:val="007B1B2F"/>
    <w:rsid w:val="007B3582"/>
    <w:rsid w:val="007B3BA2"/>
    <w:rsid w:val="007B3C2C"/>
    <w:rsid w:val="007B3D4F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4ED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E5E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1BD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5E0C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55A4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97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4DCD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F5B"/>
    <w:rsid w:val="00AC2FE3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1C3C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57AA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A56"/>
    <w:rsid w:val="00B75D8C"/>
    <w:rsid w:val="00B76480"/>
    <w:rsid w:val="00B7744C"/>
    <w:rsid w:val="00B77D2F"/>
    <w:rsid w:val="00B77E75"/>
    <w:rsid w:val="00B77E96"/>
    <w:rsid w:val="00B81E12"/>
    <w:rsid w:val="00B820B1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6A65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3D11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3BA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6FC0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5C2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  <w:style w:type="paragraph" w:customStyle="1" w:styleId="Annex1">
    <w:name w:val="Annex1"/>
    <w:basedOn w:val="Normal"/>
    <w:qFormat/>
    <w:rsid w:val="004F07B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6E78D-608A-4BD8-AC6F-D50CEDD2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3174</Characters>
  <Application>Microsoft Office Word</Application>
  <DocSecurity>0</DocSecurity>
  <Lines>70</Lines>
  <Paragraphs>36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3776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ECE/TRANS/WP.29/GRE/2023/21</dc:title>
  <dc:subject>2315323</dc:subject>
  <dc:creator>AFTER JUNE</dc:creator>
  <cp:keywords/>
  <dc:description/>
  <cp:lastModifiedBy>Anni Vi Tirol</cp:lastModifiedBy>
  <cp:revision>2</cp:revision>
  <cp:lastPrinted>2022-07-26T12:04:00Z</cp:lastPrinted>
  <dcterms:created xsi:type="dcterms:W3CDTF">2023-08-08T13:25:00Z</dcterms:created>
  <dcterms:modified xsi:type="dcterms:W3CDTF">2023-08-08T13:25:00Z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