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BAE8223" w14:textId="77777777" w:rsidTr="00C97039">
        <w:trPr>
          <w:trHeight w:hRule="exact" w:val="851"/>
        </w:trPr>
        <w:tc>
          <w:tcPr>
            <w:tcW w:w="1276" w:type="dxa"/>
            <w:tcBorders>
              <w:bottom w:val="single" w:sz="4" w:space="0" w:color="auto"/>
            </w:tcBorders>
          </w:tcPr>
          <w:p w14:paraId="600C2CFD" w14:textId="77777777" w:rsidR="00F35BAF" w:rsidRPr="00DB58B5" w:rsidRDefault="00F35BAF" w:rsidP="00445BE9"/>
        </w:tc>
        <w:tc>
          <w:tcPr>
            <w:tcW w:w="2268" w:type="dxa"/>
            <w:tcBorders>
              <w:bottom w:val="single" w:sz="4" w:space="0" w:color="auto"/>
            </w:tcBorders>
            <w:vAlign w:val="bottom"/>
          </w:tcPr>
          <w:p w14:paraId="4E26D08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21ADD74" w14:textId="77777777" w:rsidR="00F35BAF" w:rsidRPr="00DB58B5" w:rsidRDefault="00445BE9" w:rsidP="00445BE9">
            <w:pPr>
              <w:jc w:val="right"/>
            </w:pPr>
            <w:r w:rsidRPr="00445BE9">
              <w:rPr>
                <w:sz w:val="40"/>
              </w:rPr>
              <w:t>ECE</w:t>
            </w:r>
            <w:r>
              <w:t>/TRANS/WP.29/GRE/2023/20</w:t>
            </w:r>
          </w:p>
        </w:tc>
      </w:tr>
      <w:tr w:rsidR="00F35BAF" w:rsidRPr="00DB58B5" w14:paraId="0676DFEC" w14:textId="77777777" w:rsidTr="00C97039">
        <w:trPr>
          <w:trHeight w:hRule="exact" w:val="2835"/>
        </w:trPr>
        <w:tc>
          <w:tcPr>
            <w:tcW w:w="1276" w:type="dxa"/>
            <w:tcBorders>
              <w:top w:val="single" w:sz="4" w:space="0" w:color="auto"/>
              <w:bottom w:val="single" w:sz="12" w:space="0" w:color="auto"/>
            </w:tcBorders>
          </w:tcPr>
          <w:p w14:paraId="10C327C6" w14:textId="77777777" w:rsidR="00F35BAF" w:rsidRPr="00DB58B5" w:rsidRDefault="00F35BAF" w:rsidP="00C97039">
            <w:pPr>
              <w:spacing w:before="120"/>
              <w:jc w:val="center"/>
            </w:pPr>
            <w:r>
              <w:rPr>
                <w:noProof/>
                <w:lang w:eastAsia="fr-CH"/>
              </w:rPr>
              <w:drawing>
                <wp:inline distT="0" distB="0" distL="0" distR="0" wp14:anchorId="5339B02E" wp14:editId="6728BC7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D98D1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A0704CD" w14:textId="77777777" w:rsidR="00F35BAF" w:rsidRDefault="00445BE9" w:rsidP="00C97039">
            <w:pPr>
              <w:spacing w:before="240"/>
            </w:pPr>
            <w:proofErr w:type="spellStart"/>
            <w:r>
              <w:t>Distr</w:t>
            </w:r>
            <w:proofErr w:type="spellEnd"/>
            <w:r>
              <w:t>. générale</w:t>
            </w:r>
          </w:p>
          <w:p w14:paraId="1A4FE499" w14:textId="77777777" w:rsidR="00445BE9" w:rsidRDefault="00445BE9" w:rsidP="00445BE9">
            <w:pPr>
              <w:spacing w:line="240" w:lineRule="exact"/>
            </w:pPr>
            <w:r>
              <w:t>7 août 2023</w:t>
            </w:r>
          </w:p>
          <w:p w14:paraId="060176EF" w14:textId="77777777" w:rsidR="00445BE9" w:rsidRDefault="00445BE9" w:rsidP="00445BE9">
            <w:pPr>
              <w:spacing w:line="240" w:lineRule="exact"/>
            </w:pPr>
            <w:r>
              <w:t>Français</w:t>
            </w:r>
          </w:p>
          <w:p w14:paraId="013C6EE4" w14:textId="77777777" w:rsidR="00445BE9" w:rsidRPr="00DB58B5" w:rsidRDefault="00445BE9" w:rsidP="00445BE9">
            <w:pPr>
              <w:spacing w:line="240" w:lineRule="exact"/>
            </w:pPr>
            <w:r>
              <w:t>Original : anglais</w:t>
            </w:r>
          </w:p>
        </w:tc>
      </w:tr>
    </w:tbl>
    <w:p w14:paraId="197911F7" w14:textId="77777777" w:rsidR="007F20FA" w:rsidRPr="000312C0" w:rsidRDefault="007F20FA" w:rsidP="007F20FA">
      <w:pPr>
        <w:spacing w:before="120"/>
        <w:rPr>
          <w:b/>
          <w:sz w:val="28"/>
          <w:szCs w:val="28"/>
        </w:rPr>
      </w:pPr>
      <w:r w:rsidRPr="000312C0">
        <w:rPr>
          <w:b/>
          <w:sz w:val="28"/>
          <w:szCs w:val="28"/>
        </w:rPr>
        <w:t>Commission économique pour l’Europe</w:t>
      </w:r>
    </w:p>
    <w:p w14:paraId="54B2FCAA" w14:textId="77777777" w:rsidR="007F20FA" w:rsidRDefault="007F20FA" w:rsidP="007F20FA">
      <w:pPr>
        <w:spacing w:before="120"/>
        <w:rPr>
          <w:sz w:val="28"/>
          <w:szCs w:val="28"/>
        </w:rPr>
      </w:pPr>
      <w:r w:rsidRPr="00685843">
        <w:rPr>
          <w:sz w:val="28"/>
          <w:szCs w:val="28"/>
        </w:rPr>
        <w:t>Comité des transports intérieurs</w:t>
      </w:r>
    </w:p>
    <w:p w14:paraId="439E47D6" w14:textId="02384B25" w:rsidR="00D20D26" w:rsidRPr="00AB144F" w:rsidRDefault="00D20D26" w:rsidP="00D20D26">
      <w:pPr>
        <w:spacing w:before="120"/>
        <w:rPr>
          <w:b/>
          <w:sz w:val="32"/>
          <w:szCs w:val="32"/>
          <w:lang w:val="fr-FR"/>
        </w:rPr>
      </w:pPr>
      <w:r w:rsidRPr="00AB144F">
        <w:rPr>
          <w:b/>
          <w:bCs/>
          <w:sz w:val="24"/>
          <w:szCs w:val="24"/>
          <w:lang w:val="fr-FR"/>
        </w:rPr>
        <w:t>Forum mondial de l</w:t>
      </w:r>
      <w:r>
        <w:rPr>
          <w:b/>
          <w:bCs/>
          <w:sz w:val="24"/>
          <w:szCs w:val="24"/>
          <w:lang w:val="fr-FR"/>
        </w:rPr>
        <w:t>’</w:t>
      </w:r>
      <w:r w:rsidRPr="00AB144F">
        <w:rPr>
          <w:b/>
          <w:bCs/>
          <w:sz w:val="24"/>
          <w:szCs w:val="24"/>
          <w:lang w:val="fr-FR"/>
        </w:rPr>
        <w:t xml:space="preserve">harmonisation </w:t>
      </w:r>
      <w:r>
        <w:rPr>
          <w:b/>
          <w:bCs/>
          <w:sz w:val="24"/>
          <w:szCs w:val="24"/>
          <w:lang w:val="fr-FR"/>
        </w:rPr>
        <w:br/>
      </w:r>
      <w:r w:rsidRPr="00AB144F">
        <w:rPr>
          <w:b/>
          <w:bCs/>
          <w:sz w:val="24"/>
          <w:szCs w:val="24"/>
          <w:lang w:val="fr-FR"/>
        </w:rPr>
        <w:t>des Règlements concernant les véhicules</w:t>
      </w:r>
    </w:p>
    <w:p w14:paraId="2A36AF8A" w14:textId="77777777" w:rsidR="00D20D26" w:rsidRPr="00AB144F" w:rsidRDefault="00D20D26" w:rsidP="00D20D26">
      <w:pPr>
        <w:spacing w:before="120" w:after="120"/>
        <w:rPr>
          <w:b/>
          <w:bCs/>
          <w:lang w:val="fr-FR"/>
        </w:rPr>
      </w:pPr>
      <w:r w:rsidRPr="00AB144F">
        <w:rPr>
          <w:b/>
          <w:bCs/>
          <w:lang w:val="fr-FR"/>
        </w:rPr>
        <w:t>Groupe de travail de l</w:t>
      </w:r>
      <w:r>
        <w:rPr>
          <w:b/>
          <w:bCs/>
          <w:lang w:val="fr-FR"/>
        </w:rPr>
        <w:t>’</w:t>
      </w:r>
      <w:r w:rsidRPr="00AB144F">
        <w:rPr>
          <w:b/>
          <w:bCs/>
          <w:lang w:val="fr-FR"/>
        </w:rPr>
        <w:t>éclairage et de la signalisation lumineuse</w:t>
      </w:r>
    </w:p>
    <w:p w14:paraId="0EF90FF6" w14:textId="77777777" w:rsidR="00D20D26" w:rsidRPr="00AB144F" w:rsidRDefault="00D20D26" w:rsidP="00D20D26">
      <w:pPr>
        <w:ind w:right="1134"/>
        <w:rPr>
          <w:b/>
          <w:lang w:val="fr-FR"/>
        </w:rPr>
      </w:pPr>
      <w:r w:rsidRPr="00AB144F">
        <w:rPr>
          <w:b/>
          <w:bCs/>
          <w:lang w:val="fr-FR"/>
        </w:rPr>
        <w:t>Quatre-vingt-neuvième session</w:t>
      </w:r>
    </w:p>
    <w:p w14:paraId="03E60725" w14:textId="77777777" w:rsidR="00D20D26" w:rsidRPr="00AB144F" w:rsidRDefault="00D20D26" w:rsidP="00D20D26">
      <w:pPr>
        <w:ind w:right="1134"/>
        <w:rPr>
          <w:lang w:val="fr-FR"/>
        </w:rPr>
      </w:pPr>
      <w:r w:rsidRPr="00AB144F">
        <w:rPr>
          <w:lang w:val="fr-FR"/>
        </w:rPr>
        <w:t>Genève, 24-27 octobre 2023</w:t>
      </w:r>
    </w:p>
    <w:p w14:paraId="2AACC174" w14:textId="77777777" w:rsidR="00D20D26" w:rsidRPr="00AB144F" w:rsidRDefault="00D20D26" w:rsidP="00D20D26">
      <w:pPr>
        <w:ind w:right="1134"/>
        <w:rPr>
          <w:bCs/>
          <w:lang w:val="fr-FR"/>
        </w:rPr>
      </w:pPr>
      <w:r w:rsidRPr="00AB144F">
        <w:rPr>
          <w:lang w:val="fr-FR"/>
        </w:rPr>
        <w:t>Point 6 a) de l</w:t>
      </w:r>
      <w:r>
        <w:rPr>
          <w:lang w:val="fr-FR"/>
        </w:rPr>
        <w:t>’</w:t>
      </w:r>
      <w:r w:rsidRPr="00AB144F">
        <w:rPr>
          <w:lang w:val="fr-FR"/>
        </w:rPr>
        <w:t>ordre du jour provisoire</w:t>
      </w:r>
    </w:p>
    <w:p w14:paraId="40863CA8" w14:textId="77777777" w:rsidR="00D20D26" w:rsidRPr="00AB144F" w:rsidRDefault="00D20D26" w:rsidP="00D20D26">
      <w:pPr>
        <w:ind w:right="1467"/>
        <w:rPr>
          <w:b/>
          <w:bCs/>
          <w:lang w:val="fr-FR"/>
        </w:rPr>
      </w:pPr>
      <w:r w:rsidRPr="00AB144F">
        <w:rPr>
          <w:b/>
          <w:bCs/>
          <w:lang w:val="fr-FR"/>
        </w:rPr>
        <w:t>Règlements ONU concernant l</w:t>
      </w:r>
      <w:r>
        <w:rPr>
          <w:b/>
          <w:bCs/>
          <w:lang w:val="fr-FR"/>
        </w:rPr>
        <w:t>’</w:t>
      </w:r>
      <w:r w:rsidRPr="00AB144F">
        <w:rPr>
          <w:b/>
          <w:bCs/>
          <w:lang w:val="fr-FR"/>
        </w:rPr>
        <w:t>installation :</w:t>
      </w:r>
    </w:p>
    <w:p w14:paraId="78D1D7BD" w14:textId="6FBE1348" w:rsidR="00D20D26" w:rsidRPr="00AB144F" w:rsidRDefault="00D20D26" w:rsidP="00D20D26">
      <w:pPr>
        <w:ind w:right="1467"/>
        <w:rPr>
          <w:b/>
          <w:bCs/>
          <w:lang w:val="fr-FR"/>
        </w:rPr>
      </w:pPr>
      <w:r w:rsidRPr="00AB144F">
        <w:rPr>
          <w:b/>
          <w:bCs/>
          <w:lang w:val="fr-FR"/>
        </w:rPr>
        <w:t>Règlement ONU n</w:t>
      </w:r>
      <w:r w:rsidRPr="00AB144F">
        <w:rPr>
          <w:b/>
          <w:bCs/>
          <w:vertAlign w:val="superscript"/>
          <w:lang w:val="fr-FR"/>
        </w:rPr>
        <w:t>o</w:t>
      </w:r>
      <w:r w:rsidRPr="00AB144F">
        <w:rPr>
          <w:b/>
          <w:bCs/>
          <w:lang w:val="fr-FR"/>
        </w:rPr>
        <w:t xml:space="preserve"> 48 (Installation des dispositifs </w:t>
      </w:r>
      <w:r>
        <w:rPr>
          <w:b/>
          <w:bCs/>
          <w:lang w:val="fr-FR"/>
        </w:rPr>
        <w:br/>
      </w:r>
      <w:r w:rsidRPr="00AB144F">
        <w:rPr>
          <w:b/>
          <w:bCs/>
          <w:lang w:val="fr-FR"/>
        </w:rPr>
        <w:t>d</w:t>
      </w:r>
      <w:r>
        <w:rPr>
          <w:b/>
          <w:bCs/>
          <w:lang w:val="fr-FR"/>
        </w:rPr>
        <w:t>’</w:t>
      </w:r>
      <w:r w:rsidRPr="00AB144F">
        <w:rPr>
          <w:b/>
          <w:bCs/>
          <w:lang w:val="fr-FR"/>
        </w:rPr>
        <w:t>éclairage et de signalisation lumineuse)</w:t>
      </w:r>
    </w:p>
    <w:p w14:paraId="254E5E48" w14:textId="40D0E991" w:rsidR="00D20D26" w:rsidRPr="00AB144F" w:rsidRDefault="00D20D26" w:rsidP="00D20D26">
      <w:pPr>
        <w:pStyle w:val="HChG"/>
        <w:rPr>
          <w:lang w:val="fr-FR"/>
        </w:rPr>
      </w:pPr>
      <w:r w:rsidRPr="00AB144F">
        <w:rPr>
          <w:lang w:val="fr-FR"/>
        </w:rPr>
        <w:tab/>
      </w:r>
      <w:r w:rsidRPr="00AB144F">
        <w:rPr>
          <w:lang w:val="fr-FR"/>
        </w:rPr>
        <w:tab/>
        <w:t xml:space="preserve">Proposition de complément </w:t>
      </w:r>
      <w:r>
        <w:rPr>
          <w:lang w:val="fr-FR"/>
        </w:rPr>
        <w:t>à la</w:t>
      </w:r>
      <w:r w:rsidRPr="00AB144F">
        <w:rPr>
          <w:lang w:val="fr-FR"/>
        </w:rPr>
        <w:t xml:space="preserve"> série 08 [et</w:t>
      </w:r>
      <w:r>
        <w:rPr>
          <w:lang w:val="fr-FR"/>
        </w:rPr>
        <w:t xml:space="preserve"> à la série</w:t>
      </w:r>
      <w:r w:rsidRPr="00AB144F">
        <w:rPr>
          <w:lang w:val="fr-FR"/>
        </w:rPr>
        <w:t xml:space="preserve"> 09] d</w:t>
      </w:r>
      <w:r>
        <w:rPr>
          <w:lang w:val="fr-FR"/>
        </w:rPr>
        <w:t>’</w:t>
      </w:r>
      <w:r w:rsidRPr="00AB144F">
        <w:rPr>
          <w:lang w:val="fr-FR"/>
        </w:rPr>
        <w:t>amendements au Règlement ONU n</w:t>
      </w:r>
      <w:r w:rsidRPr="00AB144F">
        <w:rPr>
          <w:vertAlign w:val="superscript"/>
          <w:lang w:val="fr-FR"/>
        </w:rPr>
        <w:t>o</w:t>
      </w:r>
      <w:r w:rsidRPr="00AB144F">
        <w:rPr>
          <w:lang w:val="fr-FR"/>
        </w:rPr>
        <w:t xml:space="preserve"> 48 </w:t>
      </w:r>
      <w:r>
        <w:rPr>
          <w:lang w:val="fr-FR"/>
        </w:rPr>
        <w:t>ainsi qu’</w:t>
      </w:r>
      <w:r w:rsidRPr="00AB144F">
        <w:rPr>
          <w:lang w:val="fr-FR"/>
        </w:rPr>
        <w:t xml:space="preserve">à </w:t>
      </w:r>
      <w:r>
        <w:rPr>
          <w:lang w:val="fr-FR"/>
        </w:rPr>
        <w:br/>
      </w:r>
      <w:r w:rsidRPr="00AB144F">
        <w:rPr>
          <w:lang w:val="fr-FR"/>
        </w:rPr>
        <w:t>la série</w:t>
      </w:r>
      <w:r>
        <w:rPr>
          <w:lang w:val="fr-FR"/>
        </w:rPr>
        <w:t> </w:t>
      </w:r>
      <w:r w:rsidRPr="00AB144F">
        <w:rPr>
          <w:lang w:val="fr-FR"/>
        </w:rPr>
        <w:t>01 d</w:t>
      </w:r>
      <w:r>
        <w:rPr>
          <w:lang w:val="fr-FR"/>
        </w:rPr>
        <w:t>’</w:t>
      </w:r>
      <w:r w:rsidRPr="00AB144F">
        <w:rPr>
          <w:lang w:val="fr-FR"/>
        </w:rPr>
        <w:t>amendements au Règlement ONU n</w:t>
      </w:r>
      <w:r w:rsidRPr="00AB144F">
        <w:rPr>
          <w:vertAlign w:val="superscript"/>
          <w:lang w:val="fr-FR"/>
        </w:rPr>
        <w:t>o</w:t>
      </w:r>
      <w:r>
        <w:rPr>
          <w:lang w:val="fr-FR"/>
        </w:rPr>
        <w:t> </w:t>
      </w:r>
      <w:r w:rsidRPr="00AB144F">
        <w:rPr>
          <w:lang w:val="fr-FR"/>
        </w:rPr>
        <w:t>148</w:t>
      </w:r>
    </w:p>
    <w:p w14:paraId="6BBEE8A6" w14:textId="4E6496D4" w:rsidR="00D20D26" w:rsidRDefault="00D20D26" w:rsidP="00D20D26">
      <w:pPr>
        <w:pStyle w:val="H1G"/>
        <w:rPr>
          <w:lang w:val="fr-FR"/>
        </w:rPr>
      </w:pPr>
      <w:r w:rsidRPr="00AB144F">
        <w:rPr>
          <w:lang w:val="fr-FR"/>
        </w:rPr>
        <w:tab/>
      </w:r>
      <w:r w:rsidRPr="00AB144F">
        <w:rPr>
          <w:lang w:val="fr-FR"/>
        </w:rPr>
        <w:tab/>
        <w:t xml:space="preserve">Communication des experts du Groupe de travail </w:t>
      </w:r>
      <w:r>
        <w:rPr>
          <w:lang w:val="fr-FR"/>
        </w:rPr>
        <w:t>« </w:t>
      </w:r>
      <w:r w:rsidRPr="00AB144F">
        <w:rPr>
          <w:lang w:val="fr-FR"/>
        </w:rPr>
        <w:t>Bruxelles 1952 »</w:t>
      </w:r>
      <w:r w:rsidRPr="00D20D26">
        <w:rPr>
          <w:rStyle w:val="Appelnotedebasdep"/>
          <w:b w:val="0"/>
          <w:bCs/>
          <w:sz w:val="20"/>
          <w:vertAlign w:val="baseline"/>
        </w:rPr>
        <w:footnoteReference w:customMarkFollows="1" w:id="2"/>
        <w:t>*</w:t>
      </w:r>
    </w:p>
    <w:p w14:paraId="7193EEB6" w14:textId="1002C049" w:rsidR="00F9573C" w:rsidRDefault="00D20D26" w:rsidP="00D20D26">
      <w:pPr>
        <w:pStyle w:val="SingleTxtG"/>
        <w:ind w:firstLine="567"/>
        <w:rPr>
          <w:lang w:val="fr-FR"/>
        </w:rPr>
      </w:pPr>
      <w:r>
        <w:rPr>
          <w:lang w:val="fr-FR"/>
        </w:rPr>
        <w:t>L</w:t>
      </w:r>
      <w:r w:rsidRPr="00AB144F">
        <w:rPr>
          <w:lang w:val="fr-FR"/>
        </w:rPr>
        <w:t>e texte ci-après, établi par les experts du Groupe de travail « Bruxelles 1952 » (GTB), vise à améliorer la définition de la stabilité photométrique. Les modifications qu</w:t>
      </w:r>
      <w:r>
        <w:rPr>
          <w:lang w:val="fr-FR"/>
        </w:rPr>
        <w:t>’</w:t>
      </w:r>
      <w:r w:rsidRPr="00AB144F">
        <w:rPr>
          <w:lang w:val="fr-FR"/>
        </w:rPr>
        <w:t>il est proposé d</w:t>
      </w:r>
      <w:r>
        <w:rPr>
          <w:lang w:val="fr-FR"/>
        </w:rPr>
        <w:t>’</w:t>
      </w:r>
      <w:r w:rsidRPr="00AB144F">
        <w:rPr>
          <w:lang w:val="fr-FR"/>
        </w:rPr>
        <w:t>apporter au texte actuel des Règlements ONU figurent en caractères gras pour les ajouts et biffés pour les suppressions.</w:t>
      </w:r>
    </w:p>
    <w:p w14:paraId="5497681E" w14:textId="4F821832" w:rsidR="00D20D26" w:rsidRDefault="00D20D26">
      <w:pPr>
        <w:suppressAutoHyphens w:val="0"/>
        <w:kinsoku/>
        <w:overflowPunct/>
        <w:autoSpaceDE/>
        <w:autoSpaceDN/>
        <w:adjustRightInd/>
        <w:snapToGrid/>
        <w:spacing w:after="200" w:line="276" w:lineRule="auto"/>
        <w:rPr>
          <w:lang w:val="fr-FR"/>
        </w:rPr>
      </w:pPr>
      <w:r>
        <w:rPr>
          <w:lang w:val="fr-FR"/>
        </w:rPr>
        <w:br w:type="page"/>
      </w:r>
    </w:p>
    <w:p w14:paraId="32F0D27F" w14:textId="299D4967" w:rsidR="00D20D26" w:rsidRPr="00AB144F" w:rsidRDefault="00D20D26" w:rsidP="00D20D26">
      <w:pPr>
        <w:pStyle w:val="HChG"/>
        <w:rPr>
          <w:lang w:val="fr-FR"/>
        </w:rPr>
      </w:pPr>
      <w:r w:rsidRPr="00AB144F">
        <w:rPr>
          <w:lang w:val="fr-FR"/>
        </w:rPr>
        <w:lastRenderedPageBreak/>
        <w:tab/>
        <w:t>I.</w:t>
      </w:r>
      <w:r w:rsidRPr="00AB144F">
        <w:rPr>
          <w:lang w:val="fr-FR"/>
        </w:rPr>
        <w:tab/>
        <w:t>Proposition</w:t>
      </w:r>
    </w:p>
    <w:p w14:paraId="5BC81EB6" w14:textId="0033C3CA" w:rsidR="00D20D26" w:rsidRPr="00AB144F" w:rsidRDefault="00D20D26" w:rsidP="00D20D26">
      <w:pPr>
        <w:pStyle w:val="H1G"/>
        <w:rPr>
          <w:lang w:val="fr-FR"/>
        </w:rPr>
      </w:pPr>
      <w:r>
        <w:rPr>
          <w:lang w:val="fr-FR"/>
        </w:rPr>
        <w:tab/>
      </w:r>
      <w:r w:rsidRPr="00AB144F">
        <w:rPr>
          <w:lang w:val="fr-FR"/>
        </w:rPr>
        <w:t>A.</w:t>
      </w:r>
      <w:r w:rsidRPr="00AB144F">
        <w:rPr>
          <w:lang w:val="fr-FR"/>
        </w:rPr>
        <w:tab/>
        <w:t xml:space="preserve">Proposition de complément </w:t>
      </w:r>
      <w:r>
        <w:rPr>
          <w:lang w:val="fr-FR"/>
        </w:rPr>
        <w:t xml:space="preserve">à la </w:t>
      </w:r>
      <w:r w:rsidRPr="00AB144F">
        <w:rPr>
          <w:lang w:val="fr-FR"/>
        </w:rPr>
        <w:t xml:space="preserve">série 08 [et </w:t>
      </w:r>
      <w:r>
        <w:rPr>
          <w:lang w:val="fr-FR"/>
        </w:rPr>
        <w:t xml:space="preserve">à la série </w:t>
      </w:r>
      <w:r w:rsidRPr="00AB144F">
        <w:rPr>
          <w:lang w:val="fr-FR"/>
        </w:rPr>
        <w:t>09] d</w:t>
      </w:r>
      <w:r>
        <w:rPr>
          <w:lang w:val="fr-FR"/>
        </w:rPr>
        <w:t>’</w:t>
      </w:r>
      <w:r w:rsidRPr="00AB144F">
        <w:rPr>
          <w:lang w:val="fr-FR"/>
        </w:rPr>
        <w:t>amendements au Règlement ONU n</w:t>
      </w:r>
      <w:r w:rsidRPr="00AB144F">
        <w:rPr>
          <w:vertAlign w:val="superscript"/>
          <w:lang w:val="fr-FR"/>
        </w:rPr>
        <w:t>o</w:t>
      </w:r>
      <w:r w:rsidRPr="00AB144F">
        <w:rPr>
          <w:lang w:val="fr-FR"/>
        </w:rPr>
        <w:t> 48</w:t>
      </w:r>
    </w:p>
    <w:p w14:paraId="274F1E62" w14:textId="77777777" w:rsidR="00D20D26" w:rsidRPr="00AB144F" w:rsidRDefault="00D20D26" w:rsidP="00D20D26">
      <w:pPr>
        <w:pStyle w:val="SingleTxtG"/>
        <w:rPr>
          <w:lang w:val="fr-FR"/>
        </w:rPr>
      </w:pPr>
      <w:r w:rsidRPr="00AB144F">
        <w:rPr>
          <w:i/>
          <w:iCs/>
          <w:lang w:val="fr-FR"/>
        </w:rPr>
        <w:t>Paragraphe 2.10.8</w:t>
      </w:r>
      <w:r w:rsidRPr="00AB144F">
        <w:rPr>
          <w:lang w:val="fr-FR"/>
        </w:rPr>
        <w:t>, lire :</w:t>
      </w:r>
    </w:p>
    <w:p w14:paraId="214D6F85" w14:textId="2B86B9B1" w:rsidR="00D20D26" w:rsidRPr="00AB144F" w:rsidRDefault="00D20D26" w:rsidP="00D20D26">
      <w:pPr>
        <w:pStyle w:val="4Para4thlevel"/>
        <w:rPr>
          <w:color w:val="000000"/>
          <w:lang w:val="fr-FR"/>
        </w:rPr>
      </w:pPr>
      <w:r w:rsidRPr="00AB144F">
        <w:rPr>
          <w:lang w:val="fr-FR"/>
        </w:rPr>
        <w:t>« 2.10.8</w:t>
      </w:r>
      <w:r w:rsidRPr="00AB144F">
        <w:rPr>
          <w:lang w:val="fr-FR"/>
        </w:rPr>
        <w:tab/>
      </w:r>
      <w:r w:rsidRPr="00D20D26">
        <w:rPr>
          <w:lang w:val="fr-CH"/>
        </w:rPr>
        <w:t>“</w:t>
      </w:r>
      <w:r w:rsidRPr="00AB144F">
        <w:rPr>
          <w:lang w:val="fr-FR"/>
        </w:rPr>
        <w:t>Stabilité photométrique</w:t>
      </w:r>
      <w:r w:rsidRPr="00D20D26">
        <w:rPr>
          <w:lang w:val="fr-CH"/>
        </w:rPr>
        <w:t>”</w:t>
      </w:r>
      <w:r w:rsidRPr="00AB144F">
        <w:rPr>
          <w:lang w:val="fr-FR"/>
        </w:rPr>
        <w:t>, le moment où la variation de l</w:t>
      </w:r>
      <w:r>
        <w:rPr>
          <w:lang w:val="fr-FR"/>
        </w:rPr>
        <w:t>’</w:t>
      </w:r>
      <w:r w:rsidRPr="00AB144F">
        <w:rPr>
          <w:lang w:val="fr-FR"/>
        </w:rPr>
        <w:t>intensité lumineuse au point d</w:t>
      </w:r>
      <w:r>
        <w:rPr>
          <w:lang w:val="fr-FR"/>
        </w:rPr>
        <w:t>’</w:t>
      </w:r>
      <w:r w:rsidRPr="00AB144F">
        <w:rPr>
          <w:lang w:val="fr-FR"/>
        </w:rPr>
        <w:t>essai indiqué est inférieure à 3</w:t>
      </w:r>
      <w:r>
        <w:rPr>
          <w:lang w:val="fr-FR"/>
        </w:rPr>
        <w:t> </w:t>
      </w:r>
      <w:r w:rsidRPr="00AB144F">
        <w:rPr>
          <w:lang w:val="fr-FR"/>
        </w:rPr>
        <w:t>% au cours de toute période de 15</w:t>
      </w:r>
      <w:r>
        <w:rPr>
          <w:lang w:val="fr-FR"/>
        </w:rPr>
        <w:t> </w:t>
      </w:r>
      <w:r w:rsidRPr="00AB144F">
        <w:rPr>
          <w:lang w:val="fr-FR"/>
        </w:rPr>
        <w:t xml:space="preserve">minutes </w:t>
      </w:r>
      <w:r w:rsidRPr="00AB144F">
        <w:rPr>
          <w:b/>
          <w:bCs/>
          <w:lang w:val="fr-FR"/>
        </w:rPr>
        <w:t>ou à 1</w:t>
      </w:r>
      <w:r>
        <w:rPr>
          <w:b/>
          <w:bCs/>
          <w:lang w:val="fr-FR"/>
        </w:rPr>
        <w:t> </w:t>
      </w:r>
      <w:r w:rsidRPr="00AB144F">
        <w:rPr>
          <w:b/>
          <w:bCs/>
          <w:lang w:val="fr-FR"/>
        </w:rPr>
        <w:t>% au cours de toute période de 5 minutes</w:t>
      </w:r>
      <w:r w:rsidRPr="00AB144F">
        <w:rPr>
          <w:lang w:val="fr-FR"/>
        </w:rPr>
        <w:t>. ».</w:t>
      </w:r>
    </w:p>
    <w:p w14:paraId="32BBF398" w14:textId="6AD1DE7B" w:rsidR="00D20D26" w:rsidRPr="00AB144F" w:rsidRDefault="00D20D26" w:rsidP="00D20D26">
      <w:pPr>
        <w:pStyle w:val="H1G"/>
        <w:rPr>
          <w:lang w:val="fr-FR"/>
        </w:rPr>
      </w:pPr>
      <w:r>
        <w:rPr>
          <w:lang w:val="fr-FR"/>
        </w:rPr>
        <w:tab/>
      </w:r>
      <w:r w:rsidRPr="00AB144F">
        <w:rPr>
          <w:lang w:val="fr-FR"/>
        </w:rPr>
        <w:t>B.</w:t>
      </w:r>
      <w:r w:rsidRPr="00AB144F">
        <w:rPr>
          <w:lang w:val="fr-FR"/>
        </w:rPr>
        <w:tab/>
        <w:t>Proposition de complément à la série 01 d</w:t>
      </w:r>
      <w:r>
        <w:rPr>
          <w:lang w:val="fr-FR"/>
        </w:rPr>
        <w:t>’</w:t>
      </w:r>
      <w:r w:rsidRPr="00AB144F">
        <w:rPr>
          <w:lang w:val="fr-FR"/>
        </w:rPr>
        <w:t xml:space="preserve">amendements </w:t>
      </w:r>
      <w:r>
        <w:rPr>
          <w:lang w:val="fr-FR"/>
        </w:rPr>
        <w:br/>
      </w:r>
      <w:r w:rsidRPr="00AB144F">
        <w:rPr>
          <w:lang w:val="fr-FR"/>
        </w:rPr>
        <w:t>au Règlement ONU n</w:t>
      </w:r>
      <w:r w:rsidRPr="00AB144F">
        <w:rPr>
          <w:vertAlign w:val="superscript"/>
          <w:lang w:val="fr-FR"/>
        </w:rPr>
        <w:t>o</w:t>
      </w:r>
      <w:r w:rsidRPr="00AB144F">
        <w:rPr>
          <w:lang w:val="fr-FR"/>
        </w:rPr>
        <w:t> 148</w:t>
      </w:r>
    </w:p>
    <w:p w14:paraId="6F7CE37C" w14:textId="77777777" w:rsidR="00D20D26" w:rsidRPr="00AB144F" w:rsidRDefault="00D20D26" w:rsidP="00D20D26">
      <w:pPr>
        <w:pStyle w:val="SingleTxtG"/>
        <w:rPr>
          <w:lang w:val="fr-FR"/>
        </w:rPr>
      </w:pPr>
      <w:r w:rsidRPr="00AB144F">
        <w:rPr>
          <w:i/>
          <w:iCs/>
          <w:lang w:val="fr-FR"/>
        </w:rPr>
        <w:t>Annexe 8, paragraphe 1.2.2</w:t>
      </w:r>
      <w:r w:rsidRPr="00AB144F">
        <w:rPr>
          <w:lang w:val="fr-FR"/>
        </w:rPr>
        <w:t>, lire :</w:t>
      </w:r>
    </w:p>
    <w:p w14:paraId="25300103" w14:textId="77777777" w:rsidR="00D20D26" w:rsidRPr="00AB144F" w:rsidRDefault="00D20D26" w:rsidP="00D20D26">
      <w:pPr>
        <w:pStyle w:val="SingleTxtG"/>
        <w:ind w:left="2268" w:hanging="1134"/>
        <w:rPr>
          <w:lang w:val="fr-FR"/>
        </w:rPr>
      </w:pPr>
      <w:r w:rsidRPr="00AB144F">
        <w:rPr>
          <w:lang w:val="fr-FR"/>
        </w:rPr>
        <w:t>« 1.2.2</w:t>
      </w:r>
      <w:r w:rsidRPr="00AB144F">
        <w:rPr>
          <w:lang w:val="fr-FR"/>
        </w:rPr>
        <w:tab/>
        <w:t xml:space="preserve">Pour tous les autres feux, les intensités lumineuses mesurées après 1 minute et </w:t>
      </w:r>
    </w:p>
    <w:p w14:paraId="3DA39865" w14:textId="77777777" w:rsidR="00D20D26" w:rsidRPr="00AB144F" w:rsidRDefault="00D20D26" w:rsidP="00D20D26">
      <w:pPr>
        <w:pStyle w:val="3para3rdlevel"/>
        <w:ind w:firstLine="0"/>
        <w:rPr>
          <w:b/>
          <w:bCs/>
          <w:lang w:val="fr-FR"/>
        </w:rPr>
      </w:pPr>
      <w:r w:rsidRPr="00AB144F">
        <w:rPr>
          <w:lang w:val="fr-FR"/>
        </w:rPr>
        <w:t xml:space="preserve">- </w:t>
      </w:r>
      <w:r w:rsidRPr="003F2C1D">
        <w:rPr>
          <w:b/>
          <w:bCs/>
          <w:lang w:val="fr-FR"/>
        </w:rPr>
        <w:t>soit</w:t>
      </w:r>
      <w:r w:rsidRPr="004E581C">
        <w:rPr>
          <w:lang w:val="fr-FR"/>
        </w:rPr>
        <w:t xml:space="preserve"> </w:t>
      </w:r>
      <w:r w:rsidRPr="00AB144F">
        <w:rPr>
          <w:lang w:val="fr-FR"/>
        </w:rPr>
        <w:t>après 30 minutes de fonctionnement</w:t>
      </w:r>
      <w:r w:rsidRPr="00AB144F">
        <w:rPr>
          <w:b/>
          <w:bCs/>
          <w:lang w:val="fr-FR"/>
        </w:rPr>
        <w:t xml:space="preserve">, </w:t>
      </w:r>
    </w:p>
    <w:p w14:paraId="481A3F65" w14:textId="77777777" w:rsidR="00D20D26" w:rsidRPr="00AB144F" w:rsidRDefault="00D20D26" w:rsidP="00D20D26">
      <w:pPr>
        <w:pStyle w:val="3para3rdlevel"/>
        <w:ind w:firstLine="0"/>
        <w:rPr>
          <w:lang w:val="fr-FR"/>
        </w:rPr>
      </w:pPr>
      <w:r w:rsidRPr="00AB144F">
        <w:rPr>
          <w:b/>
          <w:bCs/>
          <w:lang w:val="fr-FR"/>
        </w:rPr>
        <w:t xml:space="preserve">- </w:t>
      </w:r>
      <w:r w:rsidRPr="004E581C">
        <w:rPr>
          <w:b/>
          <w:bCs/>
          <w:lang w:val="fr-FR"/>
        </w:rPr>
        <w:t xml:space="preserve">soit </w:t>
      </w:r>
      <w:r w:rsidRPr="00AB144F">
        <w:rPr>
          <w:b/>
          <w:bCs/>
          <w:lang w:val="fr-FR"/>
        </w:rPr>
        <w:t>après que la stabilité photométrique a été atteinte</w:t>
      </w:r>
    </w:p>
    <w:p w14:paraId="31FEE454" w14:textId="77777777" w:rsidR="00D20D26" w:rsidRPr="00AB144F" w:rsidRDefault="00D20D26" w:rsidP="00D20D26">
      <w:pPr>
        <w:pStyle w:val="3para3rdlevel"/>
        <w:ind w:firstLine="0"/>
        <w:rPr>
          <w:lang w:val="fr-FR"/>
        </w:rPr>
      </w:pPr>
      <w:r w:rsidRPr="00AB144F">
        <w:rPr>
          <w:lang w:val="fr-FR"/>
        </w:rPr>
        <w:t>doivent être conformes aux prescriptions minimales et maximales.</w:t>
      </w:r>
    </w:p>
    <w:p w14:paraId="1A8A2DCE" w14:textId="77777777" w:rsidR="00D20D26" w:rsidRPr="00AB144F" w:rsidRDefault="00D20D26" w:rsidP="00D20D26">
      <w:pPr>
        <w:pStyle w:val="para"/>
        <w:ind w:right="1133" w:firstLine="0"/>
      </w:pPr>
      <w:r w:rsidRPr="00AB144F">
        <w:t>Les feux indicateurs de direction doivent fonctionner en mode clignotant (f = 1,5 Hz, facteur de marche 50 %).</w:t>
      </w:r>
    </w:p>
    <w:p w14:paraId="420BEFA8" w14:textId="77777777" w:rsidR="00D20D26" w:rsidRPr="00AB144F" w:rsidRDefault="00D20D26" w:rsidP="00D20D26">
      <w:pPr>
        <w:pStyle w:val="para"/>
        <w:ind w:right="1133" w:firstLine="0"/>
      </w:pPr>
      <w:r w:rsidRPr="00AB144F">
        <w:t>La répartition de l</w:t>
      </w:r>
      <w:r>
        <w:t>’</w:t>
      </w:r>
      <w:r w:rsidRPr="00AB144F">
        <w:t>intensité lumineuse après 1 minute de fonctionnement peut être calculée à partir de la répartition de l</w:t>
      </w:r>
      <w:r>
        <w:t>’</w:t>
      </w:r>
      <w:r w:rsidRPr="00AB144F">
        <w:t xml:space="preserve">intensité lumineuse </w:t>
      </w:r>
      <w:r w:rsidRPr="00AB144F">
        <w:rPr>
          <w:b/>
          <w:bCs/>
        </w:rPr>
        <w:t>soit</w:t>
      </w:r>
      <w:r w:rsidRPr="00AB144F">
        <w:t xml:space="preserve"> après 30 minutes de fonctionnement</w:t>
      </w:r>
      <w:r w:rsidRPr="003F2C1D">
        <w:rPr>
          <w:b/>
          <w:bCs/>
        </w:rPr>
        <w:t>,</w:t>
      </w:r>
      <w:r w:rsidRPr="00AB144F">
        <w:t xml:space="preserve"> </w:t>
      </w:r>
      <w:r w:rsidRPr="00AB144F">
        <w:rPr>
          <w:b/>
          <w:bCs/>
        </w:rPr>
        <w:t>soit après que la stabilité photométrique a été atteinte,</w:t>
      </w:r>
      <w:r w:rsidRPr="00AB144F">
        <w:t xml:space="preserve"> en retenant à chaque point d</w:t>
      </w:r>
      <w:r>
        <w:t>’</w:t>
      </w:r>
      <w:r w:rsidRPr="00AB144F">
        <w:t xml:space="preserve">essai le rapport des intensités lumineuses mesurées en HV après 1 minute et </w:t>
      </w:r>
      <w:r w:rsidRPr="00AB144F">
        <w:rPr>
          <w:b/>
          <w:bCs/>
        </w:rPr>
        <w:t>soit</w:t>
      </w:r>
      <w:r w:rsidRPr="00AB144F">
        <w:t xml:space="preserve"> après 30 minutes de fonctionnement</w:t>
      </w:r>
      <w:r w:rsidRPr="003F2C1D">
        <w:rPr>
          <w:b/>
          <w:bCs/>
        </w:rPr>
        <w:t>,</w:t>
      </w:r>
      <w:r w:rsidRPr="00AB144F">
        <w:t xml:space="preserve"> </w:t>
      </w:r>
      <w:r w:rsidRPr="00AB144F">
        <w:rPr>
          <w:b/>
          <w:bCs/>
        </w:rPr>
        <w:t>soit après que la stabilité photométrique a été atteinte</w:t>
      </w:r>
      <w:r w:rsidRPr="00AB144F">
        <w:t>. ».</w:t>
      </w:r>
    </w:p>
    <w:p w14:paraId="5EF5E63B" w14:textId="77777777" w:rsidR="00D20D26" w:rsidRPr="00AB144F" w:rsidRDefault="00D20D26" w:rsidP="00D20D26">
      <w:pPr>
        <w:pStyle w:val="HChG"/>
        <w:rPr>
          <w:lang w:val="fr-FR"/>
        </w:rPr>
      </w:pPr>
      <w:r w:rsidRPr="00AB144F">
        <w:rPr>
          <w:lang w:val="fr-FR"/>
        </w:rPr>
        <w:tab/>
        <w:t>II.</w:t>
      </w:r>
      <w:r w:rsidRPr="00AB144F">
        <w:rPr>
          <w:lang w:val="fr-FR"/>
        </w:rPr>
        <w:tab/>
        <w:t>Justification</w:t>
      </w:r>
    </w:p>
    <w:p w14:paraId="1A8E5C59" w14:textId="79AC06E1" w:rsidR="00D20D26" w:rsidRPr="00AB144F" w:rsidRDefault="00D20D26" w:rsidP="00D20D26">
      <w:pPr>
        <w:pStyle w:val="H4G"/>
        <w:rPr>
          <w:lang w:val="fr-FR"/>
        </w:rPr>
      </w:pPr>
      <w:bookmarkStart w:id="0" w:name="_Hlk108093346"/>
      <w:r>
        <w:rPr>
          <w:lang w:val="fr-FR"/>
        </w:rPr>
        <w:tab/>
      </w:r>
      <w:r>
        <w:rPr>
          <w:lang w:val="fr-FR"/>
        </w:rPr>
        <w:tab/>
      </w:r>
      <w:r>
        <w:rPr>
          <w:lang w:val="fr-FR"/>
        </w:rPr>
        <w:t>A</w:t>
      </w:r>
      <w:r w:rsidRPr="00AB144F">
        <w:rPr>
          <w:lang w:val="fr-FR"/>
        </w:rPr>
        <w:t>mendements au Règlement ONU n</w:t>
      </w:r>
      <w:r w:rsidRPr="00AB144F">
        <w:rPr>
          <w:vertAlign w:val="superscript"/>
          <w:lang w:val="fr-FR"/>
        </w:rPr>
        <w:t>o</w:t>
      </w:r>
      <w:r>
        <w:rPr>
          <w:lang w:val="fr-FR"/>
        </w:rPr>
        <w:t> </w:t>
      </w:r>
      <w:r w:rsidRPr="00AB144F">
        <w:rPr>
          <w:lang w:val="fr-FR"/>
        </w:rPr>
        <w:t>48</w:t>
      </w:r>
    </w:p>
    <w:p w14:paraId="62797FEC" w14:textId="77777777" w:rsidR="00D20D26" w:rsidRPr="00AB144F" w:rsidRDefault="00D20D26" w:rsidP="00D20D26">
      <w:pPr>
        <w:pStyle w:val="SingleTxtG"/>
        <w:rPr>
          <w:bCs/>
          <w:iCs/>
          <w:lang w:val="fr-FR"/>
        </w:rPr>
      </w:pPr>
      <w:r w:rsidRPr="00AB144F">
        <w:rPr>
          <w:lang w:val="fr-FR"/>
        </w:rPr>
        <w:t>1.</w:t>
      </w:r>
      <w:r w:rsidRPr="00AB144F">
        <w:rPr>
          <w:lang w:val="fr-FR"/>
        </w:rPr>
        <w:tab/>
        <w:t>En fonction du type de source lumineuse, l</w:t>
      </w:r>
      <w:r>
        <w:rPr>
          <w:lang w:val="fr-FR"/>
        </w:rPr>
        <w:t>’</w:t>
      </w:r>
      <w:r w:rsidRPr="00AB144F">
        <w:rPr>
          <w:lang w:val="fr-FR"/>
        </w:rPr>
        <w:t>intensité lumineuse varie au début jusqu</w:t>
      </w:r>
      <w:r>
        <w:rPr>
          <w:lang w:val="fr-FR"/>
        </w:rPr>
        <w:t>’</w:t>
      </w:r>
      <w:r w:rsidRPr="00AB144F">
        <w:rPr>
          <w:lang w:val="fr-FR"/>
        </w:rPr>
        <w:t>à atteindre une phase plus stable. Par conséquent, le temps nécessaire pour commencer la mesure peut souvent être supérieur à 15 minutes.</w:t>
      </w:r>
    </w:p>
    <w:p w14:paraId="6A2D6669" w14:textId="77777777" w:rsidR="00D20D26" w:rsidRPr="00AB144F" w:rsidRDefault="00D20D26" w:rsidP="00D20D26">
      <w:pPr>
        <w:pStyle w:val="SingleTxtG"/>
        <w:rPr>
          <w:lang w:val="fr-FR"/>
        </w:rPr>
      </w:pPr>
      <w:r w:rsidRPr="00AB144F">
        <w:rPr>
          <w:lang w:val="fr-FR"/>
        </w:rPr>
        <w:t>2.</w:t>
      </w:r>
      <w:r w:rsidRPr="00AB144F">
        <w:rPr>
          <w:lang w:val="fr-FR"/>
        </w:rPr>
        <w:tab/>
        <w:t xml:space="preserve">La lumière émise par certains feux atteint une phase assez stable après une courte période. En pareil cas, la mesure peut être commencée après une période plus courte. Toutefois, les prescriptions actuelles ne le permettent pas, car elles imposent toujours un </w:t>
      </w:r>
      <w:r w:rsidRPr="00C75076">
        <w:rPr>
          <w:lang w:val="fr-FR"/>
        </w:rPr>
        <w:t xml:space="preserve">temps </w:t>
      </w:r>
      <w:r w:rsidRPr="00AB144F">
        <w:rPr>
          <w:lang w:val="fr-FR"/>
        </w:rPr>
        <w:t>d</w:t>
      </w:r>
      <w:r>
        <w:rPr>
          <w:lang w:val="fr-FR"/>
        </w:rPr>
        <w:t>’</w:t>
      </w:r>
      <w:r w:rsidRPr="00AB144F">
        <w:rPr>
          <w:lang w:val="fr-FR"/>
        </w:rPr>
        <w:t>attente d</w:t>
      </w:r>
      <w:r>
        <w:rPr>
          <w:lang w:val="fr-FR"/>
        </w:rPr>
        <w:t>’</w:t>
      </w:r>
      <w:r w:rsidRPr="00AB144F">
        <w:rPr>
          <w:lang w:val="fr-FR"/>
        </w:rPr>
        <w:t>au moins 15 minutes.</w:t>
      </w:r>
    </w:p>
    <w:p w14:paraId="6ABEB6A3" w14:textId="6A459D94" w:rsidR="00D20D26" w:rsidRPr="00AB144F" w:rsidRDefault="00D20D26" w:rsidP="00D20D26">
      <w:pPr>
        <w:pStyle w:val="SingleTxtG"/>
        <w:rPr>
          <w:lang w:val="fr-FR"/>
        </w:rPr>
      </w:pPr>
      <w:r w:rsidRPr="00AB144F">
        <w:rPr>
          <w:lang w:val="fr-FR"/>
        </w:rPr>
        <w:t>3.</w:t>
      </w:r>
      <w:r w:rsidRPr="00AB144F">
        <w:rPr>
          <w:lang w:val="fr-FR"/>
        </w:rPr>
        <w:tab/>
        <w:t>Les améliorations qu</w:t>
      </w:r>
      <w:r>
        <w:rPr>
          <w:lang w:val="fr-FR"/>
        </w:rPr>
        <w:t>’</w:t>
      </w:r>
      <w:r w:rsidRPr="00AB144F">
        <w:rPr>
          <w:lang w:val="fr-FR"/>
        </w:rPr>
        <w:t>il est proposé d</w:t>
      </w:r>
      <w:r>
        <w:rPr>
          <w:lang w:val="fr-FR"/>
        </w:rPr>
        <w:t>’</w:t>
      </w:r>
      <w:r w:rsidRPr="00AB144F">
        <w:rPr>
          <w:lang w:val="fr-FR"/>
        </w:rPr>
        <w:t>apporter à la définition de la stabilité photométrique permettent de réduire le temps qu</w:t>
      </w:r>
      <w:r>
        <w:rPr>
          <w:lang w:val="fr-FR"/>
        </w:rPr>
        <w:t>’</w:t>
      </w:r>
      <w:r w:rsidRPr="00AB144F">
        <w:rPr>
          <w:lang w:val="fr-FR"/>
        </w:rPr>
        <w:t>il faut pour commencer la mesure sans en diminuer la précision, puisqu</w:t>
      </w:r>
      <w:r>
        <w:rPr>
          <w:lang w:val="fr-FR"/>
        </w:rPr>
        <w:t>’</w:t>
      </w:r>
      <w:r w:rsidRPr="00AB144F">
        <w:rPr>
          <w:lang w:val="fr-FR"/>
        </w:rPr>
        <w:t>une variation de 1</w:t>
      </w:r>
      <w:r>
        <w:rPr>
          <w:lang w:val="fr-FR"/>
        </w:rPr>
        <w:t> </w:t>
      </w:r>
      <w:r w:rsidRPr="00AB144F">
        <w:rPr>
          <w:lang w:val="fr-FR"/>
        </w:rPr>
        <w:t>% peut être facilement constatée.</w:t>
      </w:r>
    </w:p>
    <w:p w14:paraId="31718C05" w14:textId="249DE348" w:rsidR="00D20D26" w:rsidRPr="00AB144F" w:rsidRDefault="00D20D26" w:rsidP="00D20D26">
      <w:pPr>
        <w:pStyle w:val="H4G"/>
        <w:rPr>
          <w:bCs/>
          <w:lang w:val="fr-FR"/>
        </w:rPr>
      </w:pPr>
      <w:r>
        <w:rPr>
          <w:lang w:val="fr-FR"/>
        </w:rPr>
        <w:tab/>
      </w:r>
      <w:r>
        <w:rPr>
          <w:lang w:val="fr-FR"/>
        </w:rPr>
        <w:tab/>
      </w:r>
      <w:r>
        <w:rPr>
          <w:lang w:val="fr-FR"/>
        </w:rPr>
        <w:t>A</w:t>
      </w:r>
      <w:r w:rsidRPr="00AB144F">
        <w:rPr>
          <w:lang w:val="fr-FR"/>
        </w:rPr>
        <w:t>mendements au Règlement ONU n</w:t>
      </w:r>
      <w:r w:rsidRPr="00AB144F">
        <w:rPr>
          <w:vertAlign w:val="superscript"/>
          <w:lang w:val="fr-FR"/>
        </w:rPr>
        <w:t>o</w:t>
      </w:r>
      <w:r>
        <w:rPr>
          <w:lang w:val="fr-FR"/>
        </w:rPr>
        <w:t> </w:t>
      </w:r>
      <w:r w:rsidRPr="00AB144F">
        <w:rPr>
          <w:lang w:val="fr-FR"/>
        </w:rPr>
        <w:t>148</w:t>
      </w:r>
    </w:p>
    <w:p w14:paraId="6C155882" w14:textId="77777777" w:rsidR="00D20D26" w:rsidRPr="00AB144F" w:rsidRDefault="00D20D26" w:rsidP="00D20D26">
      <w:pPr>
        <w:pStyle w:val="SingleTxtG"/>
        <w:rPr>
          <w:lang w:val="fr-FR"/>
        </w:rPr>
      </w:pPr>
      <w:r w:rsidRPr="00AB144F">
        <w:rPr>
          <w:lang w:val="fr-FR"/>
        </w:rPr>
        <w:t>4.</w:t>
      </w:r>
      <w:r w:rsidRPr="00AB144F">
        <w:rPr>
          <w:lang w:val="fr-FR"/>
        </w:rPr>
        <w:tab/>
        <w:t>Selon les caractéristiques thermodynamiques du feu, la stabilisation photométrique peut être atteinte en moins de 30 minutes. Dans ce cas, il n</w:t>
      </w:r>
      <w:r>
        <w:rPr>
          <w:lang w:val="fr-FR"/>
        </w:rPr>
        <w:t>’</w:t>
      </w:r>
      <w:r w:rsidRPr="00AB144F">
        <w:rPr>
          <w:lang w:val="fr-FR"/>
        </w:rPr>
        <w:t>est pas nécessaire d</w:t>
      </w:r>
      <w:r>
        <w:rPr>
          <w:lang w:val="fr-FR"/>
        </w:rPr>
        <w:t>’</w:t>
      </w:r>
      <w:r w:rsidRPr="00AB144F">
        <w:rPr>
          <w:lang w:val="fr-FR"/>
        </w:rPr>
        <w:t xml:space="preserve">attendre plus longtemps. </w:t>
      </w:r>
      <w:bookmarkEnd w:id="0"/>
    </w:p>
    <w:p w14:paraId="4CE71313" w14:textId="2E6CC82A" w:rsidR="00D20D26" w:rsidRDefault="00D20D26" w:rsidP="00D20D26">
      <w:pPr>
        <w:pStyle w:val="SingleTxtG"/>
        <w:keepNext/>
        <w:keepLines/>
        <w:rPr>
          <w:lang w:val="fr-FR"/>
        </w:rPr>
      </w:pPr>
      <w:r w:rsidRPr="00AB144F">
        <w:rPr>
          <w:lang w:val="fr-FR"/>
        </w:rPr>
        <w:lastRenderedPageBreak/>
        <w:t>5.</w:t>
      </w:r>
      <w:r w:rsidRPr="00AB144F">
        <w:rPr>
          <w:lang w:val="fr-FR"/>
        </w:rPr>
        <w:tab/>
        <w:t>La solution proposée vise à faire concorder le début des mesures entre les Règlements ONU n</w:t>
      </w:r>
      <w:r w:rsidRPr="00AB144F">
        <w:rPr>
          <w:vertAlign w:val="superscript"/>
          <w:lang w:val="fr-FR"/>
        </w:rPr>
        <w:t>os</w:t>
      </w:r>
      <w:r>
        <w:rPr>
          <w:lang w:val="fr-FR"/>
        </w:rPr>
        <w:t> </w:t>
      </w:r>
      <w:r w:rsidRPr="00AB144F">
        <w:rPr>
          <w:lang w:val="fr-FR"/>
        </w:rPr>
        <w:t>148 et 149 (dans lequel il est déjà fait référence à la « stabilité photométrique », par exemple aux paragraphes 1.2.1 et 1.2.2 de l</w:t>
      </w:r>
      <w:r>
        <w:rPr>
          <w:lang w:val="fr-FR"/>
        </w:rPr>
        <w:t>’</w:t>
      </w:r>
      <w:r w:rsidRPr="00AB144F">
        <w:rPr>
          <w:lang w:val="fr-FR"/>
        </w:rPr>
        <w:t>annexe 10) et, grâce à l</w:t>
      </w:r>
      <w:r>
        <w:rPr>
          <w:lang w:val="fr-FR"/>
        </w:rPr>
        <w:t>’</w:t>
      </w:r>
      <w:r w:rsidRPr="00AB144F">
        <w:rPr>
          <w:lang w:val="fr-FR"/>
        </w:rPr>
        <w:t>amendement parallèle au Règlement ONU n</w:t>
      </w:r>
      <w:r w:rsidRPr="00AB144F">
        <w:rPr>
          <w:vertAlign w:val="superscript"/>
          <w:lang w:val="fr-FR"/>
        </w:rPr>
        <w:t>o</w:t>
      </w:r>
      <w:r>
        <w:rPr>
          <w:lang w:val="fr-FR"/>
        </w:rPr>
        <w:t> </w:t>
      </w:r>
      <w:r w:rsidRPr="00AB144F">
        <w:rPr>
          <w:lang w:val="fr-FR"/>
        </w:rPr>
        <w:t>48, à permettre d</w:t>
      </w:r>
      <w:r>
        <w:rPr>
          <w:lang w:val="fr-FR"/>
        </w:rPr>
        <w:t>’</w:t>
      </w:r>
      <w:r w:rsidRPr="00AB144F">
        <w:rPr>
          <w:lang w:val="fr-FR"/>
        </w:rPr>
        <w:t>effectuer une mesure après une durée définie d</w:t>
      </w:r>
      <w:r>
        <w:rPr>
          <w:lang w:val="fr-FR"/>
        </w:rPr>
        <w:t>’</w:t>
      </w:r>
      <w:r w:rsidRPr="00AB144F">
        <w:rPr>
          <w:lang w:val="fr-FR"/>
        </w:rPr>
        <w:t>au moins 5 minutes.</w:t>
      </w:r>
    </w:p>
    <w:p w14:paraId="39335EC6" w14:textId="6915B0FD" w:rsidR="00D20D26" w:rsidRPr="00D20D26" w:rsidRDefault="00D20D26" w:rsidP="00D20D26">
      <w:pPr>
        <w:pStyle w:val="SingleTxtG"/>
        <w:spacing w:before="240" w:after="0"/>
        <w:jc w:val="center"/>
        <w:rPr>
          <w:u w:val="single"/>
          <w:lang w:val="fr-FR"/>
        </w:rPr>
      </w:pPr>
      <w:r>
        <w:rPr>
          <w:lang w:val="fr-FR"/>
        </w:rPr>
        <w:tab/>
      </w:r>
      <w:r>
        <w:rPr>
          <w:u w:val="single"/>
          <w:lang w:val="fr-FR"/>
        </w:rPr>
        <w:tab/>
      </w:r>
      <w:r>
        <w:rPr>
          <w:u w:val="single"/>
          <w:lang w:val="fr-FR"/>
        </w:rPr>
        <w:tab/>
      </w:r>
      <w:r>
        <w:rPr>
          <w:u w:val="single"/>
          <w:lang w:val="fr-FR"/>
        </w:rPr>
        <w:tab/>
      </w:r>
    </w:p>
    <w:sectPr w:rsidR="00D20D26" w:rsidRPr="00D20D26" w:rsidSect="00445BE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5DDF3" w14:textId="77777777" w:rsidR="00A75A6F" w:rsidRDefault="00A75A6F" w:rsidP="00F95C08">
      <w:pPr>
        <w:spacing w:line="240" w:lineRule="auto"/>
      </w:pPr>
    </w:p>
  </w:endnote>
  <w:endnote w:type="continuationSeparator" w:id="0">
    <w:p w14:paraId="08E5635E" w14:textId="77777777" w:rsidR="00A75A6F" w:rsidRPr="00AC3823" w:rsidRDefault="00A75A6F" w:rsidP="00AC3823">
      <w:pPr>
        <w:pStyle w:val="Pieddepage"/>
      </w:pPr>
    </w:p>
  </w:endnote>
  <w:endnote w:type="continuationNotice" w:id="1">
    <w:p w14:paraId="230C9319" w14:textId="77777777" w:rsidR="00A75A6F" w:rsidRDefault="00A75A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3ECA" w14:textId="77777777" w:rsidR="00445BE9" w:rsidRPr="00445BE9" w:rsidRDefault="00445BE9" w:rsidP="00445BE9">
    <w:pPr>
      <w:pStyle w:val="Pieddepage"/>
      <w:tabs>
        <w:tab w:val="right" w:pos="9638"/>
      </w:tabs>
    </w:pPr>
    <w:r w:rsidRPr="00445BE9">
      <w:rPr>
        <w:b/>
        <w:sz w:val="18"/>
      </w:rPr>
      <w:fldChar w:fldCharType="begin"/>
    </w:r>
    <w:r w:rsidRPr="00445BE9">
      <w:rPr>
        <w:b/>
        <w:sz w:val="18"/>
      </w:rPr>
      <w:instrText xml:space="preserve"> PAGE  \* MERGEFORMAT </w:instrText>
    </w:r>
    <w:r w:rsidRPr="00445BE9">
      <w:rPr>
        <w:b/>
        <w:sz w:val="18"/>
      </w:rPr>
      <w:fldChar w:fldCharType="separate"/>
    </w:r>
    <w:r w:rsidRPr="00445BE9">
      <w:rPr>
        <w:b/>
        <w:noProof/>
        <w:sz w:val="18"/>
      </w:rPr>
      <w:t>2</w:t>
    </w:r>
    <w:r w:rsidRPr="00445BE9">
      <w:rPr>
        <w:b/>
        <w:sz w:val="18"/>
      </w:rPr>
      <w:fldChar w:fldCharType="end"/>
    </w:r>
    <w:r>
      <w:rPr>
        <w:b/>
        <w:sz w:val="18"/>
      </w:rPr>
      <w:tab/>
    </w:r>
    <w:r>
      <w:t>GE.23-15320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ABB3" w14:textId="77777777" w:rsidR="00445BE9" w:rsidRPr="00445BE9" w:rsidRDefault="00445BE9" w:rsidP="00445BE9">
    <w:pPr>
      <w:pStyle w:val="Pieddepage"/>
      <w:tabs>
        <w:tab w:val="right" w:pos="9638"/>
      </w:tabs>
      <w:rPr>
        <w:b/>
        <w:sz w:val="18"/>
      </w:rPr>
    </w:pPr>
    <w:r>
      <w:t>GE.23-15320</w:t>
    </w:r>
    <w:r>
      <w:tab/>
    </w:r>
    <w:r w:rsidRPr="00445BE9">
      <w:rPr>
        <w:b/>
        <w:sz w:val="18"/>
      </w:rPr>
      <w:fldChar w:fldCharType="begin"/>
    </w:r>
    <w:r w:rsidRPr="00445BE9">
      <w:rPr>
        <w:b/>
        <w:sz w:val="18"/>
      </w:rPr>
      <w:instrText xml:space="preserve"> PAGE  \* MERGEFORMAT </w:instrText>
    </w:r>
    <w:r w:rsidRPr="00445BE9">
      <w:rPr>
        <w:b/>
        <w:sz w:val="18"/>
      </w:rPr>
      <w:fldChar w:fldCharType="separate"/>
    </w:r>
    <w:r w:rsidRPr="00445BE9">
      <w:rPr>
        <w:b/>
        <w:noProof/>
        <w:sz w:val="18"/>
      </w:rPr>
      <w:t>3</w:t>
    </w:r>
    <w:r w:rsidRPr="00445BE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105B" w14:textId="1F84FCFE" w:rsidR="007F20FA" w:rsidRPr="00445BE9" w:rsidRDefault="00445BE9" w:rsidP="00445BE9">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20D6483" wp14:editId="26D5A65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23-15320  (F)</w:t>
    </w:r>
    <w:r>
      <w:rPr>
        <w:noProof/>
        <w:sz w:val="20"/>
      </w:rPr>
      <w:drawing>
        <wp:anchor distT="0" distB="0" distL="114300" distR="114300" simplePos="0" relativeHeight="251660288" behindDoc="0" locked="0" layoutInCell="1" allowOverlap="1" wp14:anchorId="59B6DBA6" wp14:editId="5715629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290823    310823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8DDDD" w14:textId="77777777" w:rsidR="00A75A6F" w:rsidRPr="00AC3823" w:rsidRDefault="00A75A6F" w:rsidP="00AC3823">
      <w:pPr>
        <w:pStyle w:val="Pieddepage"/>
        <w:tabs>
          <w:tab w:val="right" w:pos="2155"/>
        </w:tabs>
        <w:spacing w:after="80" w:line="240" w:lineRule="atLeast"/>
        <w:ind w:left="680"/>
        <w:rPr>
          <w:u w:val="single"/>
        </w:rPr>
      </w:pPr>
      <w:r>
        <w:rPr>
          <w:u w:val="single"/>
        </w:rPr>
        <w:tab/>
      </w:r>
    </w:p>
  </w:footnote>
  <w:footnote w:type="continuationSeparator" w:id="0">
    <w:p w14:paraId="6B711904" w14:textId="77777777" w:rsidR="00A75A6F" w:rsidRPr="00AC3823" w:rsidRDefault="00A75A6F" w:rsidP="00AC3823">
      <w:pPr>
        <w:pStyle w:val="Pieddepage"/>
        <w:tabs>
          <w:tab w:val="right" w:pos="2155"/>
        </w:tabs>
        <w:spacing w:after="80" w:line="240" w:lineRule="atLeast"/>
        <w:ind w:left="680"/>
        <w:rPr>
          <w:u w:val="single"/>
        </w:rPr>
      </w:pPr>
      <w:r>
        <w:rPr>
          <w:u w:val="single"/>
        </w:rPr>
        <w:tab/>
      </w:r>
    </w:p>
  </w:footnote>
  <w:footnote w:type="continuationNotice" w:id="1">
    <w:p w14:paraId="768F8EE1" w14:textId="77777777" w:rsidR="00A75A6F" w:rsidRPr="00AC3823" w:rsidRDefault="00A75A6F">
      <w:pPr>
        <w:spacing w:line="240" w:lineRule="auto"/>
        <w:rPr>
          <w:sz w:val="2"/>
          <w:szCs w:val="2"/>
        </w:rPr>
      </w:pPr>
    </w:p>
  </w:footnote>
  <w:footnote w:id="2">
    <w:p w14:paraId="03FB2E9E" w14:textId="51EE5EB5" w:rsidR="00D20D26" w:rsidRDefault="00D20D26">
      <w:pPr>
        <w:pStyle w:val="Notedebasdepage"/>
        <w:rPr>
          <w:lang w:val="fr-FR"/>
        </w:rPr>
      </w:pPr>
      <w:r>
        <w:rPr>
          <w:rStyle w:val="Appelnotedebasdep"/>
        </w:rPr>
        <w:tab/>
      </w:r>
      <w:r w:rsidRPr="00D20D26">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qu’il figure dans le projet de budget-programme pour 2023 (A/77/6 (</w:t>
      </w:r>
      <w:r>
        <w:rPr>
          <w:lang w:val="fr-FR"/>
        </w:rPr>
        <w:t>S</w:t>
      </w:r>
      <w:r>
        <w:rPr>
          <w:lang w:val="fr-FR"/>
        </w:rPr>
        <w:t>ect. 20), tableau 20.6), le Forum mondial a pour mission d’élaborer, d’harmoniser et de mettre à jour les Règlements ONU en vue d’améliorer les caractéristiques fonctionnelles des véhicules. Le présent document est soumis en vertu de ce mandat.</w:t>
      </w:r>
    </w:p>
    <w:p w14:paraId="6A74703D" w14:textId="77777777" w:rsidR="00D20D26" w:rsidRPr="00D20D26" w:rsidRDefault="00D20D26">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D574" w14:textId="79CB7659" w:rsidR="00445BE9" w:rsidRPr="00445BE9" w:rsidRDefault="00445BE9">
    <w:pPr>
      <w:pStyle w:val="En-tte"/>
    </w:pPr>
    <w:fldSimple w:instr=" TITLE  \* MERGEFORMAT ">
      <w:r w:rsidR="00E46937">
        <w:t>ECE/TRANS/WP.29/GRE/2023/20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B442" w14:textId="3CE9E260" w:rsidR="00445BE9" w:rsidRPr="00445BE9" w:rsidRDefault="00445BE9" w:rsidP="00445BE9">
    <w:pPr>
      <w:pStyle w:val="En-tte"/>
      <w:jc w:val="right"/>
    </w:pPr>
    <w:fldSimple w:instr=" TITLE  \* MERGEFORMAT ">
      <w:r w:rsidR="00E46937">
        <w:t>ECE/TRANS/WP.29/GRE/2023/20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940748861">
    <w:abstractNumId w:val="12"/>
  </w:num>
  <w:num w:numId="2" w16cid:durableId="382219404">
    <w:abstractNumId w:val="11"/>
  </w:num>
  <w:num w:numId="3" w16cid:durableId="483201457">
    <w:abstractNumId w:val="10"/>
  </w:num>
  <w:num w:numId="4" w16cid:durableId="1947614092">
    <w:abstractNumId w:val="8"/>
  </w:num>
  <w:num w:numId="5" w16cid:durableId="1717585293">
    <w:abstractNumId w:val="3"/>
  </w:num>
  <w:num w:numId="6" w16cid:durableId="837690459">
    <w:abstractNumId w:val="2"/>
  </w:num>
  <w:num w:numId="7" w16cid:durableId="328992959">
    <w:abstractNumId w:val="1"/>
  </w:num>
  <w:num w:numId="8" w16cid:durableId="233467584">
    <w:abstractNumId w:val="0"/>
  </w:num>
  <w:num w:numId="9" w16cid:durableId="1041712824">
    <w:abstractNumId w:val="9"/>
  </w:num>
  <w:num w:numId="10" w16cid:durableId="1004747123">
    <w:abstractNumId w:val="7"/>
  </w:num>
  <w:num w:numId="11" w16cid:durableId="1941326561">
    <w:abstractNumId w:val="6"/>
  </w:num>
  <w:num w:numId="12" w16cid:durableId="1330987350">
    <w:abstractNumId w:val="5"/>
  </w:num>
  <w:num w:numId="13" w16cid:durableId="1478690754">
    <w:abstractNumId w:val="4"/>
  </w:num>
  <w:num w:numId="14" w16cid:durableId="470174905">
    <w:abstractNumId w:val="12"/>
  </w:num>
  <w:num w:numId="15" w16cid:durableId="92285119">
    <w:abstractNumId w:val="11"/>
  </w:num>
  <w:num w:numId="16" w16cid:durableId="14557822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6F"/>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5BE9"/>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B4261"/>
    <w:rsid w:val="009C1CF4"/>
    <w:rsid w:val="009F6B74"/>
    <w:rsid w:val="00A3029F"/>
    <w:rsid w:val="00A30353"/>
    <w:rsid w:val="00A75A6F"/>
    <w:rsid w:val="00AC3823"/>
    <w:rsid w:val="00AE323C"/>
    <w:rsid w:val="00AF0CB5"/>
    <w:rsid w:val="00B00181"/>
    <w:rsid w:val="00B00B0D"/>
    <w:rsid w:val="00B45F2E"/>
    <w:rsid w:val="00B765F7"/>
    <w:rsid w:val="00B77993"/>
    <w:rsid w:val="00BA0CA9"/>
    <w:rsid w:val="00C02897"/>
    <w:rsid w:val="00C97039"/>
    <w:rsid w:val="00D20D26"/>
    <w:rsid w:val="00D3439C"/>
    <w:rsid w:val="00D7622E"/>
    <w:rsid w:val="00DB1831"/>
    <w:rsid w:val="00DD3BFD"/>
    <w:rsid w:val="00DF6678"/>
    <w:rsid w:val="00E0299A"/>
    <w:rsid w:val="00E46937"/>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C4780"/>
  <w15:docId w15:val="{3BC840A5-F846-46BA-B423-8D4FD9BD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qFormat/>
    <w:rsid w:val="00D20D26"/>
    <w:rPr>
      <w:rFonts w:ascii="Times New Roman" w:eastAsiaTheme="minorHAnsi" w:hAnsi="Times New Roman" w:cs="Times New Roman"/>
      <w:b/>
      <w:sz w:val="28"/>
      <w:szCs w:val="20"/>
      <w:lang w:eastAsia="en-US"/>
    </w:rPr>
  </w:style>
  <w:style w:type="character" w:customStyle="1" w:styleId="H1GChar">
    <w:name w:val="_ H_1_G Char"/>
    <w:link w:val="H1G"/>
    <w:rsid w:val="00D20D26"/>
    <w:rPr>
      <w:rFonts w:ascii="Times New Roman" w:eastAsiaTheme="minorHAnsi" w:hAnsi="Times New Roman" w:cs="Times New Roman"/>
      <w:b/>
      <w:sz w:val="24"/>
      <w:szCs w:val="20"/>
      <w:lang w:eastAsia="en-US"/>
    </w:rPr>
  </w:style>
  <w:style w:type="paragraph" w:customStyle="1" w:styleId="para">
    <w:name w:val="para"/>
    <w:basedOn w:val="Normal"/>
    <w:link w:val="paraChar"/>
    <w:qFormat/>
    <w:rsid w:val="00D20D26"/>
    <w:pPr>
      <w:suppressAutoHyphens w:val="0"/>
      <w:kinsoku/>
      <w:overflowPunct/>
      <w:autoSpaceDE/>
      <w:autoSpaceDN/>
      <w:adjustRightInd/>
      <w:snapToGrid/>
      <w:spacing w:after="120"/>
      <w:ind w:left="2268" w:right="1134" w:hanging="1134"/>
      <w:jc w:val="both"/>
    </w:pPr>
    <w:rPr>
      <w:rFonts w:eastAsia="Times New Roman"/>
      <w:snapToGrid w:val="0"/>
      <w:lang w:val="fr-FR"/>
    </w:rPr>
  </w:style>
  <w:style w:type="character" w:customStyle="1" w:styleId="SingleTxtGChar">
    <w:name w:val="_ Single Txt_G Char"/>
    <w:link w:val="SingleTxtG"/>
    <w:qFormat/>
    <w:rsid w:val="00D20D26"/>
    <w:rPr>
      <w:rFonts w:ascii="Times New Roman" w:eastAsiaTheme="minorHAnsi" w:hAnsi="Times New Roman" w:cs="Times New Roman"/>
      <w:sz w:val="20"/>
      <w:szCs w:val="20"/>
      <w:lang w:eastAsia="en-US"/>
    </w:rPr>
  </w:style>
  <w:style w:type="character" w:customStyle="1" w:styleId="paraChar">
    <w:name w:val="para Char"/>
    <w:link w:val="para"/>
    <w:rsid w:val="00D20D26"/>
    <w:rPr>
      <w:rFonts w:ascii="Times New Roman" w:hAnsi="Times New Roman" w:cs="Times New Roman"/>
      <w:snapToGrid w:val="0"/>
      <w:sz w:val="20"/>
      <w:szCs w:val="20"/>
      <w:lang w:val="fr-FR" w:eastAsia="en-US"/>
    </w:rPr>
  </w:style>
  <w:style w:type="paragraph" w:customStyle="1" w:styleId="4Para4thlevel">
    <w:name w:val="4.Para 4th level"/>
    <w:basedOn w:val="Normal"/>
    <w:link w:val="4Para4thlevelCar"/>
    <w:qFormat/>
    <w:rsid w:val="00D20D26"/>
    <w:pPr>
      <w:kinsoku/>
      <w:overflowPunct/>
      <w:autoSpaceDE/>
      <w:autoSpaceDN/>
      <w:adjustRightInd/>
      <w:snapToGrid/>
      <w:spacing w:after="120"/>
      <w:ind w:left="2268" w:right="1134" w:hanging="1134"/>
      <w:jc w:val="both"/>
      <w:outlineLvl w:val="3"/>
    </w:pPr>
    <w:rPr>
      <w:rFonts w:eastAsiaTheme="minorEastAsia"/>
      <w:lang w:val="en-GB"/>
    </w:rPr>
  </w:style>
  <w:style w:type="character" w:customStyle="1" w:styleId="4Para4thlevelCar">
    <w:name w:val="4.Para 4th level Car"/>
    <w:basedOn w:val="Policepardfaut"/>
    <w:link w:val="4Para4thlevel"/>
    <w:rsid w:val="00D20D26"/>
    <w:rPr>
      <w:rFonts w:ascii="Times New Roman" w:eastAsiaTheme="minorEastAsia" w:hAnsi="Times New Roman" w:cs="Times New Roman"/>
      <w:sz w:val="20"/>
      <w:szCs w:val="20"/>
      <w:lang w:val="en-GB" w:eastAsia="en-US"/>
    </w:rPr>
  </w:style>
  <w:style w:type="paragraph" w:customStyle="1" w:styleId="3para3rdlevel">
    <w:name w:val="3.para 3rd level"/>
    <w:basedOn w:val="SingleTxtG"/>
    <w:link w:val="3para3rdlevelCar"/>
    <w:qFormat/>
    <w:rsid w:val="00D20D26"/>
    <w:pPr>
      <w:kinsoku/>
      <w:overflowPunct/>
      <w:autoSpaceDE/>
      <w:autoSpaceDN/>
      <w:adjustRightInd/>
      <w:snapToGrid/>
      <w:ind w:left="2268" w:hanging="1134"/>
      <w:outlineLvl w:val="2"/>
    </w:pPr>
    <w:rPr>
      <w:rFonts w:eastAsiaTheme="minorEastAsia"/>
      <w:lang w:val="en-GB"/>
    </w:rPr>
  </w:style>
  <w:style w:type="character" w:customStyle="1" w:styleId="3para3rdlevelCar">
    <w:name w:val="3.para 3rd level Car"/>
    <w:link w:val="3para3rdlevel"/>
    <w:rsid w:val="00D20D26"/>
    <w:rPr>
      <w:rFonts w:ascii="Times New Roman" w:eastAsiaTheme="minorEastAsia"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821695-1B62-402D-A214-907955041DB2}"/>
</file>

<file path=customXml/itemProps2.xml><?xml version="1.0" encoding="utf-8"?>
<ds:datastoreItem xmlns:ds="http://schemas.openxmlformats.org/officeDocument/2006/customXml" ds:itemID="{67C4704E-AA94-4025-8AFB-F3053DD90138}"/>
</file>

<file path=docProps/app.xml><?xml version="1.0" encoding="utf-8"?>
<Properties xmlns="http://schemas.openxmlformats.org/officeDocument/2006/extended-properties" xmlns:vt="http://schemas.openxmlformats.org/officeDocument/2006/docPropsVTypes">
  <Template>ECE_TRANS.dotm</Template>
  <TotalTime>1</TotalTime>
  <Pages>3</Pages>
  <Words>484</Words>
  <Characters>3391</Characters>
  <Application>Microsoft Office Word</Application>
  <DocSecurity>0</DocSecurity>
  <Lines>282</Lines>
  <Paragraphs>154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ECE/TRANS/WP.29/GRE/2023/20</dc:title>
  <dc:subject/>
  <dc:creator>Maud DARICHE</dc:creator>
  <cp:keywords/>
  <cp:lastModifiedBy>Maud Dariche</cp:lastModifiedBy>
  <cp:revision>3</cp:revision>
  <cp:lastPrinted>2023-08-31T08:42:00Z</cp:lastPrinted>
  <dcterms:created xsi:type="dcterms:W3CDTF">2023-08-31T08:42:00Z</dcterms:created>
  <dcterms:modified xsi:type="dcterms:W3CDTF">2023-08-31T08:43:00Z</dcterms:modified>
</cp:coreProperties>
</file>