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BA0E2C" w14:textId="77777777" w:rsidTr="00C97039">
        <w:trPr>
          <w:trHeight w:hRule="exact" w:val="851"/>
        </w:trPr>
        <w:tc>
          <w:tcPr>
            <w:tcW w:w="1276" w:type="dxa"/>
            <w:tcBorders>
              <w:bottom w:val="single" w:sz="4" w:space="0" w:color="auto"/>
            </w:tcBorders>
          </w:tcPr>
          <w:p w14:paraId="1E421C60" w14:textId="77777777" w:rsidR="00F35BAF" w:rsidRPr="00DB58B5" w:rsidRDefault="00F35BAF" w:rsidP="00095D8D"/>
        </w:tc>
        <w:tc>
          <w:tcPr>
            <w:tcW w:w="2268" w:type="dxa"/>
            <w:tcBorders>
              <w:bottom w:val="single" w:sz="4" w:space="0" w:color="auto"/>
            </w:tcBorders>
            <w:vAlign w:val="bottom"/>
          </w:tcPr>
          <w:p w14:paraId="694753B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642A5C" w14:textId="105B5546" w:rsidR="00F35BAF" w:rsidRPr="00DB58B5" w:rsidRDefault="00095D8D" w:rsidP="00095D8D">
            <w:pPr>
              <w:jc w:val="right"/>
            </w:pPr>
            <w:r w:rsidRPr="00095D8D">
              <w:rPr>
                <w:sz w:val="40"/>
              </w:rPr>
              <w:t>ECE</w:t>
            </w:r>
            <w:r>
              <w:t>/TRANS/WP.29/GRE/2023/18</w:t>
            </w:r>
          </w:p>
        </w:tc>
      </w:tr>
      <w:tr w:rsidR="00F35BAF" w:rsidRPr="00DB58B5" w14:paraId="188E1713" w14:textId="77777777" w:rsidTr="00C97039">
        <w:trPr>
          <w:trHeight w:hRule="exact" w:val="2835"/>
        </w:trPr>
        <w:tc>
          <w:tcPr>
            <w:tcW w:w="1276" w:type="dxa"/>
            <w:tcBorders>
              <w:top w:val="single" w:sz="4" w:space="0" w:color="auto"/>
              <w:bottom w:val="single" w:sz="12" w:space="0" w:color="auto"/>
            </w:tcBorders>
          </w:tcPr>
          <w:p w14:paraId="75BE8679" w14:textId="77777777" w:rsidR="00F35BAF" w:rsidRPr="00DB58B5" w:rsidRDefault="00F35BAF" w:rsidP="00C97039">
            <w:pPr>
              <w:spacing w:before="120"/>
              <w:jc w:val="center"/>
            </w:pPr>
            <w:r>
              <w:rPr>
                <w:noProof/>
                <w:lang w:eastAsia="fr-CH"/>
              </w:rPr>
              <w:drawing>
                <wp:inline distT="0" distB="0" distL="0" distR="0" wp14:anchorId="3BE14619" wp14:editId="4C4B0F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9BDA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C3D04E" w14:textId="77777777" w:rsidR="00F35BAF" w:rsidRDefault="00095D8D" w:rsidP="00C97039">
            <w:pPr>
              <w:spacing w:before="240"/>
            </w:pPr>
            <w:proofErr w:type="spellStart"/>
            <w:r>
              <w:t>Distr</w:t>
            </w:r>
            <w:proofErr w:type="spellEnd"/>
            <w:r>
              <w:t>. générale</w:t>
            </w:r>
          </w:p>
          <w:p w14:paraId="64F0DC99" w14:textId="77777777" w:rsidR="00095D8D" w:rsidRDefault="00095D8D" w:rsidP="00095D8D">
            <w:pPr>
              <w:spacing w:line="240" w:lineRule="exact"/>
            </w:pPr>
            <w:r>
              <w:t>7 août 2023</w:t>
            </w:r>
          </w:p>
          <w:p w14:paraId="2FEB448E" w14:textId="77777777" w:rsidR="00095D8D" w:rsidRDefault="00095D8D" w:rsidP="00095D8D">
            <w:pPr>
              <w:spacing w:line="240" w:lineRule="exact"/>
            </w:pPr>
            <w:r>
              <w:t>Français</w:t>
            </w:r>
          </w:p>
          <w:p w14:paraId="272D8683" w14:textId="116D1828" w:rsidR="00095D8D" w:rsidRPr="00DB58B5" w:rsidRDefault="00095D8D" w:rsidP="00095D8D">
            <w:pPr>
              <w:spacing w:line="240" w:lineRule="exact"/>
            </w:pPr>
            <w:r>
              <w:t>Original : anglais</w:t>
            </w:r>
          </w:p>
        </w:tc>
      </w:tr>
    </w:tbl>
    <w:p w14:paraId="1E17F252" w14:textId="77777777" w:rsidR="007F20FA" w:rsidRPr="000312C0" w:rsidRDefault="007F20FA" w:rsidP="007F20FA">
      <w:pPr>
        <w:spacing w:before="120"/>
        <w:rPr>
          <w:b/>
          <w:sz w:val="28"/>
          <w:szCs w:val="28"/>
        </w:rPr>
      </w:pPr>
      <w:r w:rsidRPr="000312C0">
        <w:rPr>
          <w:b/>
          <w:sz w:val="28"/>
          <w:szCs w:val="28"/>
        </w:rPr>
        <w:t>Commission économique pour l’Europe</w:t>
      </w:r>
    </w:p>
    <w:p w14:paraId="17B7F308" w14:textId="77777777" w:rsidR="007F20FA" w:rsidRDefault="007F20FA" w:rsidP="007F20FA">
      <w:pPr>
        <w:spacing w:before="120"/>
        <w:rPr>
          <w:sz w:val="28"/>
          <w:szCs w:val="28"/>
        </w:rPr>
      </w:pPr>
      <w:r w:rsidRPr="00685843">
        <w:rPr>
          <w:sz w:val="28"/>
          <w:szCs w:val="28"/>
        </w:rPr>
        <w:t>Comité des transports intérieurs</w:t>
      </w:r>
    </w:p>
    <w:p w14:paraId="1DA5DA69" w14:textId="6A6C0412" w:rsidR="00695896" w:rsidRPr="00695896" w:rsidRDefault="00695896" w:rsidP="00695896">
      <w:pPr>
        <w:spacing w:before="120"/>
        <w:rPr>
          <w:b/>
          <w:bCs/>
          <w:sz w:val="24"/>
          <w:szCs w:val="24"/>
          <w:lang w:val="fr-FR"/>
        </w:rPr>
      </w:pPr>
      <w:r w:rsidRPr="00695896">
        <w:rPr>
          <w:b/>
          <w:bCs/>
          <w:sz w:val="24"/>
          <w:szCs w:val="24"/>
          <w:lang w:val="fr-FR"/>
        </w:rPr>
        <w:t xml:space="preserve">Forum mondial de l’harmonisation </w:t>
      </w:r>
      <w:r>
        <w:rPr>
          <w:b/>
          <w:bCs/>
          <w:sz w:val="24"/>
          <w:szCs w:val="24"/>
          <w:lang w:val="fr-FR"/>
        </w:rPr>
        <w:br/>
      </w:r>
      <w:r w:rsidRPr="00695896">
        <w:rPr>
          <w:b/>
          <w:bCs/>
          <w:sz w:val="24"/>
          <w:szCs w:val="24"/>
          <w:lang w:val="fr-FR"/>
        </w:rPr>
        <w:t>des Règlements concernant les véhicules</w:t>
      </w:r>
    </w:p>
    <w:p w14:paraId="7EB8A477" w14:textId="77777777" w:rsidR="00695896" w:rsidRPr="003E697B" w:rsidRDefault="00695896" w:rsidP="00695896">
      <w:pPr>
        <w:spacing w:before="120" w:after="120"/>
        <w:rPr>
          <w:b/>
          <w:bCs/>
          <w:lang w:val="fr-FR"/>
        </w:rPr>
      </w:pPr>
      <w:r>
        <w:rPr>
          <w:b/>
          <w:bCs/>
          <w:lang w:val="fr-FR"/>
        </w:rPr>
        <w:t>Groupe de travail de l’éclairage et de la signalisation lumineuse</w:t>
      </w:r>
    </w:p>
    <w:p w14:paraId="0C8A5D86" w14:textId="77777777" w:rsidR="00695896" w:rsidRPr="003E697B" w:rsidRDefault="00695896" w:rsidP="00695896">
      <w:pPr>
        <w:ind w:right="1134"/>
        <w:rPr>
          <w:b/>
          <w:lang w:val="fr-FR"/>
        </w:rPr>
      </w:pPr>
      <w:r>
        <w:rPr>
          <w:b/>
          <w:bCs/>
          <w:lang w:val="fr-FR"/>
        </w:rPr>
        <w:t>Quatre-vingt-neuvième session</w:t>
      </w:r>
    </w:p>
    <w:p w14:paraId="33328D8F" w14:textId="77777777" w:rsidR="00695896" w:rsidRPr="003E697B" w:rsidRDefault="00695896" w:rsidP="00695896">
      <w:pPr>
        <w:ind w:right="1134"/>
        <w:rPr>
          <w:lang w:val="fr-FR"/>
        </w:rPr>
      </w:pPr>
      <w:r>
        <w:rPr>
          <w:lang w:val="fr-FR"/>
        </w:rPr>
        <w:t>Genève, 24-27 octobre 2023</w:t>
      </w:r>
    </w:p>
    <w:p w14:paraId="356D8369" w14:textId="77777777" w:rsidR="00695896" w:rsidRPr="003E697B" w:rsidRDefault="00695896" w:rsidP="00695896">
      <w:pPr>
        <w:ind w:right="1134"/>
        <w:rPr>
          <w:bCs/>
          <w:lang w:val="fr-FR"/>
        </w:rPr>
      </w:pPr>
      <w:r>
        <w:rPr>
          <w:lang w:val="fr-FR"/>
        </w:rPr>
        <w:t>Point 7 a) de l’ordre du jour provisoire</w:t>
      </w:r>
    </w:p>
    <w:p w14:paraId="45573287" w14:textId="4CE51BF4" w:rsidR="00695896" w:rsidRPr="002F49DD" w:rsidRDefault="00695896" w:rsidP="00695896">
      <w:pPr>
        <w:ind w:right="1134"/>
        <w:rPr>
          <w:b/>
          <w:lang w:val="fr-FR"/>
        </w:rPr>
      </w:pPr>
      <w:r>
        <w:rPr>
          <w:b/>
          <w:bCs/>
          <w:lang w:val="fr-FR"/>
        </w:rPr>
        <w:t xml:space="preserve">Règlements ONU concernant les dispositifs : Règlement ONU </w:t>
      </w:r>
      <w:r w:rsidRPr="005E58DB">
        <w:rPr>
          <w:b/>
          <w:bCs/>
          <w:lang w:val="fr-FR"/>
        </w:rPr>
        <w:t>n</w:t>
      </w:r>
      <w:r w:rsidRPr="005E58DB">
        <w:rPr>
          <w:b/>
          <w:bCs/>
          <w:vertAlign w:val="superscript"/>
          <w:lang w:val="fr-FR"/>
        </w:rPr>
        <w:t>o</w:t>
      </w:r>
      <w:r>
        <w:rPr>
          <w:b/>
          <w:bCs/>
          <w:lang w:val="fr-FR"/>
        </w:rPr>
        <w:t xml:space="preserve"> 149 </w:t>
      </w:r>
      <w:r>
        <w:rPr>
          <w:b/>
          <w:bCs/>
          <w:lang w:val="fr-FR"/>
        </w:rPr>
        <w:br/>
      </w:r>
      <w:r>
        <w:rPr>
          <w:b/>
          <w:bCs/>
          <w:lang w:val="fr-FR"/>
        </w:rPr>
        <w:t>(Dispositifs d’éclairage de la route)</w:t>
      </w:r>
    </w:p>
    <w:p w14:paraId="3D3A47A6" w14:textId="0C6E2B52" w:rsidR="00695896" w:rsidRPr="002F49DD" w:rsidRDefault="00695896" w:rsidP="00695896">
      <w:pPr>
        <w:pStyle w:val="HChG"/>
        <w:rPr>
          <w:lang w:val="fr-FR"/>
        </w:rPr>
      </w:pPr>
      <w:r>
        <w:rPr>
          <w:lang w:val="fr-FR"/>
        </w:rPr>
        <w:tab/>
      </w:r>
      <w:r>
        <w:rPr>
          <w:lang w:val="fr-FR"/>
        </w:rPr>
        <w:tab/>
        <w:t xml:space="preserve">Proposition de complément à la série 01 d’amendements </w:t>
      </w:r>
      <w:r>
        <w:rPr>
          <w:lang w:val="fr-FR"/>
        </w:rPr>
        <w:br/>
      </w:r>
      <w:r>
        <w:rPr>
          <w:lang w:val="fr-FR"/>
        </w:rPr>
        <w:t xml:space="preserve">au Règlement ONU </w:t>
      </w:r>
      <w:r w:rsidRPr="001A7650">
        <w:rPr>
          <w:lang w:val="fr-FR"/>
        </w:rPr>
        <w:t>n</w:t>
      </w:r>
      <w:r w:rsidRPr="001A7650">
        <w:rPr>
          <w:vertAlign w:val="superscript"/>
          <w:lang w:val="fr-FR"/>
        </w:rPr>
        <w:t>o</w:t>
      </w:r>
      <w:r>
        <w:rPr>
          <w:lang w:val="fr-FR"/>
        </w:rPr>
        <w:t xml:space="preserve"> 149</w:t>
      </w:r>
    </w:p>
    <w:p w14:paraId="7FDB86A4" w14:textId="7980ADCB" w:rsidR="00695896" w:rsidRPr="002F49DD" w:rsidRDefault="00695896" w:rsidP="00695896">
      <w:pPr>
        <w:pStyle w:val="H1G"/>
        <w:rPr>
          <w:szCs w:val="24"/>
          <w:lang w:val="fr-FR"/>
        </w:rPr>
      </w:pPr>
      <w:r>
        <w:rPr>
          <w:lang w:val="fr-FR"/>
        </w:rPr>
        <w:tab/>
      </w:r>
      <w:r>
        <w:rPr>
          <w:lang w:val="fr-FR"/>
        </w:rPr>
        <w:tab/>
        <w:t>Communication des experts du Groupe de travail « Bruxelles 1952 »</w:t>
      </w:r>
      <w:r w:rsidRPr="00695896">
        <w:rPr>
          <w:b w:val="0"/>
          <w:bCs/>
          <w:lang w:val="fr-FR"/>
        </w:rPr>
        <w:t>*</w:t>
      </w:r>
    </w:p>
    <w:p w14:paraId="14B07B45" w14:textId="23CC51A4" w:rsidR="00F9573C" w:rsidRDefault="00695896" w:rsidP="00695896">
      <w:pPr>
        <w:pStyle w:val="SingleTxtG"/>
        <w:ind w:firstLine="567"/>
        <w:rPr>
          <w:lang w:val="fr-FR"/>
        </w:rPr>
      </w:pPr>
      <w:r>
        <w:rPr>
          <w:lang w:val="fr-FR"/>
        </w:rPr>
        <w:footnoteReference w:customMarkFollows="1" w:id="2"/>
        <w:t>Le texte ci-après, établi par les experts du Groupe de travail « Bruxelles 1952 » (GTB), vise à supprimer les prescriptions relatives au mode de défaillance et à la détection des défaillances de sources lumineuses pour le feu d’angle. Les modifications qu’il est proposé d’apporter au texte actuel du Règlement ONU figurent en caractères gras pour les ajouts et biffés pour les suppressions.</w:t>
      </w:r>
    </w:p>
    <w:p w14:paraId="7064B600" w14:textId="787ACADC" w:rsidR="00695896" w:rsidRDefault="00695896">
      <w:pPr>
        <w:suppressAutoHyphens w:val="0"/>
        <w:kinsoku/>
        <w:overflowPunct/>
        <w:autoSpaceDE/>
        <w:autoSpaceDN/>
        <w:adjustRightInd/>
        <w:snapToGrid/>
        <w:spacing w:after="200" w:line="276" w:lineRule="auto"/>
      </w:pPr>
      <w:r>
        <w:br w:type="page"/>
      </w:r>
    </w:p>
    <w:p w14:paraId="0DE5480B" w14:textId="77777777" w:rsidR="00695896" w:rsidRPr="002F49DD" w:rsidRDefault="00695896" w:rsidP="00695896">
      <w:pPr>
        <w:pStyle w:val="HChG"/>
        <w:rPr>
          <w:lang w:val="fr-FR"/>
        </w:rPr>
      </w:pPr>
      <w:r>
        <w:rPr>
          <w:bCs/>
          <w:lang w:val="fr-FR"/>
        </w:rPr>
        <w:lastRenderedPageBreak/>
        <w:tab/>
        <w:t>I.</w:t>
      </w:r>
      <w:r>
        <w:rPr>
          <w:lang w:val="fr-FR"/>
        </w:rPr>
        <w:tab/>
      </w:r>
      <w:r>
        <w:rPr>
          <w:bCs/>
          <w:lang w:val="fr-FR"/>
        </w:rPr>
        <w:t>Proposition</w:t>
      </w:r>
    </w:p>
    <w:p w14:paraId="30098FDC" w14:textId="77777777" w:rsidR="00695896" w:rsidRPr="002F49DD" w:rsidRDefault="00695896" w:rsidP="00695896">
      <w:pPr>
        <w:pStyle w:val="SingleTxtG"/>
        <w:rPr>
          <w:lang w:val="fr-FR"/>
        </w:rPr>
      </w:pPr>
      <w:r>
        <w:rPr>
          <w:i/>
          <w:iCs/>
          <w:lang w:val="fr-FR"/>
        </w:rPr>
        <w:t>Paragraphes 5.6.2 et 5.6.3,</w:t>
      </w:r>
      <w:r>
        <w:rPr>
          <w:lang w:val="fr-FR"/>
        </w:rPr>
        <w:t xml:space="preserve"> </w:t>
      </w:r>
      <w:r>
        <w:rPr>
          <w:i/>
          <w:iCs/>
          <w:lang w:val="fr-FR"/>
        </w:rPr>
        <w:t>ainsi que les sous-paragraphes correspondants</w:t>
      </w:r>
      <w:r>
        <w:rPr>
          <w:lang w:val="fr-FR"/>
        </w:rPr>
        <w:t>, supprimer :</w:t>
      </w:r>
    </w:p>
    <w:p w14:paraId="79E0B7CC" w14:textId="77777777" w:rsidR="00695896" w:rsidRPr="002F49DD" w:rsidRDefault="00695896" w:rsidP="00695896">
      <w:pPr>
        <w:pStyle w:val="3para3rdlevel"/>
        <w:spacing w:before="120"/>
        <w:rPr>
          <w:strike/>
          <w:lang w:val="fr-FR"/>
        </w:rPr>
      </w:pPr>
      <w:r w:rsidRPr="00695896">
        <w:rPr>
          <w:strike/>
          <w:lang w:val="fr-FR"/>
        </w:rPr>
        <w:t>« </w:t>
      </w:r>
      <w:r>
        <w:rPr>
          <w:strike/>
          <w:lang w:val="fr-FR"/>
        </w:rPr>
        <w:t>5.6.2</w:t>
      </w:r>
      <w:r w:rsidRPr="00695896">
        <w:rPr>
          <w:strike/>
          <w:lang w:val="fr-FR"/>
        </w:rPr>
        <w:tab/>
      </w:r>
      <w:r>
        <w:rPr>
          <w:lang w:val="fr-FR"/>
        </w:rPr>
        <w:tab/>
      </w:r>
      <w:r>
        <w:rPr>
          <w:strike/>
          <w:lang w:val="fr-FR"/>
        </w:rPr>
        <w:t>Dans le cas d’un feu simple contenant plus d’une source lumineuse, lorsque toutes les sources lumineuses sont allumées, les intensités maximales ne doivent pas être dépassées.</w:t>
      </w:r>
    </w:p>
    <w:p w14:paraId="3CF7F4E3" w14:textId="05217D90" w:rsidR="00695896" w:rsidRPr="002F49DD" w:rsidRDefault="00695896" w:rsidP="00695896">
      <w:pPr>
        <w:pStyle w:val="3para3rdlevel"/>
        <w:rPr>
          <w:strike/>
          <w:lang w:val="fr-FR"/>
        </w:rPr>
      </w:pPr>
      <w:r>
        <w:rPr>
          <w:strike/>
          <w:lang w:val="fr-FR"/>
        </w:rPr>
        <w:t>5.6.3</w:t>
      </w:r>
      <w:r w:rsidRPr="00695896">
        <w:rPr>
          <w:strike/>
          <w:lang w:val="fr-FR"/>
        </w:rPr>
        <w:tab/>
      </w:r>
      <w:r>
        <w:rPr>
          <w:lang w:val="fr-FR"/>
        </w:rPr>
        <w:tab/>
      </w:r>
      <w:r>
        <w:rPr>
          <w:strike/>
          <w:lang w:val="fr-FR"/>
        </w:rPr>
        <w:t>Défaillance d’un feu simple contenant plus d’une source lumineuse :</w:t>
      </w:r>
    </w:p>
    <w:p w14:paraId="0F7A71F9" w14:textId="7E906938" w:rsidR="00695896" w:rsidRPr="002F49DD" w:rsidRDefault="00695896" w:rsidP="00695896">
      <w:pPr>
        <w:pStyle w:val="4Para4thlevel"/>
        <w:rPr>
          <w:strike/>
          <w:lang w:val="fr-FR"/>
        </w:rPr>
      </w:pPr>
      <w:r>
        <w:rPr>
          <w:strike/>
          <w:lang w:val="fr-FR"/>
        </w:rPr>
        <w:t>5.6.3.1</w:t>
      </w:r>
      <w:r w:rsidRPr="00695896">
        <w:rPr>
          <w:strike/>
          <w:lang w:val="fr-FR"/>
        </w:rPr>
        <w:tab/>
      </w:r>
      <w:r>
        <w:rPr>
          <w:strike/>
          <w:lang w:val="fr-FR"/>
        </w:rPr>
        <w:t>Dans un feu simple contenant plus d’une source lumineuse, lorsqu’un groupe de sources lumineuses est monté de telle manière qu’en cas de défaillance de l’une d’elles toutes les autres s’arrêtent d’émettre de la lumière, il est considéré comme une seule et même source lumineuse.</w:t>
      </w:r>
    </w:p>
    <w:p w14:paraId="67731833" w14:textId="764CE23E" w:rsidR="00695896" w:rsidRPr="002F49DD" w:rsidRDefault="00695896" w:rsidP="00695896">
      <w:pPr>
        <w:pStyle w:val="4Para4thlevel"/>
        <w:rPr>
          <w:strike/>
          <w:lang w:val="fr-FR"/>
        </w:rPr>
      </w:pPr>
      <w:r>
        <w:rPr>
          <w:strike/>
          <w:lang w:val="fr-FR"/>
        </w:rPr>
        <w:t>5.6.3.2</w:t>
      </w:r>
      <w:r w:rsidRPr="00695896">
        <w:rPr>
          <w:strike/>
          <w:lang w:val="fr-FR"/>
        </w:rPr>
        <w:tab/>
      </w:r>
      <w:r w:rsidRPr="00695896">
        <w:rPr>
          <w:lang w:val="fr-FR"/>
        </w:rPr>
        <w:t>E</w:t>
      </w:r>
      <w:r>
        <w:rPr>
          <w:strike/>
          <w:lang w:val="fr-FR"/>
        </w:rPr>
        <w:t>n cas de défaillance de l’une des sources lumineuses d’un feu simple qui en contient plusieurs, l’une au moins des dispositions suivantes s’applique :</w:t>
      </w:r>
    </w:p>
    <w:p w14:paraId="457445F4" w14:textId="77777777" w:rsidR="00695896" w:rsidRPr="002F49DD" w:rsidRDefault="00695896" w:rsidP="00695896">
      <w:pPr>
        <w:pStyle w:val="a"/>
        <w:ind w:left="2694" w:hanging="426"/>
        <w:rPr>
          <w:strike/>
          <w:lang w:val="fr-FR"/>
        </w:rPr>
      </w:pPr>
      <w:r>
        <w:rPr>
          <w:strike/>
          <w:lang w:val="fr-FR"/>
        </w:rPr>
        <w:t>a)</w:t>
      </w:r>
      <w:r w:rsidRPr="00695896">
        <w:rPr>
          <w:strike/>
          <w:lang w:val="fr-FR"/>
        </w:rPr>
        <w:tab/>
      </w:r>
      <w:r>
        <w:rPr>
          <w:strike/>
          <w:lang w:val="fr-FR"/>
        </w:rPr>
        <w:t>L’intensité lumineuse n’est pas inférieure à l’intensité minimale prescrite dans le tableau de répartition lumineuse spatiale normalisée présenté dans le tableau 18 ;</w:t>
      </w:r>
      <w:r>
        <w:rPr>
          <w:lang w:val="fr-FR"/>
        </w:rPr>
        <w:t xml:space="preserve"> </w:t>
      </w:r>
      <w:r>
        <w:rPr>
          <w:strike/>
          <w:lang w:val="fr-FR"/>
        </w:rPr>
        <w:t>ou</w:t>
      </w:r>
    </w:p>
    <w:p w14:paraId="18AC6AEC" w14:textId="261FCD56" w:rsidR="00695896" w:rsidRPr="002F49DD" w:rsidRDefault="00695896" w:rsidP="00695896">
      <w:pPr>
        <w:pStyle w:val="a"/>
        <w:ind w:left="2694" w:hanging="426"/>
        <w:rPr>
          <w:strike/>
          <w:lang w:val="fr-FR"/>
        </w:rPr>
      </w:pPr>
      <w:r>
        <w:rPr>
          <w:strike/>
          <w:lang w:val="fr-FR"/>
        </w:rPr>
        <w:t>b)</w:t>
      </w:r>
      <w:r w:rsidRPr="00695896">
        <w:rPr>
          <w:strike/>
          <w:lang w:val="fr-FR"/>
        </w:rPr>
        <w:tab/>
      </w:r>
      <w:r>
        <w:rPr>
          <w:strike/>
          <w:lang w:val="fr-FR"/>
        </w:rPr>
        <w:t>Un signal d’activation d’un témoin de défaillance, comme indiqué au paragraphe 6.20.8 du Règlement no 48, est produit, à condition que l’intensité lumineuse à 2,5°D 45°L pour un feu du côté gauche (l’angle L doit être remplacé par l’angle R pour un feu du côté droit) soit au moins égale à 50 % de l’intensité minimale requise.</w:t>
      </w:r>
      <w:r>
        <w:rPr>
          <w:lang w:val="fr-FR"/>
        </w:rPr>
        <w:t xml:space="preserve"> </w:t>
      </w:r>
      <w:r>
        <w:rPr>
          <w:strike/>
          <w:lang w:val="fr-FR"/>
        </w:rPr>
        <w:t>Dans ce cas, il est précisé dans la fiche de communication que le feu ne doit être utilisé que sur un véhicule équipé d’un témoin de défaillance</w:t>
      </w:r>
      <w:r w:rsidRPr="00695896">
        <w:rPr>
          <w:strike/>
          <w:lang w:val="fr-FR"/>
        </w:rPr>
        <w:t>. »</w:t>
      </w:r>
      <w:r w:rsidRPr="00695896">
        <w:rPr>
          <w:strike/>
          <w:lang w:val="fr-FR"/>
        </w:rPr>
        <w:t>.</w:t>
      </w:r>
    </w:p>
    <w:p w14:paraId="298EABF0" w14:textId="77777777" w:rsidR="00695896" w:rsidRPr="002F49DD" w:rsidRDefault="00695896" w:rsidP="00695896">
      <w:pPr>
        <w:pStyle w:val="3para3rdlevel"/>
        <w:spacing w:before="120"/>
        <w:rPr>
          <w:lang w:val="fr-FR"/>
        </w:rPr>
      </w:pPr>
      <w:r>
        <w:rPr>
          <w:i/>
          <w:iCs/>
          <w:lang w:val="fr-FR"/>
        </w:rPr>
        <w:t xml:space="preserve">Le paragraphe 5.6.4 </w:t>
      </w:r>
      <w:r>
        <w:rPr>
          <w:lang w:val="fr-FR"/>
        </w:rPr>
        <w:t>devient le paragraphe 5.6.2 et se lit comme suit :</w:t>
      </w:r>
    </w:p>
    <w:p w14:paraId="6166E59C" w14:textId="77777777" w:rsidR="00695896" w:rsidRPr="002F49DD" w:rsidRDefault="00695896" w:rsidP="00695896">
      <w:pPr>
        <w:pStyle w:val="3para3rdlevel"/>
        <w:rPr>
          <w:lang w:val="fr-FR"/>
        </w:rPr>
      </w:pPr>
      <w:r>
        <w:rPr>
          <w:lang w:val="fr-FR"/>
        </w:rPr>
        <w:t>« 5.6.</w:t>
      </w:r>
      <w:r>
        <w:rPr>
          <w:strike/>
          <w:lang w:val="fr-FR"/>
        </w:rPr>
        <w:t>4</w:t>
      </w:r>
      <w:r>
        <w:rPr>
          <w:b/>
          <w:bCs/>
          <w:lang w:val="fr-FR"/>
        </w:rPr>
        <w:t>2</w:t>
      </w:r>
      <w:r>
        <w:rPr>
          <w:lang w:val="fr-FR"/>
        </w:rPr>
        <w:tab/>
        <w:t>Méthodes de mesure</w:t>
      </w:r>
    </w:p>
    <w:p w14:paraId="43838031" w14:textId="77777777" w:rsidR="00695896" w:rsidRPr="002F49DD" w:rsidRDefault="00695896" w:rsidP="00695896">
      <w:pPr>
        <w:pStyle w:val="4Para4thlevel"/>
        <w:rPr>
          <w:lang w:val="fr-FR"/>
        </w:rPr>
      </w:pPr>
      <w:r>
        <w:rPr>
          <w:lang w:val="fr-FR"/>
        </w:rPr>
        <w:t>5.6.</w:t>
      </w:r>
      <w:r>
        <w:rPr>
          <w:strike/>
          <w:lang w:val="fr-FR"/>
        </w:rPr>
        <w:t>4</w:t>
      </w:r>
      <w:r>
        <w:rPr>
          <w:b/>
          <w:bCs/>
          <w:lang w:val="fr-FR"/>
        </w:rPr>
        <w:t>2</w:t>
      </w:r>
      <w:r>
        <w:rPr>
          <w:lang w:val="fr-FR"/>
        </w:rPr>
        <w:t>.1</w:t>
      </w:r>
      <w:r>
        <w:rPr>
          <w:lang w:val="fr-FR"/>
        </w:rPr>
        <w:tab/>
        <w:t>Les points de mesure, exprimés en degrés de l’angle formé avec l’axe de référence, sont présentés à la figure A4-XI.</w:t>
      </w:r>
    </w:p>
    <w:p w14:paraId="26D9AE92" w14:textId="18014DCE" w:rsidR="00695896" w:rsidRPr="002F49DD" w:rsidRDefault="00695896" w:rsidP="00695896">
      <w:pPr>
        <w:pStyle w:val="SingleTxtG"/>
        <w:ind w:left="2268" w:hanging="1134"/>
        <w:rPr>
          <w:lang w:val="fr-FR"/>
        </w:rPr>
      </w:pPr>
      <w:r>
        <w:rPr>
          <w:lang w:val="fr-FR"/>
        </w:rPr>
        <w:t>5.6.</w:t>
      </w:r>
      <w:r>
        <w:rPr>
          <w:strike/>
          <w:lang w:val="fr-FR"/>
        </w:rPr>
        <w:t>4</w:t>
      </w:r>
      <w:r>
        <w:rPr>
          <w:b/>
          <w:bCs/>
          <w:lang w:val="fr-FR"/>
        </w:rPr>
        <w:t>2</w:t>
      </w:r>
      <w:r>
        <w:rPr>
          <w:lang w:val="fr-FR"/>
        </w:rPr>
        <w:t>.2</w:t>
      </w:r>
      <w:r>
        <w:rPr>
          <w:lang w:val="fr-FR"/>
        </w:rPr>
        <w:tab/>
        <w:t>Les angles horizontaux et verticaux correspondant au champ de visibilité géométrique sont présentés aux figures A4-XII et A4-XIII. Les directions H</w:t>
      </w:r>
      <w:r>
        <w:rPr>
          <w:lang w:val="fr-FR"/>
        </w:rPr>
        <w:t> </w:t>
      </w:r>
      <w:r>
        <w:rPr>
          <w:lang w:val="fr-FR"/>
        </w:rPr>
        <w:t>=</w:t>
      </w:r>
      <w:r>
        <w:rPr>
          <w:lang w:val="fr-FR"/>
        </w:rPr>
        <w:t> </w:t>
      </w:r>
      <w:r>
        <w:rPr>
          <w:lang w:val="fr-FR"/>
        </w:rPr>
        <w:t xml:space="preserve">0° et V = 0° correspondent à l’axe de référence. </w:t>
      </w:r>
      <w:r w:rsidRPr="00E0127C">
        <w:rPr>
          <w:lang w:val="fr-FR"/>
        </w:rPr>
        <w:t>Sur le véhicule, elles sont horizontales, parallèles au plan longitudinal médian de celui-ci et orientées dans le sens de visibilité imposé. Elles passent par le centre de référence</w:t>
      </w:r>
      <w:r>
        <w:rPr>
          <w:lang w:val="fr-FR"/>
        </w:rPr>
        <w:t>. »</w:t>
      </w:r>
      <w:r>
        <w:rPr>
          <w:lang w:val="fr-FR"/>
        </w:rPr>
        <w:t>.</w:t>
      </w:r>
    </w:p>
    <w:p w14:paraId="080AD78E" w14:textId="77777777" w:rsidR="00695896" w:rsidRPr="002F49DD" w:rsidRDefault="00695896" w:rsidP="00695896">
      <w:pPr>
        <w:pStyle w:val="HChG"/>
        <w:rPr>
          <w:lang w:val="fr-FR"/>
        </w:rPr>
      </w:pPr>
      <w:r>
        <w:rPr>
          <w:lang w:val="fr-FR"/>
        </w:rPr>
        <w:tab/>
        <w:t>II.</w:t>
      </w:r>
      <w:r>
        <w:rPr>
          <w:lang w:val="fr-FR"/>
        </w:rPr>
        <w:tab/>
        <w:t>Justification</w:t>
      </w:r>
    </w:p>
    <w:p w14:paraId="22FC2520" w14:textId="4C40DFFA" w:rsidR="00695896" w:rsidRPr="002F49DD" w:rsidRDefault="00695896" w:rsidP="00695896">
      <w:pPr>
        <w:spacing w:after="120"/>
        <w:ind w:left="1134" w:right="1134"/>
        <w:jc w:val="both"/>
        <w:rPr>
          <w:lang w:val="fr-FR"/>
        </w:rPr>
      </w:pPr>
      <w:bookmarkStart w:id="0" w:name="_Hlk108093346"/>
      <w:r>
        <w:rPr>
          <w:lang w:val="fr-FR"/>
        </w:rPr>
        <w:t>1.</w:t>
      </w:r>
      <w:r>
        <w:rPr>
          <w:lang w:val="fr-FR"/>
        </w:rPr>
        <w:tab/>
        <w:t xml:space="preserve">La présente proposition vise à supprimer de la série 01 d’amendements au Règlement </w:t>
      </w:r>
      <w:r w:rsidRPr="00F00A43">
        <w:rPr>
          <w:lang w:val="fr-FR"/>
        </w:rPr>
        <w:t>n</w:t>
      </w:r>
      <w:r w:rsidRPr="00F00A43">
        <w:rPr>
          <w:vertAlign w:val="superscript"/>
          <w:lang w:val="fr-FR"/>
        </w:rPr>
        <w:t>o</w:t>
      </w:r>
      <w:r>
        <w:rPr>
          <w:lang w:val="fr-FR"/>
        </w:rPr>
        <w:t> </w:t>
      </w:r>
      <w:r>
        <w:rPr>
          <w:lang w:val="fr-FR"/>
        </w:rPr>
        <w:t xml:space="preserve">149 les prescriptions relatives au mode de défaillance et à la détection des défaillances de sources lumineuses pour le feu d’angle, en supprimant la mention d’un feu simple (par. 5.6.2 et 5.6.3), qui est pertinente dans le Règlement </w:t>
      </w:r>
      <w:r w:rsidRPr="00CB7AC0">
        <w:rPr>
          <w:lang w:val="fr-FR"/>
        </w:rPr>
        <w:t>n</w:t>
      </w:r>
      <w:r w:rsidRPr="00CB7AC0">
        <w:rPr>
          <w:vertAlign w:val="superscript"/>
          <w:lang w:val="fr-FR"/>
        </w:rPr>
        <w:t>o</w:t>
      </w:r>
      <w:r>
        <w:rPr>
          <w:lang w:val="fr-FR"/>
        </w:rPr>
        <w:t xml:space="preserve"> 148 pour la signalisation lumineuse mais pas dans le Règlement </w:t>
      </w:r>
      <w:r w:rsidRPr="001731F6">
        <w:rPr>
          <w:lang w:val="fr-FR"/>
        </w:rPr>
        <w:t>n</w:t>
      </w:r>
      <w:r w:rsidRPr="001731F6">
        <w:rPr>
          <w:vertAlign w:val="superscript"/>
          <w:lang w:val="fr-FR"/>
        </w:rPr>
        <w:t>o</w:t>
      </w:r>
      <w:r>
        <w:rPr>
          <w:lang w:val="fr-FR"/>
        </w:rPr>
        <w:t> </w:t>
      </w:r>
      <w:r>
        <w:rPr>
          <w:lang w:val="fr-FR"/>
        </w:rPr>
        <w:t>149 pour l’éclairage de la route.</w:t>
      </w:r>
    </w:p>
    <w:bookmarkEnd w:id="0"/>
    <w:p w14:paraId="3E28FB7E" w14:textId="77777777" w:rsidR="00695896" w:rsidRPr="002F49DD" w:rsidRDefault="00695896" w:rsidP="00695896">
      <w:pPr>
        <w:pStyle w:val="SingleTxtG"/>
        <w:rPr>
          <w:lang w:val="fr-FR"/>
        </w:rPr>
      </w:pPr>
      <w:r>
        <w:rPr>
          <w:lang w:val="fr-FR"/>
        </w:rPr>
        <w:t>2.</w:t>
      </w:r>
      <w:r>
        <w:rPr>
          <w:lang w:val="fr-FR"/>
        </w:rPr>
        <w:tab/>
        <w:t xml:space="preserve">Les prescriptions relatives aux défaillances de sources lumineuses pour le feu d’angle dans le texte actuel du Règlement ONU sont issues des prescriptions générales relatives aux défaillances des dispositifs de signalisation lumineuse. Le feu d’angle étant considéré comme un dispositif d’éclairage de la route, les prescriptions s’y rapportant relatives aux défaillances </w:t>
      </w:r>
      <w:r w:rsidRPr="00AD2DC8">
        <w:rPr>
          <w:lang w:val="fr-FR"/>
        </w:rPr>
        <w:t>devrai</w:t>
      </w:r>
      <w:r>
        <w:rPr>
          <w:lang w:val="fr-FR"/>
        </w:rPr>
        <w:t>en</w:t>
      </w:r>
      <w:r w:rsidRPr="00AD2DC8">
        <w:rPr>
          <w:lang w:val="fr-FR"/>
        </w:rPr>
        <w:t xml:space="preserve">t </w:t>
      </w:r>
      <w:r>
        <w:rPr>
          <w:lang w:val="fr-FR"/>
        </w:rPr>
        <w:t xml:space="preserve">être semblables à celles </w:t>
      </w:r>
      <w:r w:rsidRPr="00910AB3">
        <w:rPr>
          <w:lang w:val="fr-FR"/>
        </w:rPr>
        <w:t>s</w:t>
      </w:r>
      <w:r>
        <w:rPr>
          <w:lang w:val="fr-FR"/>
        </w:rPr>
        <w:t>e</w:t>
      </w:r>
      <w:r w:rsidRPr="00910AB3">
        <w:rPr>
          <w:lang w:val="fr-FR"/>
        </w:rPr>
        <w:t xml:space="preserve"> rapportant </w:t>
      </w:r>
      <w:r>
        <w:rPr>
          <w:lang w:val="fr-FR"/>
        </w:rPr>
        <w:t>aux autres fonctions d’éclairage.</w:t>
      </w:r>
    </w:p>
    <w:p w14:paraId="4544D376" w14:textId="1C0CC778" w:rsidR="00695896" w:rsidRPr="002F49DD" w:rsidRDefault="00695896" w:rsidP="00695896">
      <w:pPr>
        <w:pStyle w:val="SingleTxtG"/>
        <w:rPr>
          <w:lang w:val="fr-FR"/>
        </w:rPr>
      </w:pPr>
      <w:r>
        <w:rPr>
          <w:lang w:val="fr-FR"/>
        </w:rPr>
        <w:t>3.</w:t>
      </w:r>
      <w:r>
        <w:rPr>
          <w:lang w:val="fr-FR"/>
        </w:rPr>
        <w:tab/>
        <w:t xml:space="preserve">La seule prescription du Règlement ONU </w:t>
      </w:r>
      <w:r w:rsidRPr="008A6CF2">
        <w:rPr>
          <w:lang w:val="fr-FR"/>
        </w:rPr>
        <w:t>n</w:t>
      </w:r>
      <w:r w:rsidRPr="008A6CF2">
        <w:rPr>
          <w:vertAlign w:val="superscript"/>
          <w:lang w:val="fr-FR"/>
        </w:rPr>
        <w:t>o</w:t>
      </w:r>
      <w:r>
        <w:rPr>
          <w:lang w:val="fr-FR"/>
        </w:rPr>
        <w:t> </w:t>
      </w:r>
      <w:r>
        <w:rPr>
          <w:lang w:val="fr-FR"/>
        </w:rPr>
        <w:t>149 imposant la détection des défaillances de sources lumineuses conc</w:t>
      </w:r>
      <w:r w:rsidRPr="009410BC">
        <w:rPr>
          <w:lang w:val="fr-FR"/>
        </w:rPr>
        <w:t>erne le faisceau de croisement principal lorsqu</w:t>
      </w:r>
      <w:r>
        <w:rPr>
          <w:lang w:val="fr-FR"/>
        </w:rPr>
        <w:t>’</w:t>
      </w:r>
      <w:r w:rsidRPr="009410BC">
        <w:rPr>
          <w:lang w:val="fr-FR"/>
        </w:rPr>
        <w:t>il est constitué de deux sources lumineuses ou plus par côté. Il n</w:t>
      </w:r>
      <w:r>
        <w:rPr>
          <w:lang w:val="fr-FR"/>
        </w:rPr>
        <w:t>’</w:t>
      </w:r>
      <w:r w:rsidRPr="009410BC">
        <w:rPr>
          <w:lang w:val="fr-FR"/>
        </w:rPr>
        <w:t>est pas nécessaire de détecter la défaillance de la (des) source(s) lumineuse(s), ni pour les feux de route, ni pour les feux de brouillard avant.</w:t>
      </w:r>
    </w:p>
    <w:p w14:paraId="19C54FC9" w14:textId="74866F27" w:rsidR="00695896" w:rsidRDefault="00695896" w:rsidP="00695896">
      <w:pPr>
        <w:pStyle w:val="SingleTxtG"/>
        <w:keepNext/>
        <w:keepLines/>
        <w:rPr>
          <w:lang w:val="fr-FR"/>
        </w:rPr>
      </w:pPr>
      <w:r>
        <w:rPr>
          <w:lang w:val="fr-FR"/>
        </w:rPr>
        <w:lastRenderedPageBreak/>
        <w:t>4.</w:t>
      </w:r>
      <w:r>
        <w:rPr>
          <w:lang w:val="fr-FR"/>
        </w:rPr>
        <w:tab/>
        <w:t>Le feu d’angle est une fonction d’éclairage facultative qui est toujours activée en combinaison avec les dispositifs d’éclairage principaux (faisceau de croisement/feux de route). Par conséquent, la défaillance d’une source lumineuse du feu d’angle ne compromettrait pas la sécurité routière.</w:t>
      </w:r>
    </w:p>
    <w:p w14:paraId="576EAFF5" w14:textId="066C77D2" w:rsidR="00695896" w:rsidRPr="00695896" w:rsidRDefault="00695896" w:rsidP="00695896">
      <w:pPr>
        <w:pStyle w:val="SingleTxtG"/>
        <w:spacing w:before="240" w:after="0"/>
        <w:jc w:val="center"/>
        <w:rPr>
          <w:u w:val="single"/>
        </w:rPr>
      </w:pPr>
      <w:r>
        <w:tab/>
      </w:r>
      <w:r>
        <w:rPr>
          <w:u w:val="single"/>
        </w:rPr>
        <w:tab/>
      </w:r>
      <w:r>
        <w:rPr>
          <w:u w:val="single"/>
        </w:rPr>
        <w:tab/>
      </w:r>
      <w:r>
        <w:rPr>
          <w:u w:val="single"/>
        </w:rPr>
        <w:tab/>
      </w:r>
    </w:p>
    <w:sectPr w:rsidR="00695896" w:rsidRPr="00695896" w:rsidSect="00095D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1F10" w14:textId="77777777" w:rsidR="00C975CD" w:rsidRDefault="00C975CD" w:rsidP="00F95C08">
      <w:pPr>
        <w:spacing w:line="240" w:lineRule="auto"/>
      </w:pPr>
    </w:p>
  </w:endnote>
  <w:endnote w:type="continuationSeparator" w:id="0">
    <w:p w14:paraId="0668B60A" w14:textId="77777777" w:rsidR="00C975CD" w:rsidRPr="00AC3823" w:rsidRDefault="00C975CD" w:rsidP="00AC3823">
      <w:pPr>
        <w:pStyle w:val="Pieddepage"/>
      </w:pPr>
    </w:p>
  </w:endnote>
  <w:endnote w:type="continuationNotice" w:id="1">
    <w:p w14:paraId="2949C8E6" w14:textId="77777777" w:rsidR="00C975CD" w:rsidRDefault="00C975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E480" w14:textId="465EB701" w:rsidR="00095D8D" w:rsidRPr="00095D8D" w:rsidRDefault="00095D8D" w:rsidP="00095D8D">
    <w:pPr>
      <w:pStyle w:val="Pieddepage"/>
      <w:tabs>
        <w:tab w:val="right" w:pos="9638"/>
      </w:tabs>
    </w:pPr>
    <w:r w:rsidRPr="00095D8D">
      <w:rPr>
        <w:b/>
        <w:sz w:val="18"/>
      </w:rPr>
      <w:fldChar w:fldCharType="begin"/>
    </w:r>
    <w:r w:rsidRPr="00095D8D">
      <w:rPr>
        <w:b/>
        <w:sz w:val="18"/>
      </w:rPr>
      <w:instrText xml:space="preserve"> PAGE  \* MERGEFORMAT </w:instrText>
    </w:r>
    <w:r w:rsidRPr="00095D8D">
      <w:rPr>
        <w:b/>
        <w:sz w:val="18"/>
      </w:rPr>
      <w:fldChar w:fldCharType="separate"/>
    </w:r>
    <w:r w:rsidRPr="00095D8D">
      <w:rPr>
        <w:b/>
        <w:noProof/>
        <w:sz w:val="18"/>
      </w:rPr>
      <w:t>2</w:t>
    </w:r>
    <w:r w:rsidRPr="00095D8D">
      <w:rPr>
        <w:b/>
        <w:sz w:val="18"/>
      </w:rPr>
      <w:fldChar w:fldCharType="end"/>
    </w:r>
    <w:r>
      <w:rPr>
        <w:b/>
        <w:sz w:val="18"/>
      </w:rPr>
      <w:tab/>
    </w:r>
    <w:r>
      <w:t>GE.23-15309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2756" w14:textId="2C3CDC6C" w:rsidR="00095D8D" w:rsidRPr="00095D8D" w:rsidRDefault="00095D8D" w:rsidP="00095D8D">
    <w:pPr>
      <w:pStyle w:val="Pieddepage"/>
      <w:tabs>
        <w:tab w:val="right" w:pos="9638"/>
      </w:tabs>
      <w:rPr>
        <w:b/>
        <w:sz w:val="18"/>
      </w:rPr>
    </w:pPr>
    <w:r>
      <w:t>GE.23-15309</w:t>
    </w:r>
    <w:r>
      <w:tab/>
    </w:r>
    <w:r w:rsidRPr="00095D8D">
      <w:rPr>
        <w:b/>
        <w:sz w:val="18"/>
      </w:rPr>
      <w:fldChar w:fldCharType="begin"/>
    </w:r>
    <w:r w:rsidRPr="00095D8D">
      <w:rPr>
        <w:b/>
        <w:sz w:val="18"/>
      </w:rPr>
      <w:instrText xml:space="preserve"> PAGE  \* MERGEFORMAT </w:instrText>
    </w:r>
    <w:r w:rsidRPr="00095D8D">
      <w:rPr>
        <w:b/>
        <w:sz w:val="18"/>
      </w:rPr>
      <w:fldChar w:fldCharType="separate"/>
    </w:r>
    <w:r w:rsidRPr="00095D8D">
      <w:rPr>
        <w:b/>
        <w:noProof/>
        <w:sz w:val="18"/>
      </w:rPr>
      <w:t>3</w:t>
    </w:r>
    <w:r w:rsidRPr="00095D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6B6F" w14:textId="08D233C3" w:rsidR="007F20FA" w:rsidRPr="00095D8D" w:rsidRDefault="00095D8D" w:rsidP="00095D8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0F61741" wp14:editId="6C5210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23-15309  (F)</w:t>
    </w:r>
    <w:r>
      <w:rPr>
        <w:noProof/>
        <w:sz w:val="20"/>
      </w:rPr>
      <w:drawing>
        <wp:anchor distT="0" distB="0" distL="114300" distR="114300" simplePos="0" relativeHeight="251660288" behindDoc="0" locked="0" layoutInCell="1" allowOverlap="1" wp14:anchorId="748ECD2F" wp14:editId="5FADB11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290823    310823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E25" w14:textId="77777777" w:rsidR="00C975CD" w:rsidRPr="00AC3823" w:rsidRDefault="00C975CD" w:rsidP="00AC3823">
      <w:pPr>
        <w:pStyle w:val="Pieddepage"/>
        <w:tabs>
          <w:tab w:val="right" w:pos="2155"/>
        </w:tabs>
        <w:spacing w:after="80" w:line="240" w:lineRule="atLeast"/>
        <w:ind w:left="680"/>
        <w:rPr>
          <w:u w:val="single"/>
        </w:rPr>
      </w:pPr>
      <w:r>
        <w:rPr>
          <w:u w:val="single"/>
        </w:rPr>
        <w:tab/>
      </w:r>
    </w:p>
  </w:footnote>
  <w:footnote w:type="continuationSeparator" w:id="0">
    <w:p w14:paraId="3ABDB636" w14:textId="77777777" w:rsidR="00C975CD" w:rsidRPr="00AC3823" w:rsidRDefault="00C975CD" w:rsidP="00AC3823">
      <w:pPr>
        <w:pStyle w:val="Pieddepage"/>
        <w:tabs>
          <w:tab w:val="right" w:pos="2155"/>
        </w:tabs>
        <w:spacing w:after="80" w:line="240" w:lineRule="atLeast"/>
        <w:ind w:left="680"/>
        <w:rPr>
          <w:u w:val="single"/>
        </w:rPr>
      </w:pPr>
      <w:r>
        <w:rPr>
          <w:u w:val="single"/>
        </w:rPr>
        <w:tab/>
      </w:r>
    </w:p>
  </w:footnote>
  <w:footnote w:type="continuationNotice" w:id="1">
    <w:p w14:paraId="05B7EE58" w14:textId="77777777" w:rsidR="00C975CD" w:rsidRPr="00AC3823" w:rsidRDefault="00C975CD">
      <w:pPr>
        <w:spacing w:line="240" w:lineRule="auto"/>
        <w:rPr>
          <w:sz w:val="2"/>
          <w:szCs w:val="2"/>
        </w:rPr>
      </w:pPr>
    </w:p>
  </w:footnote>
  <w:footnote w:id="2">
    <w:p w14:paraId="7797ADE2" w14:textId="1EA35FF9" w:rsidR="00695896" w:rsidRDefault="00695896" w:rsidP="00695896">
      <w:pPr>
        <w:pStyle w:val="Notedebasdepage"/>
        <w:rPr>
          <w:lang w:val="fr-FR"/>
        </w:rPr>
      </w:pPr>
      <w:r w:rsidRPr="00695896">
        <w:rPr>
          <w:sz w:val="20"/>
          <w:lang w:val="fr-FR"/>
        </w:rPr>
        <w:tab/>
        <w:t>*</w:t>
      </w:r>
      <w:r w:rsidRPr="00695896">
        <w:rPr>
          <w:sz w:val="20"/>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7CA59CBC" w14:textId="77777777" w:rsidR="00695896" w:rsidRPr="002F49DD" w:rsidRDefault="00695896" w:rsidP="00695896">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C6D1" w14:textId="5803FFC8" w:rsidR="00095D8D" w:rsidRPr="00095D8D" w:rsidRDefault="00095D8D">
    <w:pPr>
      <w:pStyle w:val="En-tte"/>
    </w:pPr>
    <w:fldSimple w:instr=" TITLE  \* MERGEFORMAT ">
      <w:r w:rsidR="00B20BD5">
        <w:t>ECE/TRANS/WP.29/GRE/2023/18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BD2A" w14:textId="2538FF96" w:rsidR="00095D8D" w:rsidRPr="00095D8D" w:rsidRDefault="00095D8D" w:rsidP="00095D8D">
    <w:pPr>
      <w:pStyle w:val="En-tte"/>
      <w:jc w:val="right"/>
    </w:pPr>
    <w:fldSimple w:instr=" TITLE  \* MERGEFORMAT ">
      <w:r w:rsidR="00B20BD5">
        <w:t>ECE/TRANS/WP.29/GRE/2023/18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66144966">
    <w:abstractNumId w:val="12"/>
  </w:num>
  <w:num w:numId="2" w16cid:durableId="1687294838">
    <w:abstractNumId w:val="11"/>
  </w:num>
  <w:num w:numId="3" w16cid:durableId="720713627">
    <w:abstractNumId w:val="10"/>
  </w:num>
  <w:num w:numId="4" w16cid:durableId="1593273705">
    <w:abstractNumId w:val="8"/>
  </w:num>
  <w:num w:numId="5" w16cid:durableId="242689786">
    <w:abstractNumId w:val="3"/>
  </w:num>
  <w:num w:numId="6" w16cid:durableId="287976859">
    <w:abstractNumId w:val="2"/>
  </w:num>
  <w:num w:numId="7" w16cid:durableId="1767653666">
    <w:abstractNumId w:val="1"/>
  </w:num>
  <w:num w:numId="8" w16cid:durableId="2009748718">
    <w:abstractNumId w:val="0"/>
  </w:num>
  <w:num w:numId="9" w16cid:durableId="1213351895">
    <w:abstractNumId w:val="9"/>
  </w:num>
  <w:num w:numId="10" w16cid:durableId="668563129">
    <w:abstractNumId w:val="7"/>
  </w:num>
  <w:num w:numId="11" w16cid:durableId="1514563203">
    <w:abstractNumId w:val="6"/>
  </w:num>
  <w:num w:numId="12" w16cid:durableId="1653563674">
    <w:abstractNumId w:val="5"/>
  </w:num>
  <w:num w:numId="13" w16cid:durableId="808134601">
    <w:abstractNumId w:val="4"/>
  </w:num>
  <w:num w:numId="14" w16cid:durableId="1055474022">
    <w:abstractNumId w:val="12"/>
  </w:num>
  <w:num w:numId="15" w16cid:durableId="1571232656">
    <w:abstractNumId w:val="11"/>
  </w:num>
  <w:num w:numId="16" w16cid:durableId="1901476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CD"/>
    <w:rsid w:val="00017F94"/>
    <w:rsid w:val="00023842"/>
    <w:rsid w:val="000334F9"/>
    <w:rsid w:val="00045FEB"/>
    <w:rsid w:val="0007796D"/>
    <w:rsid w:val="00095D8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95896"/>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20BD5"/>
    <w:rsid w:val="00B45F2E"/>
    <w:rsid w:val="00B765F7"/>
    <w:rsid w:val="00B77993"/>
    <w:rsid w:val="00BA0CA9"/>
    <w:rsid w:val="00C02897"/>
    <w:rsid w:val="00C97039"/>
    <w:rsid w:val="00C975CD"/>
    <w:rsid w:val="00CA6A6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BFEEC"/>
  <w15:docId w15:val="{4F650768-10F5-4938-80D2-B0E9B6BB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695896"/>
    <w:rPr>
      <w:rFonts w:ascii="Times New Roman" w:eastAsiaTheme="minorHAnsi" w:hAnsi="Times New Roman" w:cs="Times New Roman"/>
      <w:b/>
      <w:sz w:val="28"/>
      <w:szCs w:val="20"/>
      <w:lang w:eastAsia="en-US"/>
    </w:rPr>
  </w:style>
  <w:style w:type="character" w:customStyle="1" w:styleId="H1GChar">
    <w:name w:val="_ H_1_G Char"/>
    <w:link w:val="H1G"/>
    <w:rsid w:val="00695896"/>
    <w:rPr>
      <w:rFonts w:ascii="Times New Roman" w:eastAsiaTheme="minorHAnsi" w:hAnsi="Times New Roman" w:cs="Times New Roman"/>
      <w:b/>
      <w:sz w:val="24"/>
      <w:szCs w:val="20"/>
      <w:lang w:eastAsia="en-US"/>
    </w:rPr>
  </w:style>
  <w:style w:type="paragraph" w:customStyle="1" w:styleId="a">
    <w:name w:val="(a)"/>
    <w:basedOn w:val="Normal"/>
    <w:qFormat/>
    <w:rsid w:val="00695896"/>
    <w:pPr>
      <w:kinsoku/>
      <w:overflowPunct/>
      <w:autoSpaceDE/>
      <w:autoSpaceDN/>
      <w:adjustRightInd/>
      <w:snapToGrid/>
      <w:spacing w:after="120"/>
      <w:ind w:left="1701" w:right="1134" w:hanging="567"/>
      <w:jc w:val="both"/>
    </w:pPr>
    <w:rPr>
      <w:rFonts w:eastAsia="Times New Roman"/>
      <w:lang w:val="en-GB"/>
    </w:rPr>
  </w:style>
  <w:style w:type="character" w:customStyle="1" w:styleId="SingleTxtGChar">
    <w:name w:val="_ Single Txt_G Char"/>
    <w:link w:val="SingleTxtG"/>
    <w:qFormat/>
    <w:rsid w:val="00695896"/>
    <w:rPr>
      <w:rFonts w:ascii="Times New Roman" w:eastAsiaTheme="minorHAnsi" w:hAnsi="Times New Roman" w:cs="Times New Roman"/>
      <w:sz w:val="20"/>
      <w:szCs w:val="20"/>
      <w:lang w:eastAsia="en-US"/>
    </w:rPr>
  </w:style>
  <w:style w:type="paragraph" w:customStyle="1" w:styleId="4Para4thlevel">
    <w:name w:val="4.Para 4th level"/>
    <w:basedOn w:val="Normal"/>
    <w:link w:val="4Para4thlevelCar"/>
    <w:qFormat/>
    <w:rsid w:val="00695896"/>
    <w:pPr>
      <w:kinsoku/>
      <w:overflowPunct/>
      <w:autoSpaceDE/>
      <w:autoSpaceDN/>
      <w:adjustRightInd/>
      <w:snapToGrid/>
      <w:spacing w:after="120"/>
      <w:ind w:left="2268" w:right="1134" w:hanging="1134"/>
      <w:jc w:val="both"/>
      <w:outlineLvl w:val="3"/>
    </w:pPr>
    <w:rPr>
      <w:rFonts w:eastAsiaTheme="minorEastAsia"/>
      <w:lang w:val="en-GB"/>
    </w:rPr>
  </w:style>
  <w:style w:type="character" w:customStyle="1" w:styleId="4Para4thlevelCar">
    <w:name w:val="4.Para 4th level Car"/>
    <w:basedOn w:val="Policepardfaut"/>
    <w:link w:val="4Para4thlevel"/>
    <w:rsid w:val="00695896"/>
    <w:rPr>
      <w:rFonts w:ascii="Times New Roman" w:eastAsiaTheme="minorEastAsia" w:hAnsi="Times New Roman" w:cs="Times New Roman"/>
      <w:sz w:val="20"/>
      <w:szCs w:val="20"/>
      <w:lang w:val="en-GB" w:eastAsia="en-US"/>
    </w:rPr>
  </w:style>
  <w:style w:type="paragraph" w:customStyle="1" w:styleId="3para3rdlevel">
    <w:name w:val="3.para 3rd level"/>
    <w:basedOn w:val="SingleTxtG"/>
    <w:link w:val="3para3rdlevelCar"/>
    <w:qFormat/>
    <w:rsid w:val="00695896"/>
    <w:pPr>
      <w:kinsoku/>
      <w:overflowPunct/>
      <w:autoSpaceDE/>
      <w:autoSpaceDN/>
      <w:adjustRightInd/>
      <w:snapToGrid/>
      <w:ind w:left="2268" w:hanging="1134"/>
      <w:outlineLvl w:val="2"/>
    </w:pPr>
    <w:rPr>
      <w:rFonts w:eastAsiaTheme="minorEastAsia"/>
      <w:lang w:val="en-GB"/>
    </w:rPr>
  </w:style>
  <w:style w:type="character" w:customStyle="1" w:styleId="3para3rdlevelCar">
    <w:name w:val="3.para 3rd level Car"/>
    <w:link w:val="3para3rdlevel"/>
    <w:rsid w:val="00695896"/>
    <w:rPr>
      <w:rFonts w:ascii="Times New Roman" w:eastAsiaTheme="minorEastAsia"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E9996-CB47-41E2-A510-00C1F97C6B4B}"/>
</file>

<file path=customXml/itemProps2.xml><?xml version="1.0" encoding="utf-8"?>
<ds:datastoreItem xmlns:ds="http://schemas.openxmlformats.org/officeDocument/2006/customXml" ds:itemID="{A29814CA-43B2-42CA-912C-B5ECA3ED470C}"/>
</file>

<file path=docProps/app.xml><?xml version="1.0" encoding="utf-8"?>
<Properties xmlns="http://schemas.openxmlformats.org/officeDocument/2006/extended-properties" xmlns:vt="http://schemas.openxmlformats.org/officeDocument/2006/docPropsVTypes">
  <Template>ECE_TRANS.dotm</Template>
  <TotalTime>0</TotalTime>
  <Pages>3</Pages>
  <Words>593</Words>
  <Characters>4156</Characters>
  <Application>Microsoft Office Word</Application>
  <DocSecurity>0</DocSecurity>
  <Lines>346</Lines>
  <Paragraphs>189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ECE/TRANS/WP.29/GRE/2023/18</dc:title>
  <dc:subject/>
  <dc:creator>Maud DARICHE</dc:creator>
  <cp:keywords/>
  <cp:lastModifiedBy>Maud Dariche</cp:lastModifiedBy>
  <cp:revision>3</cp:revision>
  <cp:lastPrinted>2023-08-31T09:03:00Z</cp:lastPrinted>
  <dcterms:created xsi:type="dcterms:W3CDTF">2023-08-31T09:03:00Z</dcterms:created>
  <dcterms:modified xsi:type="dcterms:W3CDTF">2023-08-31T09:03:00Z</dcterms:modified>
</cp:coreProperties>
</file>