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54FF4D9D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405C0058" w14:textId="77777777" w:rsidR="00F35BAF" w:rsidRPr="00DB58B5" w:rsidRDefault="00F35BAF" w:rsidP="00675DAE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4860012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43BD6CAF" w14:textId="38F31DE2" w:rsidR="00F35BAF" w:rsidRPr="00DB58B5" w:rsidRDefault="00675DAE" w:rsidP="00675DAE">
            <w:pPr>
              <w:jc w:val="right"/>
            </w:pPr>
            <w:r w:rsidRPr="00675DAE">
              <w:rPr>
                <w:sz w:val="40"/>
              </w:rPr>
              <w:t>ECE</w:t>
            </w:r>
            <w:r>
              <w:t>/TRANS/WP.29/GRE/2023/16</w:t>
            </w:r>
          </w:p>
        </w:tc>
      </w:tr>
      <w:tr w:rsidR="00F35BAF" w:rsidRPr="00DB58B5" w14:paraId="30E39962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1516A48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76C19AF0" wp14:editId="7C61E00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B673BBA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09A35A3" w14:textId="77777777" w:rsidR="00F35BAF" w:rsidRDefault="00675DAE" w:rsidP="00C97039">
            <w:pPr>
              <w:spacing w:before="240"/>
            </w:pPr>
            <w:r>
              <w:t>Distr. générale</w:t>
            </w:r>
          </w:p>
          <w:p w14:paraId="6013E0D5" w14:textId="77777777" w:rsidR="00675DAE" w:rsidRDefault="00675DAE" w:rsidP="00675DAE">
            <w:pPr>
              <w:spacing w:line="240" w:lineRule="exact"/>
            </w:pPr>
            <w:r>
              <w:t>7 août 2023</w:t>
            </w:r>
          </w:p>
          <w:p w14:paraId="13487C28" w14:textId="77777777" w:rsidR="00675DAE" w:rsidRDefault="00675DAE" w:rsidP="00675DAE">
            <w:pPr>
              <w:spacing w:line="240" w:lineRule="exact"/>
            </w:pPr>
            <w:r>
              <w:t>Français</w:t>
            </w:r>
          </w:p>
          <w:p w14:paraId="126B13CF" w14:textId="66035E81" w:rsidR="00675DAE" w:rsidRPr="00DB58B5" w:rsidRDefault="00675DAE" w:rsidP="00675DAE">
            <w:pPr>
              <w:spacing w:line="240" w:lineRule="exact"/>
            </w:pPr>
            <w:r>
              <w:t>Original : anglais</w:t>
            </w:r>
          </w:p>
        </w:tc>
      </w:tr>
    </w:tbl>
    <w:p w14:paraId="26800C62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1967E5E5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7C973260" w14:textId="7C223AE5" w:rsidR="00675DAE" w:rsidRPr="00277069" w:rsidRDefault="00675DAE" w:rsidP="00675DAE">
      <w:pPr>
        <w:spacing w:before="120"/>
        <w:rPr>
          <w:b/>
          <w:sz w:val="24"/>
          <w:szCs w:val="24"/>
          <w:lang w:val="fr-FR"/>
        </w:rPr>
      </w:pPr>
      <w:r w:rsidRPr="00277069">
        <w:rPr>
          <w:b/>
          <w:bCs/>
          <w:sz w:val="24"/>
          <w:szCs w:val="24"/>
          <w:lang w:val="fr-FR"/>
        </w:rPr>
        <w:t>Forum mondial de l</w:t>
      </w:r>
      <w:r>
        <w:rPr>
          <w:b/>
          <w:bCs/>
          <w:sz w:val="24"/>
          <w:szCs w:val="24"/>
          <w:lang w:val="fr-FR"/>
        </w:rPr>
        <w:t>’</w:t>
      </w:r>
      <w:r w:rsidRPr="00277069">
        <w:rPr>
          <w:b/>
          <w:bCs/>
          <w:sz w:val="24"/>
          <w:szCs w:val="24"/>
          <w:lang w:val="fr-FR"/>
        </w:rPr>
        <w:t xml:space="preserve">harmonisation des Règlements </w:t>
      </w:r>
      <w:r w:rsidR="004D76FC">
        <w:rPr>
          <w:b/>
          <w:bCs/>
          <w:sz w:val="24"/>
          <w:szCs w:val="24"/>
          <w:lang w:val="fr-FR"/>
        </w:rPr>
        <w:br/>
      </w:r>
      <w:r w:rsidRPr="00277069">
        <w:rPr>
          <w:b/>
          <w:bCs/>
          <w:sz w:val="24"/>
          <w:szCs w:val="24"/>
          <w:lang w:val="fr-FR"/>
        </w:rPr>
        <w:t>concernant les véhicules</w:t>
      </w:r>
    </w:p>
    <w:p w14:paraId="4F74917F" w14:textId="77777777" w:rsidR="00675DAE" w:rsidRPr="00277069" w:rsidRDefault="00675DAE" w:rsidP="00675DAE">
      <w:pPr>
        <w:spacing w:before="120" w:after="120"/>
        <w:rPr>
          <w:b/>
          <w:bCs/>
          <w:lang w:val="fr-FR"/>
        </w:rPr>
      </w:pPr>
      <w:r>
        <w:rPr>
          <w:b/>
          <w:bCs/>
          <w:lang w:val="fr-FR"/>
        </w:rPr>
        <w:t>Groupe de travail de l’éclairage et de la signalisation lumineuse</w:t>
      </w:r>
    </w:p>
    <w:p w14:paraId="45FEA275" w14:textId="77777777" w:rsidR="00675DAE" w:rsidRPr="00277069" w:rsidRDefault="00675DAE" w:rsidP="00675DAE">
      <w:pPr>
        <w:ind w:right="1134"/>
        <w:rPr>
          <w:b/>
          <w:lang w:val="fr-FR"/>
        </w:rPr>
      </w:pPr>
      <w:r>
        <w:rPr>
          <w:b/>
          <w:bCs/>
          <w:lang w:val="fr-FR"/>
        </w:rPr>
        <w:t>Quatre-vingt-neuvième session</w:t>
      </w:r>
    </w:p>
    <w:p w14:paraId="54AB3CDE" w14:textId="77777777" w:rsidR="00675DAE" w:rsidRPr="00277069" w:rsidRDefault="00675DAE" w:rsidP="00675DAE">
      <w:pPr>
        <w:ind w:right="1134"/>
        <w:rPr>
          <w:lang w:val="fr-FR"/>
        </w:rPr>
      </w:pPr>
      <w:r>
        <w:rPr>
          <w:lang w:val="fr-FR"/>
        </w:rPr>
        <w:t>Genève, 24-27 octobre 2023</w:t>
      </w:r>
    </w:p>
    <w:p w14:paraId="484AECBC" w14:textId="77777777" w:rsidR="00675DAE" w:rsidRPr="00277069" w:rsidRDefault="00675DAE" w:rsidP="00675DAE">
      <w:pPr>
        <w:ind w:right="1134"/>
        <w:rPr>
          <w:bCs/>
          <w:lang w:val="fr-FR"/>
        </w:rPr>
      </w:pPr>
      <w:r>
        <w:rPr>
          <w:lang w:val="fr-FR"/>
        </w:rPr>
        <w:t>Point 4 de l’ordre du jour provisoire</w:t>
      </w:r>
    </w:p>
    <w:p w14:paraId="7D68CB33" w14:textId="483A66FD" w:rsidR="00675DAE" w:rsidRPr="00277069" w:rsidRDefault="00675DAE" w:rsidP="004D76FC">
      <w:pPr>
        <w:ind w:right="1467"/>
        <w:rPr>
          <w:b/>
          <w:bCs/>
          <w:lang w:val="fr-FR"/>
        </w:rPr>
      </w:pPr>
      <w:r>
        <w:rPr>
          <w:b/>
          <w:bCs/>
          <w:lang w:val="fr-FR"/>
        </w:rPr>
        <w:t xml:space="preserve">Simplification des Règlements ONU relatifs à l’éclairage </w:t>
      </w:r>
      <w:r w:rsidR="004D76FC">
        <w:rPr>
          <w:b/>
          <w:bCs/>
          <w:lang w:val="fr-FR"/>
        </w:rPr>
        <w:br/>
      </w:r>
      <w:r>
        <w:rPr>
          <w:b/>
          <w:bCs/>
          <w:lang w:val="fr-FR"/>
        </w:rPr>
        <w:t>et à la signalisation lumineuse</w:t>
      </w:r>
    </w:p>
    <w:p w14:paraId="38485ABD" w14:textId="4538DB76" w:rsidR="00675DAE" w:rsidRPr="00277069" w:rsidRDefault="00675DAE" w:rsidP="004D76FC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Proposition de complément à la série originale et à la série 01 d’amendements au Règlement ONU n</w:t>
      </w:r>
      <w:r>
        <w:rPr>
          <w:vertAlign w:val="superscript"/>
          <w:lang w:val="fr-FR"/>
        </w:rPr>
        <w:t>o</w:t>
      </w:r>
      <w:r w:rsidR="004D76FC">
        <w:rPr>
          <w:lang w:val="fr-FR"/>
        </w:rPr>
        <w:t> </w:t>
      </w:r>
      <w:r>
        <w:rPr>
          <w:lang w:val="fr-FR"/>
        </w:rPr>
        <w:t>150</w:t>
      </w:r>
    </w:p>
    <w:p w14:paraId="4ACDDE33" w14:textId="3851AEF1" w:rsidR="00675DAE" w:rsidRPr="00277069" w:rsidRDefault="00675DAE" w:rsidP="00675DAE">
      <w:pPr>
        <w:pStyle w:val="H1G"/>
        <w:rPr>
          <w:szCs w:val="24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bCs/>
          <w:lang w:val="fr-FR"/>
        </w:rPr>
        <w:t xml:space="preserve">Communication du groupe de travail informel de la simplification </w:t>
      </w:r>
      <w:r w:rsidR="004D76FC">
        <w:rPr>
          <w:bCs/>
          <w:lang w:val="fr-FR"/>
        </w:rPr>
        <w:br/>
      </w:r>
      <w:r>
        <w:rPr>
          <w:bCs/>
          <w:lang w:val="fr-FR"/>
        </w:rPr>
        <w:t>des Règlements relatifs à l’éclairage et à la signalisation lumineuse</w:t>
      </w:r>
      <w:r w:rsidRPr="004D76FC">
        <w:rPr>
          <w:b w:val="0"/>
          <w:sz w:val="20"/>
          <w:szCs w:val="16"/>
          <w:lang w:val="fr-FR"/>
        </w:rPr>
        <w:t>*</w:t>
      </w:r>
    </w:p>
    <w:p w14:paraId="56D226B0" w14:textId="4E358924" w:rsidR="00675DAE" w:rsidRDefault="00675DAE" w:rsidP="004D76FC">
      <w:pPr>
        <w:pStyle w:val="SingleTxtG"/>
        <w:ind w:firstLine="567"/>
        <w:rPr>
          <w:lang w:val="fr-FR"/>
        </w:rPr>
      </w:pPr>
      <w:r>
        <w:rPr>
          <w:lang w:val="fr-FR"/>
        </w:rPr>
        <w:footnoteReference w:customMarkFollows="1" w:id="2"/>
        <w:t>Le texte ci-après, établi par le groupe de travail informel de la simplification des Règlements relatifs à l’éclairage et à la signalisation lumineuse, vise à apporter des précisions et des corrections au texte de la série originale et de la série 01 d’amendements au Règlement ONU n</w:t>
      </w:r>
      <w:r>
        <w:rPr>
          <w:vertAlign w:val="superscript"/>
          <w:lang w:val="fr-FR"/>
        </w:rPr>
        <w:t>o</w:t>
      </w:r>
      <w:r w:rsidR="004D76FC">
        <w:rPr>
          <w:lang w:val="fr-FR"/>
        </w:rPr>
        <w:t> </w:t>
      </w:r>
      <w:r>
        <w:rPr>
          <w:lang w:val="fr-FR"/>
        </w:rPr>
        <w:t>150. Les modifications qu’il est proposé d’apporter au texte actuel du Règlement figurent en caractères gras pour les ajouts et biffés pour les suppressions.</w:t>
      </w:r>
      <w:bookmarkStart w:id="0" w:name="_Hlk78276087"/>
      <w:bookmarkEnd w:id="0"/>
    </w:p>
    <w:p w14:paraId="78555349" w14:textId="77777777" w:rsidR="00675DAE" w:rsidRDefault="00675DAE" w:rsidP="00675DAE">
      <w:pPr>
        <w:suppressAutoHyphens w:val="0"/>
        <w:kinsoku/>
        <w:overflowPunct/>
        <w:autoSpaceDE/>
        <w:autoSpaceDN/>
        <w:adjustRightInd/>
        <w:snapToGrid/>
        <w:spacing w:line="240" w:lineRule="auto"/>
        <w:rPr>
          <w:b/>
          <w:bCs/>
          <w:sz w:val="28"/>
          <w:lang w:val="fr-FR"/>
        </w:rPr>
      </w:pPr>
      <w:r>
        <w:rPr>
          <w:bCs/>
          <w:lang w:val="fr-FR"/>
        </w:rPr>
        <w:br w:type="page"/>
      </w:r>
    </w:p>
    <w:p w14:paraId="7C6917B8" w14:textId="77777777" w:rsidR="00675DAE" w:rsidRPr="00277069" w:rsidRDefault="00675DAE" w:rsidP="004810BE">
      <w:pPr>
        <w:pStyle w:val="HChG"/>
        <w:rPr>
          <w:lang w:val="fr-FR"/>
        </w:rPr>
      </w:pPr>
      <w:r>
        <w:rPr>
          <w:lang w:val="fr-FR"/>
        </w:rPr>
        <w:lastRenderedPageBreak/>
        <w:tab/>
        <w:t>I.</w:t>
      </w:r>
      <w:r>
        <w:rPr>
          <w:lang w:val="fr-FR"/>
        </w:rPr>
        <w:tab/>
        <w:t>Proposition</w:t>
      </w:r>
    </w:p>
    <w:p w14:paraId="66BFE5F4" w14:textId="2361100A" w:rsidR="00675DAE" w:rsidRPr="00277069" w:rsidRDefault="004810BE" w:rsidP="004810BE">
      <w:pPr>
        <w:pStyle w:val="H1G"/>
        <w:rPr>
          <w:lang w:val="fr-FR"/>
        </w:rPr>
      </w:pPr>
      <w:r>
        <w:rPr>
          <w:lang w:val="fr-FR"/>
        </w:rPr>
        <w:tab/>
      </w:r>
      <w:r w:rsidR="00675DAE">
        <w:rPr>
          <w:lang w:val="fr-FR"/>
        </w:rPr>
        <w:t>A.</w:t>
      </w:r>
      <w:r w:rsidR="00675DAE">
        <w:rPr>
          <w:lang w:val="fr-FR"/>
        </w:rPr>
        <w:tab/>
        <w:t xml:space="preserve">Proposition de complément à la série originale d’amendements </w:t>
      </w:r>
      <w:r>
        <w:rPr>
          <w:lang w:val="fr-FR"/>
        </w:rPr>
        <w:br/>
      </w:r>
      <w:r w:rsidR="00675DAE">
        <w:rPr>
          <w:lang w:val="fr-FR"/>
        </w:rPr>
        <w:t>au Règlement ONU n</w:t>
      </w:r>
      <w:r w:rsidR="00675DAE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="00675DAE">
        <w:rPr>
          <w:lang w:val="fr-FR"/>
        </w:rPr>
        <w:t>150</w:t>
      </w:r>
    </w:p>
    <w:p w14:paraId="6AE5A212" w14:textId="77777777" w:rsidR="00675DAE" w:rsidRPr="00277069" w:rsidRDefault="00675DAE" w:rsidP="004810BE">
      <w:pPr>
        <w:pStyle w:val="SingleTxtG"/>
        <w:rPr>
          <w:lang w:val="fr-FR"/>
        </w:rPr>
      </w:pPr>
      <w:r w:rsidRPr="004810BE">
        <w:rPr>
          <w:i/>
          <w:iCs/>
          <w:lang w:val="fr-FR"/>
        </w:rPr>
        <w:t>Annexe 5</w:t>
      </w:r>
      <w:r>
        <w:rPr>
          <w:lang w:val="fr-FR"/>
        </w:rPr>
        <w:t xml:space="preserve">, </w:t>
      </w:r>
    </w:p>
    <w:p w14:paraId="068783FB" w14:textId="2D3E66A3" w:rsidR="00675DAE" w:rsidRPr="00277069" w:rsidRDefault="00675DAE" w:rsidP="004810BE">
      <w:pPr>
        <w:pStyle w:val="SingleTxtG"/>
        <w:rPr>
          <w:lang w:val="fr-FR"/>
        </w:rPr>
      </w:pPr>
      <w:r>
        <w:rPr>
          <w:i/>
          <w:iCs/>
          <w:lang w:val="fr-FR"/>
        </w:rPr>
        <w:t>Paragraphe 7.3</w:t>
      </w:r>
      <w:r>
        <w:rPr>
          <w:lang w:val="fr-FR"/>
        </w:rPr>
        <w:t>, lire</w:t>
      </w:r>
      <w:r w:rsidR="004810BE">
        <w:rPr>
          <w:lang w:val="fr-FR"/>
        </w:rPr>
        <w:t> </w:t>
      </w:r>
      <w:r>
        <w:rPr>
          <w:lang w:val="fr-FR"/>
        </w:rPr>
        <w:t>:</w:t>
      </w:r>
    </w:p>
    <w:p w14:paraId="17DED5FB" w14:textId="77777777" w:rsidR="00675DAE" w:rsidRPr="00277069" w:rsidRDefault="00675DAE" w:rsidP="004810BE">
      <w:pPr>
        <w:pStyle w:val="SingleTxtG"/>
        <w:tabs>
          <w:tab w:val="left" w:pos="2268"/>
        </w:tabs>
        <w:rPr>
          <w:lang w:val="fr-FR"/>
        </w:rPr>
      </w:pPr>
      <w:r>
        <w:rPr>
          <w:lang w:val="fr-FR"/>
        </w:rPr>
        <w:t>« 7.3</w:t>
      </w:r>
      <w:r>
        <w:rPr>
          <w:lang w:val="fr-FR"/>
        </w:rPr>
        <w:tab/>
        <w:t>Dimensions</w:t>
      </w:r>
    </w:p>
    <w:p w14:paraId="5AC3AE96" w14:textId="036E03A0" w:rsidR="00675DAE" w:rsidRPr="00277069" w:rsidRDefault="00675DAE" w:rsidP="004810BE">
      <w:pPr>
        <w:pStyle w:val="SingleTxtG"/>
        <w:ind w:left="2268"/>
        <w:rPr>
          <w:lang w:val="fr-FR"/>
        </w:rPr>
      </w:pPr>
      <w:r>
        <w:rPr>
          <w:lang w:val="fr-FR"/>
        </w:rPr>
        <w:tab/>
        <w:t>La base du triangle fluorescent (classe 1) ou du triangle rétroréfléchissant (classe 2) doit avoir au minimum 350</w:t>
      </w:r>
      <w:r w:rsidR="004810BE">
        <w:rPr>
          <w:lang w:val="fr-FR"/>
        </w:rPr>
        <w:t> </w:t>
      </w:r>
      <w:r>
        <w:rPr>
          <w:lang w:val="fr-FR"/>
        </w:rPr>
        <w:t>mm et au maximum 365</w:t>
      </w:r>
      <w:r w:rsidR="004810BE">
        <w:rPr>
          <w:lang w:val="fr-FR"/>
        </w:rPr>
        <w:t> </w:t>
      </w:r>
      <w:r>
        <w:rPr>
          <w:lang w:val="fr-FR"/>
        </w:rPr>
        <w:t>mm de long. La</w:t>
      </w:r>
      <w:r w:rsidR="004810BE">
        <w:rPr>
          <w:lang w:val="fr-FR"/>
        </w:rPr>
        <w:t> </w:t>
      </w:r>
      <w:r>
        <w:rPr>
          <w:lang w:val="fr-FR"/>
        </w:rPr>
        <w:t>largeur de la plage éclairante du bord rouge rétroréfléchissant doit être de 45</w:t>
      </w:r>
      <w:r w:rsidR="004810BE">
        <w:rPr>
          <w:lang w:val="fr-FR"/>
        </w:rPr>
        <w:t> </w:t>
      </w:r>
      <w:r>
        <w:rPr>
          <w:lang w:val="fr-FR"/>
        </w:rPr>
        <w:t>mm au minimum et ne pas dépasser 48</w:t>
      </w:r>
      <w:r w:rsidR="004810BE">
        <w:rPr>
          <w:lang w:val="fr-FR"/>
        </w:rPr>
        <w:t> </w:t>
      </w:r>
      <w:r>
        <w:rPr>
          <w:lang w:val="fr-FR"/>
        </w:rPr>
        <w:t xml:space="preserve">mm. Ces particularités sont illustrées par l’exemple donné à la figure </w:t>
      </w:r>
      <w:r>
        <w:rPr>
          <w:strike/>
          <w:lang w:val="fr-FR"/>
        </w:rPr>
        <w:t>A5-VI</w:t>
      </w:r>
      <w:r>
        <w:rPr>
          <w:lang w:val="fr-FR"/>
        </w:rPr>
        <w:t xml:space="preserve"> </w:t>
      </w:r>
      <w:r>
        <w:rPr>
          <w:b/>
          <w:bCs/>
          <w:lang w:val="fr-FR"/>
        </w:rPr>
        <w:t>A5-VII</w:t>
      </w:r>
      <w:r>
        <w:rPr>
          <w:lang w:val="fr-FR"/>
        </w:rPr>
        <w:t>.</w:t>
      </w:r>
      <w:r w:rsidR="004810BE">
        <w:rPr>
          <w:lang w:val="fr-FR"/>
        </w:rPr>
        <w:t> </w:t>
      </w:r>
      <w:r>
        <w:rPr>
          <w:lang w:val="fr-FR"/>
        </w:rPr>
        <w:t>».</w:t>
      </w:r>
    </w:p>
    <w:p w14:paraId="200D975F" w14:textId="6957471C" w:rsidR="00675DAE" w:rsidRPr="00277069" w:rsidRDefault="00675DAE" w:rsidP="004810BE">
      <w:pPr>
        <w:pStyle w:val="SingleTxtG"/>
        <w:rPr>
          <w:i/>
          <w:lang w:val="fr-FR"/>
        </w:rPr>
      </w:pPr>
      <w:r>
        <w:rPr>
          <w:i/>
          <w:iCs/>
          <w:lang w:val="fr-FR"/>
        </w:rPr>
        <w:t>Figure A5-VII « Exemple de plaque pour véhicule lent »</w:t>
      </w:r>
      <w:r>
        <w:rPr>
          <w:lang w:val="fr-FR"/>
        </w:rPr>
        <w:t>, lire</w:t>
      </w:r>
      <w:r w:rsidR="004810BE">
        <w:rPr>
          <w:lang w:val="fr-FR"/>
        </w:rPr>
        <w:t> </w:t>
      </w:r>
      <w:r>
        <w:rPr>
          <w:lang w:val="fr-FR"/>
        </w:rPr>
        <w:t>:</w:t>
      </w:r>
    </w:p>
    <w:p w14:paraId="4474DA0C" w14:textId="544FE9E4" w:rsidR="00675DAE" w:rsidRPr="00277069" w:rsidRDefault="00675DAE" w:rsidP="00675DAE">
      <w:pPr>
        <w:pStyle w:val="Titre1"/>
        <w:rPr>
          <w:lang w:val="fr-FR"/>
        </w:rPr>
      </w:pPr>
      <w:r>
        <w:rPr>
          <w:lang w:val="fr-FR"/>
        </w:rPr>
        <w:t xml:space="preserve">« Figure A5-VII </w:t>
      </w:r>
    </w:p>
    <w:p w14:paraId="51DDE396" w14:textId="7CE260C0" w:rsidR="00675DAE" w:rsidRDefault="00675DAE" w:rsidP="00CE22D0">
      <w:pPr>
        <w:spacing w:after="120"/>
        <w:ind w:left="2268" w:right="1134" w:hanging="1134"/>
        <w:rPr>
          <w:b/>
          <w:bCs/>
          <w:lang w:val="fr-FR"/>
        </w:rPr>
      </w:pPr>
      <w:r>
        <w:rPr>
          <w:b/>
          <w:bCs/>
          <w:lang w:val="fr-FR"/>
        </w:rPr>
        <w:t>Exemple de plaque pour véhicule lent</w:t>
      </w:r>
    </w:p>
    <w:p w14:paraId="13A69E3D" w14:textId="43A1FC1E" w:rsidR="004810BE" w:rsidRDefault="004810BE" w:rsidP="004810BE">
      <w:pPr>
        <w:ind w:left="1134"/>
        <w:rPr>
          <w:lang w:val="fr-FR"/>
        </w:rPr>
      </w:pPr>
      <w:r w:rsidRPr="004810BE">
        <w:rPr>
          <w:noProof/>
        </w:rPr>
        <w:drawing>
          <wp:inline distT="0" distB="0" distL="0" distR="0" wp14:anchorId="7119E2B0" wp14:editId="72209CDE">
            <wp:extent cx="6120130" cy="2950845"/>
            <wp:effectExtent l="0" t="0" r="0" b="1905"/>
            <wp:docPr id="199726440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95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CD34D" w14:textId="3613D03D" w:rsidR="006746F2" w:rsidRDefault="00675DAE" w:rsidP="008E0AC3">
      <w:pPr>
        <w:pStyle w:val="SingleTxtG"/>
        <w:jc w:val="right"/>
        <w:rPr>
          <w:lang w:val="fr-FR"/>
        </w:rPr>
      </w:pPr>
      <w:r>
        <w:rPr>
          <w:lang w:val="fr-FR"/>
        </w:rPr>
        <w:t>».</w:t>
      </w:r>
    </w:p>
    <w:p w14:paraId="31288A1B" w14:textId="77777777" w:rsidR="006746F2" w:rsidRDefault="006746F2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lang w:val="fr-FR"/>
        </w:rPr>
      </w:pPr>
      <w:r>
        <w:rPr>
          <w:lang w:val="fr-FR"/>
        </w:rPr>
        <w:br w:type="page"/>
      </w:r>
    </w:p>
    <w:p w14:paraId="1C8ECB31" w14:textId="46D08BF6" w:rsidR="00675DAE" w:rsidRPr="00277069" w:rsidRDefault="006746F2" w:rsidP="006746F2">
      <w:pPr>
        <w:pStyle w:val="H1G"/>
        <w:rPr>
          <w:lang w:val="fr-FR"/>
        </w:rPr>
      </w:pPr>
      <w:r>
        <w:rPr>
          <w:lang w:val="fr-FR"/>
        </w:rPr>
        <w:lastRenderedPageBreak/>
        <w:tab/>
      </w:r>
      <w:r w:rsidR="00675DAE">
        <w:rPr>
          <w:lang w:val="fr-FR"/>
        </w:rPr>
        <w:t>B.</w:t>
      </w:r>
      <w:r w:rsidR="00675DAE">
        <w:rPr>
          <w:lang w:val="fr-FR"/>
        </w:rPr>
        <w:tab/>
        <w:t>Proposition de complément à la série 01 d’amendements du Règlement ONU n</w:t>
      </w:r>
      <w:r w:rsidR="00675DAE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="00675DAE">
        <w:rPr>
          <w:lang w:val="fr-FR"/>
        </w:rPr>
        <w:t>150</w:t>
      </w:r>
    </w:p>
    <w:p w14:paraId="2D15D4EB" w14:textId="00B158DA" w:rsidR="00675DAE" w:rsidRPr="00277069" w:rsidRDefault="00675DAE" w:rsidP="006746F2">
      <w:pPr>
        <w:pStyle w:val="SingleTxtG"/>
        <w:rPr>
          <w:lang w:val="fr-FR"/>
        </w:rPr>
      </w:pPr>
      <w:r>
        <w:rPr>
          <w:i/>
          <w:iCs/>
          <w:lang w:val="fr-FR"/>
        </w:rPr>
        <w:t>Tableau 6</w:t>
      </w:r>
      <w:r>
        <w:rPr>
          <w:lang w:val="fr-FR"/>
        </w:rPr>
        <w:t>, lire</w:t>
      </w:r>
      <w:r w:rsidR="006746F2">
        <w:rPr>
          <w:lang w:val="fr-FR"/>
        </w:rPr>
        <w:t> </w:t>
      </w:r>
      <w:r>
        <w:rPr>
          <w:lang w:val="fr-FR"/>
        </w:rPr>
        <w:t>:</w:t>
      </w:r>
    </w:p>
    <w:p w14:paraId="3996051A" w14:textId="77777777" w:rsidR="00675DAE" w:rsidRPr="00277069" w:rsidRDefault="00675DAE" w:rsidP="00675DAE">
      <w:pPr>
        <w:pStyle w:val="Sansinterligne"/>
        <w:ind w:left="2268"/>
        <w:rPr>
          <w:b/>
          <w:bCs/>
          <w:lang w:val="fr-FR"/>
        </w:rPr>
      </w:pPr>
      <w:r>
        <w:rPr>
          <w:lang w:val="fr-FR"/>
        </w:rPr>
        <w:t>« Tableau 6</w:t>
      </w:r>
    </w:p>
    <w:p w14:paraId="4B4E8618" w14:textId="77777777" w:rsidR="00675DAE" w:rsidRDefault="00675DAE" w:rsidP="006746F2">
      <w:pPr>
        <w:pStyle w:val="Sansinterligne"/>
        <w:spacing w:after="120" w:line="240" w:lineRule="atLeast"/>
        <w:ind w:left="2268" w:right="1134"/>
        <w:rPr>
          <w:b/>
          <w:bCs/>
          <w:vertAlign w:val="subscript"/>
          <w:lang w:val="fr-FR"/>
        </w:rPr>
      </w:pPr>
      <w:r>
        <w:rPr>
          <w:b/>
          <w:bCs/>
          <w:lang w:val="fr-FR"/>
        </w:rPr>
        <w:t>Valeurs minimales du coefficient de rétroréflexion R</w:t>
      </w:r>
      <w:r>
        <w:rPr>
          <w:b/>
          <w:bCs/>
          <w:vertAlign w:val="subscript"/>
          <w:lang w:val="fr-FR"/>
        </w:rPr>
        <w:t>A</w:t>
      </w:r>
    </w:p>
    <w:tbl>
      <w:tblPr>
        <w:tblW w:w="7371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1917"/>
        <w:gridCol w:w="780"/>
        <w:gridCol w:w="771"/>
        <w:gridCol w:w="780"/>
        <w:gridCol w:w="915"/>
        <w:gridCol w:w="653"/>
      </w:tblGrid>
      <w:tr w:rsidR="00675DAE" w:rsidRPr="000D5529" w14:paraId="470F7973" w14:textId="77777777" w:rsidTr="002701BF">
        <w:trPr>
          <w:trHeight w:val="520"/>
        </w:trPr>
        <w:tc>
          <w:tcPr>
            <w:tcW w:w="1555" w:type="dxa"/>
            <w:shd w:val="clear" w:color="auto" w:fill="auto"/>
            <w:hideMark/>
          </w:tcPr>
          <w:p w14:paraId="1E7B23C8" w14:textId="77777777" w:rsidR="00675DAE" w:rsidRPr="00E348A4" w:rsidRDefault="00675DAE" w:rsidP="002701BF">
            <w:pPr>
              <w:keepNext/>
              <w:spacing w:before="60" w:after="60" w:line="220" w:lineRule="atLeast"/>
              <w:ind w:left="57" w:right="57"/>
              <w:rPr>
                <w:b/>
                <w:bCs/>
                <w:i/>
                <w:iCs/>
                <w:sz w:val="16"/>
                <w:szCs w:val="16"/>
                <w:lang w:val="fr-FR" w:eastAsia="de-DE"/>
              </w:rPr>
            </w:pPr>
            <w:r w:rsidRPr="00E348A4">
              <w:rPr>
                <w:b/>
                <w:bCs/>
                <w:i/>
                <w:iCs/>
                <w:sz w:val="16"/>
                <w:szCs w:val="16"/>
                <w:lang w:val="fr-FR" w:eastAsia="de-DE"/>
              </w:rPr>
              <w:t>Angle d</w:t>
            </w:r>
            <w:r>
              <w:rPr>
                <w:b/>
                <w:bCs/>
                <w:i/>
                <w:iCs/>
                <w:sz w:val="16"/>
                <w:szCs w:val="16"/>
                <w:lang w:val="fr-FR" w:eastAsia="de-DE"/>
              </w:rPr>
              <w:t>’</w:t>
            </w:r>
            <w:r w:rsidRPr="00E348A4">
              <w:rPr>
                <w:b/>
                <w:bCs/>
                <w:i/>
                <w:iCs/>
                <w:sz w:val="16"/>
                <w:szCs w:val="16"/>
                <w:lang w:val="fr-FR" w:eastAsia="de-DE"/>
              </w:rPr>
              <w:t xml:space="preserve">observation </w:t>
            </w:r>
            <w:r w:rsidRPr="00FD3B3B">
              <w:rPr>
                <w:b/>
                <w:bCs/>
                <w:i/>
                <w:iCs/>
                <w:sz w:val="16"/>
                <w:szCs w:val="16"/>
                <w:lang w:val="en-US" w:eastAsia="de-DE"/>
              </w:rPr>
              <w:t>α</w:t>
            </w:r>
            <w:r w:rsidRPr="00E348A4">
              <w:rPr>
                <w:b/>
                <w:bCs/>
                <w:i/>
                <w:iCs/>
                <w:sz w:val="16"/>
                <w:szCs w:val="16"/>
                <w:lang w:val="fr-FR" w:eastAsia="de-DE"/>
              </w:rPr>
              <w:t xml:space="preserve"> (en degrés)</w:t>
            </w:r>
            <w:r>
              <w:rPr>
                <w:b/>
                <w:bCs/>
                <w:i/>
                <w:iCs/>
                <w:sz w:val="16"/>
                <w:szCs w:val="16"/>
                <w:lang w:val="fr-FR" w:eastAsia="de-DE"/>
              </w:rPr>
              <w:br/>
            </w:r>
            <w:r w:rsidRPr="00B44392">
              <w:rPr>
                <w:b/>
                <w:bCs/>
                <w:i/>
                <w:iCs/>
                <w:sz w:val="16"/>
                <w:szCs w:val="16"/>
                <w:lang w:eastAsia="de-DE"/>
              </w:rPr>
              <w:t>α</w:t>
            </w:r>
            <w:r w:rsidRPr="00CE2DE1">
              <w:rPr>
                <w:b/>
                <w:bCs/>
                <w:i/>
                <w:iCs/>
                <w:sz w:val="16"/>
                <w:szCs w:val="16"/>
                <w:lang w:val="fr-FR" w:eastAsia="de-DE"/>
              </w:rPr>
              <w:t xml:space="preserve"> </w:t>
            </w:r>
            <w:r w:rsidRPr="00E348A4">
              <w:rPr>
                <w:b/>
                <w:bCs/>
                <w:i/>
                <w:iCs/>
                <w:sz w:val="16"/>
                <w:szCs w:val="16"/>
                <w:lang w:val="fr-FR" w:eastAsia="de-DE"/>
              </w:rPr>
              <w:t>=</w:t>
            </w:r>
            <w:r>
              <w:rPr>
                <w:b/>
                <w:bCs/>
                <w:i/>
                <w:iCs/>
                <w:sz w:val="16"/>
                <w:szCs w:val="16"/>
                <w:lang w:val="fr-FR" w:eastAsia="de-DE"/>
              </w:rPr>
              <w:t xml:space="preserve"> </w:t>
            </w:r>
            <w:r w:rsidRPr="00E348A4">
              <w:rPr>
                <w:b/>
                <w:bCs/>
                <w:i/>
                <w:iCs/>
                <w:sz w:val="16"/>
                <w:szCs w:val="16"/>
                <w:lang w:val="fr-FR" w:eastAsia="de-DE"/>
              </w:rPr>
              <w:t>0</w:t>
            </w:r>
            <w:r>
              <w:rPr>
                <w:b/>
                <w:bCs/>
                <w:i/>
                <w:iCs/>
                <w:sz w:val="16"/>
                <w:szCs w:val="16"/>
                <w:lang w:val="fr-FR" w:eastAsia="de-DE"/>
              </w:rPr>
              <w:t>,</w:t>
            </w:r>
            <w:r w:rsidRPr="00E348A4">
              <w:rPr>
                <w:b/>
                <w:bCs/>
                <w:i/>
                <w:iCs/>
                <w:sz w:val="16"/>
                <w:szCs w:val="16"/>
                <w:lang w:val="fr-FR" w:eastAsia="de-DE"/>
              </w:rPr>
              <w:t>33</w:t>
            </w:r>
            <w:r>
              <w:rPr>
                <w:b/>
                <w:bCs/>
                <w:i/>
                <w:iCs/>
                <w:sz w:val="16"/>
                <w:szCs w:val="16"/>
                <w:lang w:val="fr-FR" w:eastAsia="de-DE"/>
              </w:rPr>
              <w:t xml:space="preserve">° </w:t>
            </w:r>
            <w:r w:rsidRPr="00E348A4">
              <w:rPr>
                <w:b/>
                <w:bCs/>
                <w:i/>
                <w:iCs/>
                <w:sz w:val="16"/>
                <w:szCs w:val="16"/>
                <w:lang w:val="fr-FR" w:eastAsia="de-DE"/>
              </w:rPr>
              <w:t>(20</w:t>
            </w:r>
            <w:r>
              <w:rPr>
                <w:b/>
                <w:bCs/>
                <w:i/>
                <w:iCs/>
                <w:sz w:val="16"/>
                <w:szCs w:val="16"/>
                <w:lang w:val="fr-FR" w:eastAsia="de-DE"/>
              </w:rPr>
              <w:t>’</w:t>
            </w:r>
            <w:r w:rsidRPr="00E348A4">
              <w:rPr>
                <w:b/>
                <w:bCs/>
                <w:i/>
                <w:iCs/>
                <w:sz w:val="16"/>
                <w:szCs w:val="16"/>
                <w:lang w:val="fr-FR" w:eastAsia="de-DE"/>
              </w:rPr>
              <w:t>)</w:t>
            </w:r>
          </w:p>
        </w:tc>
        <w:tc>
          <w:tcPr>
            <w:tcW w:w="5816" w:type="dxa"/>
            <w:gridSpan w:val="6"/>
            <w:shd w:val="clear" w:color="auto" w:fill="auto"/>
            <w:vAlign w:val="bottom"/>
            <w:hideMark/>
          </w:tcPr>
          <w:p w14:paraId="75187A0F" w14:textId="77777777" w:rsidR="00675DAE" w:rsidRPr="00E348A4" w:rsidRDefault="00675DAE" w:rsidP="002701BF">
            <w:pPr>
              <w:keepNext/>
              <w:spacing w:before="60" w:after="60" w:line="220" w:lineRule="atLeast"/>
              <w:ind w:left="57" w:right="57"/>
              <w:jc w:val="center"/>
              <w:rPr>
                <w:b/>
                <w:bCs/>
                <w:i/>
                <w:iCs/>
                <w:sz w:val="16"/>
                <w:szCs w:val="16"/>
                <w:lang w:val="fr-FR" w:eastAsia="de-DE"/>
              </w:rPr>
            </w:pPr>
            <w:r w:rsidRPr="00E348A4">
              <w:rPr>
                <w:b/>
                <w:bCs/>
                <w:i/>
                <w:iCs/>
                <w:sz w:val="16"/>
                <w:szCs w:val="16"/>
                <w:lang w:val="fr-FR" w:eastAsia="de-DE"/>
              </w:rPr>
              <w:t>Valeurs minimales du coefficient de rétroréflexion R</w:t>
            </w:r>
            <w:r w:rsidRPr="00E348A4">
              <w:rPr>
                <w:b/>
                <w:bCs/>
                <w:i/>
                <w:iCs/>
                <w:sz w:val="16"/>
                <w:szCs w:val="16"/>
                <w:vertAlign w:val="subscript"/>
                <w:lang w:val="fr-FR" w:eastAsia="de-DE"/>
              </w:rPr>
              <w:t>A</w:t>
            </w:r>
            <w:r w:rsidRPr="00E348A4">
              <w:rPr>
                <w:b/>
                <w:bCs/>
                <w:i/>
                <w:iCs/>
                <w:sz w:val="16"/>
                <w:szCs w:val="16"/>
                <w:lang w:val="fr-FR" w:eastAsia="de-DE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  <w:lang w:val="fr-FR" w:eastAsia="de-DE"/>
              </w:rPr>
              <w:t>e</w:t>
            </w:r>
            <w:r w:rsidRPr="00E348A4">
              <w:rPr>
                <w:b/>
                <w:bCs/>
                <w:i/>
                <w:iCs/>
                <w:sz w:val="16"/>
                <w:szCs w:val="16"/>
                <w:lang w:val="fr-FR" w:eastAsia="de-DE"/>
              </w:rPr>
              <w:t>n cd∙m</w:t>
            </w:r>
            <w:r w:rsidRPr="00E348A4">
              <w:rPr>
                <w:b/>
                <w:bCs/>
                <w:i/>
                <w:iCs/>
                <w:sz w:val="16"/>
                <w:szCs w:val="16"/>
                <w:vertAlign w:val="superscript"/>
                <w:lang w:val="fr-FR" w:eastAsia="de-DE"/>
              </w:rPr>
              <w:t>-</w:t>
            </w:r>
            <w:r w:rsidRPr="00E348A4">
              <w:rPr>
                <w:b/>
                <w:bCs/>
                <w:i/>
                <w:iCs/>
                <w:sz w:val="16"/>
                <w:szCs w:val="16"/>
                <w:lang w:val="fr-FR" w:eastAsia="de-DE"/>
              </w:rPr>
              <w:t>²∙lx</w:t>
            </w:r>
            <w:r w:rsidRPr="00E348A4">
              <w:rPr>
                <w:b/>
                <w:bCs/>
                <w:i/>
                <w:iCs/>
                <w:sz w:val="16"/>
                <w:szCs w:val="16"/>
                <w:vertAlign w:val="superscript"/>
                <w:lang w:val="fr-FR" w:eastAsia="de-DE"/>
              </w:rPr>
              <w:t>-1</w:t>
            </w:r>
          </w:p>
        </w:tc>
      </w:tr>
      <w:tr w:rsidR="00675DAE" w:rsidRPr="00B44392" w14:paraId="67342D1F" w14:textId="77777777" w:rsidTr="002701BF">
        <w:trPr>
          <w:trHeight w:val="290"/>
        </w:trPr>
        <w:tc>
          <w:tcPr>
            <w:tcW w:w="1555" w:type="dxa"/>
            <w:vMerge w:val="restart"/>
            <w:shd w:val="clear" w:color="auto" w:fill="auto"/>
            <w:vAlign w:val="bottom"/>
            <w:hideMark/>
          </w:tcPr>
          <w:p w14:paraId="37B30F1D" w14:textId="77777777" w:rsidR="00675DAE" w:rsidRPr="00E348A4" w:rsidRDefault="00675DAE" w:rsidP="002701BF">
            <w:pPr>
              <w:spacing w:before="60" w:after="60" w:line="220" w:lineRule="atLeast"/>
              <w:ind w:left="57" w:right="57"/>
              <w:rPr>
                <w:b/>
                <w:bCs/>
                <w:i/>
                <w:iCs/>
                <w:sz w:val="16"/>
                <w:szCs w:val="16"/>
                <w:lang w:val="fr-FR" w:eastAsia="de-DE"/>
              </w:rPr>
            </w:pPr>
            <w:r w:rsidRPr="00E348A4">
              <w:rPr>
                <w:b/>
                <w:bCs/>
                <w:i/>
                <w:iCs/>
                <w:sz w:val="16"/>
                <w:szCs w:val="16"/>
                <w:lang w:val="fr-FR" w:eastAsia="de-DE"/>
              </w:rPr>
              <w:t>Angle d</w:t>
            </w:r>
            <w:r>
              <w:rPr>
                <w:b/>
                <w:bCs/>
                <w:i/>
                <w:iCs/>
                <w:sz w:val="16"/>
                <w:szCs w:val="16"/>
                <w:lang w:val="fr-FR" w:eastAsia="de-DE"/>
              </w:rPr>
              <w:t>’</w:t>
            </w:r>
            <w:r w:rsidRPr="00E348A4">
              <w:rPr>
                <w:b/>
                <w:bCs/>
                <w:i/>
                <w:iCs/>
                <w:sz w:val="16"/>
                <w:szCs w:val="16"/>
                <w:lang w:val="fr-FR" w:eastAsia="de-DE"/>
              </w:rPr>
              <w:t xml:space="preserve">éclairage </w:t>
            </w:r>
            <w:r w:rsidRPr="00B44392">
              <w:rPr>
                <w:b/>
                <w:bCs/>
                <w:i/>
                <w:iCs/>
                <w:sz w:val="16"/>
                <w:szCs w:val="16"/>
                <w:lang w:eastAsia="de-DE"/>
              </w:rPr>
              <w:t>β</w:t>
            </w:r>
            <w:r w:rsidRPr="00E348A4">
              <w:rPr>
                <w:b/>
                <w:bCs/>
                <w:i/>
                <w:iCs/>
                <w:sz w:val="16"/>
                <w:szCs w:val="16"/>
                <w:lang w:val="fr-FR" w:eastAsia="de-DE"/>
              </w:rPr>
              <w:t xml:space="preserve"> </w:t>
            </w:r>
            <w:r w:rsidRPr="000B3909">
              <w:rPr>
                <w:b/>
                <w:bCs/>
                <w:i/>
                <w:iCs/>
                <w:sz w:val="16"/>
                <w:szCs w:val="16"/>
                <w:lang w:val="fr-FR" w:eastAsia="de-DE"/>
              </w:rPr>
              <w:t>(en degrés)</w:t>
            </w:r>
          </w:p>
        </w:tc>
        <w:tc>
          <w:tcPr>
            <w:tcW w:w="1917" w:type="dxa"/>
            <w:shd w:val="clear" w:color="auto" w:fill="auto"/>
            <w:hideMark/>
          </w:tcPr>
          <w:p w14:paraId="6B57994F" w14:textId="77777777" w:rsidR="00675DAE" w:rsidRPr="00B44392" w:rsidRDefault="00675DAE" w:rsidP="002701BF">
            <w:pPr>
              <w:spacing w:before="60" w:after="60" w:line="220" w:lineRule="atLeast"/>
              <w:ind w:left="57" w:right="57"/>
              <w:rPr>
                <w:b/>
                <w:bCs/>
                <w:i/>
                <w:iCs/>
                <w:sz w:val="16"/>
                <w:szCs w:val="16"/>
                <w:lang w:eastAsia="de-DE"/>
              </w:rPr>
            </w:pPr>
            <w:r w:rsidRPr="00B44392">
              <w:rPr>
                <w:b/>
                <w:bCs/>
                <w:i/>
                <w:iCs/>
                <w:sz w:val="16"/>
                <w:szCs w:val="16"/>
                <w:lang w:eastAsia="de-DE"/>
              </w:rPr>
              <w:t>β1</w:t>
            </w:r>
            <w:r>
              <w:rPr>
                <w:b/>
                <w:bCs/>
                <w:i/>
                <w:iCs/>
                <w:sz w:val="16"/>
                <w:szCs w:val="16"/>
                <w:lang w:eastAsia="de-DE"/>
              </w:rPr>
              <w:t xml:space="preserve"> − verticale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AA15A5F" w14:textId="77777777" w:rsidR="00675DAE" w:rsidRPr="00B44392" w:rsidRDefault="00675DAE" w:rsidP="002701BF">
            <w:pPr>
              <w:spacing w:before="60" w:after="60" w:line="220" w:lineRule="atLeast"/>
              <w:ind w:left="57" w:right="57"/>
              <w:jc w:val="center"/>
              <w:rPr>
                <w:b/>
                <w:bCs/>
                <w:i/>
                <w:iCs/>
                <w:sz w:val="16"/>
                <w:szCs w:val="16"/>
                <w:lang w:eastAsia="de-DE"/>
              </w:rPr>
            </w:pPr>
            <w:r w:rsidRPr="00B44392">
              <w:rPr>
                <w:b/>
                <w:bCs/>
                <w:i/>
                <w:iCs/>
                <w:sz w:val="16"/>
                <w:szCs w:val="16"/>
                <w:lang w:eastAsia="de-DE"/>
              </w:rPr>
              <w:t>0°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14:paraId="3B14ACED" w14:textId="77777777" w:rsidR="00675DAE" w:rsidRPr="00B44392" w:rsidRDefault="00675DAE" w:rsidP="002701BF">
            <w:pPr>
              <w:spacing w:before="60" w:after="60" w:line="220" w:lineRule="atLeast"/>
              <w:ind w:left="57" w:right="57"/>
              <w:jc w:val="center"/>
              <w:rPr>
                <w:b/>
                <w:bCs/>
                <w:i/>
                <w:iCs/>
                <w:sz w:val="16"/>
                <w:szCs w:val="16"/>
                <w:lang w:eastAsia="de-DE"/>
              </w:rPr>
            </w:pPr>
            <w:r w:rsidRPr="00B44392">
              <w:rPr>
                <w:b/>
                <w:bCs/>
                <w:i/>
                <w:iCs/>
                <w:sz w:val="16"/>
                <w:szCs w:val="16"/>
                <w:lang w:eastAsia="de-DE"/>
              </w:rPr>
              <w:t>0°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33AE5B4" w14:textId="77777777" w:rsidR="00675DAE" w:rsidRPr="00B44392" w:rsidRDefault="00675DAE" w:rsidP="002701BF">
            <w:pPr>
              <w:spacing w:before="60" w:after="60" w:line="220" w:lineRule="atLeast"/>
              <w:ind w:left="57" w:right="57"/>
              <w:jc w:val="center"/>
              <w:rPr>
                <w:b/>
                <w:bCs/>
                <w:i/>
                <w:iCs/>
                <w:sz w:val="16"/>
                <w:szCs w:val="16"/>
                <w:lang w:eastAsia="de-DE"/>
              </w:rPr>
            </w:pPr>
            <w:r w:rsidRPr="00B44392">
              <w:rPr>
                <w:b/>
                <w:bCs/>
                <w:i/>
                <w:iCs/>
                <w:sz w:val="16"/>
                <w:szCs w:val="16"/>
                <w:lang w:eastAsia="de-DE"/>
              </w:rPr>
              <w:t>0°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14:paraId="258AE98F" w14:textId="77777777" w:rsidR="00675DAE" w:rsidRPr="00B44392" w:rsidRDefault="00675DAE" w:rsidP="002701BF">
            <w:pPr>
              <w:spacing w:before="60" w:after="60" w:line="220" w:lineRule="atLeast"/>
              <w:ind w:left="57" w:right="57"/>
              <w:jc w:val="center"/>
              <w:rPr>
                <w:b/>
                <w:bCs/>
                <w:i/>
                <w:iCs/>
                <w:sz w:val="16"/>
                <w:szCs w:val="16"/>
                <w:lang w:eastAsia="de-DE"/>
              </w:rPr>
            </w:pPr>
            <w:r w:rsidRPr="00B44392">
              <w:rPr>
                <w:b/>
                <w:bCs/>
                <w:i/>
                <w:iCs/>
                <w:sz w:val="16"/>
                <w:szCs w:val="16"/>
                <w:lang w:eastAsia="de-DE"/>
              </w:rPr>
              <w:t>0°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14:paraId="5D2ECB25" w14:textId="77777777" w:rsidR="00675DAE" w:rsidRPr="00B44392" w:rsidRDefault="00675DAE" w:rsidP="002701BF">
            <w:pPr>
              <w:spacing w:before="60" w:after="60" w:line="220" w:lineRule="atLeast"/>
              <w:ind w:left="57" w:right="57"/>
              <w:jc w:val="center"/>
              <w:rPr>
                <w:b/>
                <w:bCs/>
                <w:i/>
                <w:iCs/>
                <w:sz w:val="16"/>
                <w:szCs w:val="16"/>
                <w:lang w:eastAsia="de-DE"/>
              </w:rPr>
            </w:pPr>
            <w:r w:rsidRPr="00B44392">
              <w:rPr>
                <w:b/>
                <w:bCs/>
                <w:i/>
                <w:iCs/>
                <w:sz w:val="16"/>
                <w:szCs w:val="16"/>
                <w:lang w:eastAsia="de-DE"/>
              </w:rPr>
              <w:t>0°</w:t>
            </w:r>
          </w:p>
        </w:tc>
      </w:tr>
      <w:tr w:rsidR="00675DAE" w:rsidRPr="00B44392" w14:paraId="644C41D9" w14:textId="77777777" w:rsidTr="002701BF">
        <w:trPr>
          <w:trHeight w:val="290"/>
        </w:trPr>
        <w:tc>
          <w:tcPr>
            <w:tcW w:w="1555" w:type="dxa"/>
            <w:vMerge/>
            <w:hideMark/>
          </w:tcPr>
          <w:p w14:paraId="57B3E091" w14:textId="77777777" w:rsidR="00675DAE" w:rsidRPr="00B44392" w:rsidRDefault="00675DAE" w:rsidP="002701BF">
            <w:pPr>
              <w:spacing w:before="60" w:after="60" w:line="220" w:lineRule="atLeast"/>
              <w:ind w:left="57" w:right="57"/>
              <w:rPr>
                <w:b/>
                <w:bCs/>
                <w:i/>
                <w:iCs/>
                <w:sz w:val="16"/>
                <w:szCs w:val="16"/>
                <w:lang w:eastAsia="de-DE"/>
              </w:rPr>
            </w:pPr>
          </w:p>
        </w:tc>
        <w:tc>
          <w:tcPr>
            <w:tcW w:w="1917" w:type="dxa"/>
            <w:shd w:val="clear" w:color="auto" w:fill="auto"/>
            <w:hideMark/>
          </w:tcPr>
          <w:p w14:paraId="2ABB0081" w14:textId="77777777" w:rsidR="00675DAE" w:rsidRPr="00B44392" w:rsidRDefault="00675DAE" w:rsidP="002701BF">
            <w:pPr>
              <w:spacing w:before="60" w:after="60" w:line="220" w:lineRule="atLeast"/>
              <w:ind w:left="57" w:right="57"/>
              <w:rPr>
                <w:b/>
                <w:bCs/>
                <w:i/>
                <w:iCs/>
                <w:sz w:val="16"/>
                <w:szCs w:val="16"/>
                <w:lang w:eastAsia="de-DE"/>
              </w:rPr>
            </w:pPr>
            <w:r w:rsidRPr="00B44392">
              <w:rPr>
                <w:b/>
                <w:bCs/>
                <w:i/>
                <w:iCs/>
                <w:sz w:val="16"/>
                <w:szCs w:val="16"/>
                <w:lang w:eastAsia="de-DE"/>
              </w:rPr>
              <w:t>β2</w:t>
            </w:r>
            <w:r>
              <w:rPr>
                <w:b/>
                <w:bCs/>
                <w:i/>
                <w:iCs/>
                <w:sz w:val="16"/>
                <w:szCs w:val="16"/>
                <w:lang w:eastAsia="de-DE"/>
              </w:rPr>
              <w:t xml:space="preserve"> − horizontale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30F28EE" w14:textId="77777777" w:rsidR="00675DAE" w:rsidRPr="00B44392" w:rsidRDefault="00675DAE" w:rsidP="002701BF">
            <w:pPr>
              <w:spacing w:before="60" w:after="60" w:line="220" w:lineRule="atLeast"/>
              <w:ind w:left="57" w:right="57"/>
              <w:jc w:val="center"/>
              <w:rPr>
                <w:b/>
                <w:bCs/>
                <w:i/>
                <w:iCs/>
                <w:sz w:val="16"/>
                <w:szCs w:val="16"/>
                <w:lang w:eastAsia="de-DE"/>
              </w:rPr>
            </w:pPr>
            <w:r w:rsidRPr="00B44392">
              <w:rPr>
                <w:b/>
                <w:bCs/>
                <w:i/>
                <w:iCs/>
                <w:sz w:val="16"/>
                <w:szCs w:val="16"/>
                <w:lang w:eastAsia="de-DE"/>
              </w:rPr>
              <w:t>5°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14:paraId="57A22B05" w14:textId="77777777" w:rsidR="00675DAE" w:rsidRPr="00B44392" w:rsidRDefault="00675DAE" w:rsidP="002701BF">
            <w:pPr>
              <w:spacing w:before="60" w:after="60" w:line="220" w:lineRule="atLeast"/>
              <w:ind w:left="57" w:right="57"/>
              <w:jc w:val="center"/>
              <w:rPr>
                <w:b/>
                <w:bCs/>
                <w:i/>
                <w:iCs/>
                <w:sz w:val="16"/>
                <w:szCs w:val="16"/>
                <w:lang w:eastAsia="de-DE"/>
              </w:rPr>
            </w:pPr>
            <w:r w:rsidRPr="00B44392">
              <w:rPr>
                <w:b/>
                <w:bCs/>
                <w:i/>
                <w:iCs/>
                <w:sz w:val="16"/>
                <w:szCs w:val="16"/>
                <w:lang w:eastAsia="de-DE"/>
              </w:rPr>
              <w:t>20°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35942A0" w14:textId="77777777" w:rsidR="00675DAE" w:rsidRPr="00B44392" w:rsidRDefault="00675DAE" w:rsidP="002701BF">
            <w:pPr>
              <w:spacing w:before="60" w:after="60" w:line="220" w:lineRule="atLeast"/>
              <w:ind w:left="57" w:right="57"/>
              <w:jc w:val="center"/>
              <w:rPr>
                <w:b/>
                <w:bCs/>
                <w:i/>
                <w:iCs/>
                <w:sz w:val="16"/>
                <w:szCs w:val="16"/>
                <w:lang w:eastAsia="de-DE"/>
              </w:rPr>
            </w:pPr>
            <w:r w:rsidRPr="00B44392">
              <w:rPr>
                <w:b/>
                <w:bCs/>
                <w:i/>
                <w:iCs/>
                <w:sz w:val="16"/>
                <w:szCs w:val="16"/>
                <w:lang w:eastAsia="de-DE"/>
              </w:rPr>
              <w:t>30°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14:paraId="125DA582" w14:textId="77777777" w:rsidR="00675DAE" w:rsidRPr="00B44392" w:rsidRDefault="00675DAE" w:rsidP="002701BF">
            <w:pPr>
              <w:spacing w:before="60" w:after="60" w:line="220" w:lineRule="atLeast"/>
              <w:ind w:left="57" w:right="57"/>
              <w:jc w:val="center"/>
              <w:rPr>
                <w:b/>
                <w:bCs/>
                <w:i/>
                <w:iCs/>
                <w:sz w:val="16"/>
                <w:szCs w:val="16"/>
                <w:lang w:eastAsia="de-DE"/>
              </w:rPr>
            </w:pPr>
            <w:r w:rsidRPr="00B44392">
              <w:rPr>
                <w:b/>
                <w:bCs/>
                <w:i/>
                <w:iCs/>
                <w:sz w:val="16"/>
                <w:szCs w:val="16"/>
                <w:lang w:eastAsia="de-DE"/>
              </w:rPr>
              <w:t>40°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14:paraId="2DA3143D" w14:textId="77777777" w:rsidR="00675DAE" w:rsidRPr="00B44392" w:rsidRDefault="00675DAE" w:rsidP="002701BF">
            <w:pPr>
              <w:spacing w:before="60" w:after="60" w:line="220" w:lineRule="atLeast"/>
              <w:ind w:left="57" w:right="57"/>
              <w:jc w:val="center"/>
              <w:rPr>
                <w:b/>
                <w:bCs/>
                <w:i/>
                <w:iCs/>
                <w:sz w:val="16"/>
                <w:szCs w:val="16"/>
                <w:lang w:eastAsia="de-DE"/>
              </w:rPr>
            </w:pPr>
            <w:r w:rsidRPr="00B44392">
              <w:rPr>
                <w:b/>
                <w:bCs/>
                <w:i/>
                <w:iCs/>
                <w:sz w:val="16"/>
                <w:szCs w:val="16"/>
                <w:lang w:eastAsia="de-DE"/>
              </w:rPr>
              <w:t>60°</w:t>
            </w:r>
          </w:p>
        </w:tc>
      </w:tr>
      <w:tr w:rsidR="00675DAE" w14:paraId="1AF67AD5" w14:textId="77777777" w:rsidTr="002701BF">
        <w:trPr>
          <w:trHeight w:val="290"/>
        </w:trPr>
        <w:tc>
          <w:tcPr>
            <w:tcW w:w="1555" w:type="dxa"/>
            <w:vMerge w:val="restart"/>
            <w:shd w:val="clear" w:color="auto" w:fill="auto"/>
            <w:vAlign w:val="center"/>
            <w:hideMark/>
          </w:tcPr>
          <w:p w14:paraId="5C870BEE" w14:textId="77777777" w:rsidR="00675DAE" w:rsidRPr="00DF7E09" w:rsidRDefault="00675DAE" w:rsidP="002701BF">
            <w:pPr>
              <w:spacing w:before="60" w:after="60" w:line="220" w:lineRule="atLeast"/>
              <w:ind w:left="57" w:right="57"/>
              <w:rPr>
                <w:sz w:val="16"/>
                <w:szCs w:val="16"/>
                <w:lang w:eastAsia="de-DE"/>
              </w:rPr>
            </w:pPr>
            <w:r w:rsidRPr="00DF7E09">
              <w:rPr>
                <w:sz w:val="16"/>
                <w:szCs w:val="16"/>
                <w:lang w:eastAsia="de-DE"/>
              </w:rPr>
              <w:t>Class</w:t>
            </w:r>
            <w:r>
              <w:rPr>
                <w:sz w:val="16"/>
                <w:szCs w:val="16"/>
                <w:lang w:eastAsia="de-DE"/>
              </w:rPr>
              <w:t>e</w:t>
            </w:r>
            <w:r w:rsidRPr="00DF7E09">
              <w:rPr>
                <w:sz w:val="16"/>
                <w:szCs w:val="16"/>
                <w:lang w:eastAsia="de-DE"/>
              </w:rPr>
              <w:t xml:space="preserve"> C</w:t>
            </w:r>
          </w:p>
        </w:tc>
        <w:tc>
          <w:tcPr>
            <w:tcW w:w="1917" w:type="dxa"/>
            <w:shd w:val="clear" w:color="auto" w:fill="auto"/>
            <w:hideMark/>
          </w:tcPr>
          <w:p w14:paraId="43E18B18" w14:textId="77777777" w:rsidR="00675DAE" w:rsidRDefault="00675DAE" w:rsidP="002701BF">
            <w:pPr>
              <w:spacing w:before="60" w:after="60" w:line="220" w:lineRule="atLeast"/>
              <w:ind w:left="57" w:right="57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jaune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EA1E532" w14:textId="77777777" w:rsidR="00675DAE" w:rsidRDefault="00675DAE" w:rsidP="002701BF">
            <w:pPr>
              <w:spacing w:before="60" w:after="60" w:line="220" w:lineRule="atLeast"/>
              <w:ind w:left="57" w:right="57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3,00∙10</w:t>
            </w:r>
            <w:r>
              <w:rPr>
                <w:sz w:val="16"/>
                <w:szCs w:val="16"/>
                <w:vertAlign w:val="superscript"/>
                <w:lang w:eastAsia="de-DE"/>
              </w:rPr>
              <w:t>2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14:paraId="63E281F5" w14:textId="77777777" w:rsidR="00675DAE" w:rsidRDefault="00675DAE" w:rsidP="002701BF">
            <w:pPr>
              <w:spacing w:before="60" w:after="60" w:line="220" w:lineRule="atLeast"/>
              <w:ind w:left="57" w:right="57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--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3A08932" w14:textId="77777777" w:rsidR="00675DAE" w:rsidRDefault="00675DAE" w:rsidP="002701BF">
            <w:pPr>
              <w:spacing w:before="60" w:after="60" w:line="220" w:lineRule="atLeast"/>
              <w:ind w:left="57" w:right="57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1,30∙10</w:t>
            </w:r>
            <w:r>
              <w:rPr>
                <w:sz w:val="16"/>
                <w:szCs w:val="16"/>
                <w:vertAlign w:val="superscript"/>
                <w:lang w:eastAsia="de-DE"/>
              </w:rPr>
              <w:t>2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14:paraId="40BBF9F0" w14:textId="77777777" w:rsidR="00675DAE" w:rsidRDefault="00675DAE" w:rsidP="002701BF">
            <w:pPr>
              <w:spacing w:before="60" w:after="60" w:line="220" w:lineRule="atLeast"/>
              <w:ind w:left="57" w:right="57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7,5∙10</w:t>
            </w:r>
            <w:r>
              <w:rPr>
                <w:sz w:val="16"/>
                <w:szCs w:val="16"/>
                <w:vertAlign w:val="superscript"/>
                <w:lang w:eastAsia="de-DE"/>
              </w:rPr>
              <w:t>1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14:paraId="06703D90" w14:textId="77777777" w:rsidR="00675DAE" w:rsidRDefault="00675DAE" w:rsidP="002701BF">
            <w:pPr>
              <w:spacing w:before="60" w:after="60" w:line="220" w:lineRule="atLeast"/>
              <w:ind w:left="57" w:right="57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1,0∙10</w:t>
            </w:r>
            <w:r>
              <w:rPr>
                <w:sz w:val="16"/>
                <w:szCs w:val="16"/>
                <w:vertAlign w:val="superscript"/>
                <w:lang w:eastAsia="de-DE"/>
              </w:rPr>
              <w:t>1</w:t>
            </w:r>
          </w:p>
        </w:tc>
      </w:tr>
      <w:tr w:rsidR="00675DAE" w14:paraId="0772AF48" w14:textId="77777777" w:rsidTr="002701BF">
        <w:trPr>
          <w:trHeight w:val="290"/>
        </w:trPr>
        <w:tc>
          <w:tcPr>
            <w:tcW w:w="1555" w:type="dxa"/>
            <w:vMerge/>
            <w:vAlign w:val="center"/>
            <w:hideMark/>
          </w:tcPr>
          <w:p w14:paraId="7CD2F5B9" w14:textId="77777777" w:rsidR="00675DAE" w:rsidRPr="00DF7E09" w:rsidRDefault="00675DAE" w:rsidP="002701BF">
            <w:pPr>
              <w:spacing w:before="60" w:after="60" w:line="220" w:lineRule="atLeast"/>
              <w:ind w:left="57" w:right="57"/>
              <w:rPr>
                <w:sz w:val="16"/>
                <w:szCs w:val="16"/>
                <w:lang w:eastAsia="de-DE"/>
              </w:rPr>
            </w:pPr>
          </w:p>
        </w:tc>
        <w:tc>
          <w:tcPr>
            <w:tcW w:w="1917" w:type="dxa"/>
            <w:shd w:val="clear" w:color="auto" w:fill="auto"/>
            <w:hideMark/>
          </w:tcPr>
          <w:p w14:paraId="4429AAD3" w14:textId="77777777" w:rsidR="00675DAE" w:rsidRDefault="00675DAE" w:rsidP="002701BF">
            <w:pPr>
              <w:spacing w:before="60" w:after="60" w:line="220" w:lineRule="atLeast"/>
              <w:ind w:left="57" w:right="57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blanc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D8B3ACB" w14:textId="77777777" w:rsidR="00675DAE" w:rsidRDefault="00675DAE" w:rsidP="002701BF">
            <w:pPr>
              <w:spacing w:before="60" w:after="60" w:line="220" w:lineRule="atLeast"/>
              <w:ind w:left="57" w:right="57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4,50∙10</w:t>
            </w:r>
            <w:r>
              <w:rPr>
                <w:sz w:val="16"/>
                <w:szCs w:val="16"/>
                <w:vertAlign w:val="superscript"/>
                <w:lang w:eastAsia="de-DE"/>
              </w:rPr>
              <w:t>2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14:paraId="315B44EE" w14:textId="77777777" w:rsidR="00675DAE" w:rsidRDefault="00675DAE" w:rsidP="002701BF">
            <w:pPr>
              <w:spacing w:before="60" w:after="60" w:line="220" w:lineRule="atLeast"/>
              <w:ind w:left="57" w:right="57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--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570275E" w14:textId="77777777" w:rsidR="00675DAE" w:rsidRDefault="00675DAE" w:rsidP="002701BF">
            <w:pPr>
              <w:spacing w:before="60" w:after="60" w:line="220" w:lineRule="atLeast"/>
              <w:ind w:left="57" w:right="57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2,00∙10</w:t>
            </w:r>
            <w:r>
              <w:rPr>
                <w:sz w:val="16"/>
                <w:szCs w:val="16"/>
                <w:vertAlign w:val="superscript"/>
                <w:lang w:eastAsia="de-DE"/>
              </w:rPr>
              <w:t>2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14:paraId="0AA310E0" w14:textId="77777777" w:rsidR="00675DAE" w:rsidRDefault="00675DAE" w:rsidP="002701BF">
            <w:pPr>
              <w:spacing w:before="60" w:after="60" w:line="220" w:lineRule="atLeast"/>
              <w:ind w:left="57" w:right="57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9,5∙10</w:t>
            </w:r>
            <w:r>
              <w:rPr>
                <w:sz w:val="16"/>
                <w:szCs w:val="16"/>
                <w:vertAlign w:val="superscript"/>
                <w:lang w:eastAsia="de-DE"/>
              </w:rPr>
              <w:t>1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14:paraId="2CCB1F0B" w14:textId="77777777" w:rsidR="00675DAE" w:rsidRDefault="00675DAE" w:rsidP="002701BF">
            <w:pPr>
              <w:spacing w:before="60" w:after="60" w:line="220" w:lineRule="atLeast"/>
              <w:ind w:left="57" w:right="57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1,6∙10</w:t>
            </w:r>
            <w:r>
              <w:rPr>
                <w:sz w:val="16"/>
                <w:szCs w:val="16"/>
                <w:vertAlign w:val="superscript"/>
                <w:lang w:eastAsia="de-DE"/>
              </w:rPr>
              <w:t>1</w:t>
            </w:r>
          </w:p>
        </w:tc>
      </w:tr>
      <w:tr w:rsidR="00675DAE" w14:paraId="2F94DD8A" w14:textId="77777777" w:rsidTr="002701BF">
        <w:trPr>
          <w:trHeight w:val="290"/>
        </w:trPr>
        <w:tc>
          <w:tcPr>
            <w:tcW w:w="1555" w:type="dxa"/>
            <w:vMerge/>
            <w:vAlign w:val="center"/>
            <w:hideMark/>
          </w:tcPr>
          <w:p w14:paraId="55BB1F2B" w14:textId="77777777" w:rsidR="00675DAE" w:rsidRPr="00DF7E09" w:rsidRDefault="00675DAE" w:rsidP="002701BF">
            <w:pPr>
              <w:spacing w:before="60" w:after="60" w:line="220" w:lineRule="atLeast"/>
              <w:ind w:left="57" w:right="57"/>
              <w:rPr>
                <w:sz w:val="16"/>
                <w:szCs w:val="16"/>
                <w:lang w:eastAsia="de-DE"/>
              </w:rPr>
            </w:pPr>
          </w:p>
        </w:tc>
        <w:tc>
          <w:tcPr>
            <w:tcW w:w="1917" w:type="dxa"/>
            <w:shd w:val="clear" w:color="auto" w:fill="auto"/>
            <w:hideMark/>
          </w:tcPr>
          <w:p w14:paraId="06A78F70" w14:textId="77777777" w:rsidR="00675DAE" w:rsidRDefault="00675DAE" w:rsidP="002701BF">
            <w:pPr>
              <w:spacing w:before="60" w:after="60" w:line="220" w:lineRule="atLeast"/>
              <w:ind w:left="57" w:right="57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rouge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53674DB" w14:textId="77777777" w:rsidR="00675DAE" w:rsidRDefault="00675DAE" w:rsidP="002701BF">
            <w:pPr>
              <w:spacing w:before="60" w:after="60" w:line="220" w:lineRule="atLeast"/>
              <w:ind w:left="57" w:right="57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1,20∙10</w:t>
            </w:r>
            <w:r>
              <w:rPr>
                <w:sz w:val="16"/>
                <w:szCs w:val="16"/>
                <w:vertAlign w:val="superscript"/>
                <w:lang w:eastAsia="de-DE"/>
              </w:rPr>
              <w:t>2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14:paraId="752DE619" w14:textId="77777777" w:rsidR="00675DAE" w:rsidRDefault="00675DAE" w:rsidP="002701BF">
            <w:pPr>
              <w:spacing w:before="60" w:after="60" w:line="220" w:lineRule="atLeast"/>
              <w:ind w:left="57" w:right="57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6,0∙10</w:t>
            </w:r>
            <w:r>
              <w:rPr>
                <w:sz w:val="16"/>
                <w:szCs w:val="16"/>
                <w:vertAlign w:val="superscript"/>
                <w:lang w:eastAsia="de-DE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CE1468A" w14:textId="77777777" w:rsidR="00675DAE" w:rsidRDefault="00675DAE" w:rsidP="002701BF">
            <w:pPr>
              <w:spacing w:before="60" w:after="60" w:line="220" w:lineRule="atLeast"/>
              <w:ind w:left="57" w:right="57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3,0∙10</w:t>
            </w:r>
            <w:r>
              <w:rPr>
                <w:sz w:val="16"/>
                <w:szCs w:val="16"/>
                <w:vertAlign w:val="superscript"/>
                <w:lang w:eastAsia="de-DE"/>
              </w:rPr>
              <w:t>1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14:paraId="695C06E7" w14:textId="77777777" w:rsidR="00675DAE" w:rsidRDefault="00675DAE" w:rsidP="002701BF">
            <w:pPr>
              <w:spacing w:before="60" w:after="60" w:line="220" w:lineRule="atLeast"/>
              <w:ind w:left="57" w:right="57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1,0∙10</w:t>
            </w:r>
            <w:r>
              <w:rPr>
                <w:sz w:val="16"/>
                <w:szCs w:val="16"/>
                <w:vertAlign w:val="superscript"/>
                <w:lang w:eastAsia="de-DE"/>
              </w:rPr>
              <w:t>1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14:paraId="0A81C5FB" w14:textId="77777777" w:rsidR="00675DAE" w:rsidRDefault="00675DAE" w:rsidP="002701BF">
            <w:pPr>
              <w:spacing w:before="60" w:after="60" w:line="220" w:lineRule="atLeast"/>
              <w:ind w:left="57" w:right="57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--</w:t>
            </w:r>
          </w:p>
        </w:tc>
      </w:tr>
      <w:tr w:rsidR="00675DAE" w14:paraId="38AB6EA4" w14:textId="77777777" w:rsidTr="002701BF">
        <w:trPr>
          <w:trHeight w:val="290"/>
        </w:trPr>
        <w:tc>
          <w:tcPr>
            <w:tcW w:w="1555" w:type="dxa"/>
            <w:vMerge w:val="restart"/>
            <w:shd w:val="clear" w:color="auto" w:fill="auto"/>
            <w:vAlign w:val="center"/>
            <w:hideMark/>
          </w:tcPr>
          <w:p w14:paraId="7D03C92D" w14:textId="77777777" w:rsidR="00675DAE" w:rsidRPr="00DF7E09" w:rsidRDefault="00675DAE" w:rsidP="002701BF">
            <w:pPr>
              <w:spacing w:before="60" w:after="60" w:line="220" w:lineRule="atLeast"/>
              <w:ind w:left="57" w:right="57"/>
              <w:rPr>
                <w:sz w:val="16"/>
                <w:szCs w:val="16"/>
                <w:lang w:eastAsia="de-DE"/>
              </w:rPr>
            </w:pPr>
            <w:r w:rsidRPr="00DF7E09">
              <w:rPr>
                <w:sz w:val="16"/>
                <w:szCs w:val="16"/>
                <w:lang w:eastAsia="de-DE"/>
              </w:rPr>
              <w:t>Class</w:t>
            </w:r>
            <w:r>
              <w:rPr>
                <w:sz w:val="16"/>
                <w:szCs w:val="16"/>
                <w:lang w:eastAsia="de-DE"/>
              </w:rPr>
              <w:t>e</w:t>
            </w:r>
            <w:r w:rsidRPr="00DF7E09">
              <w:rPr>
                <w:sz w:val="16"/>
                <w:szCs w:val="16"/>
                <w:lang w:eastAsia="de-DE"/>
              </w:rPr>
              <w:t xml:space="preserve"> F, 5</w:t>
            </w:r>
          </w:p>
        </w:tc>
        <w:tc>
          <w:tcPr>
            <w:tcW w:w="1917" w:type="dxa"/>
            <w:shd w:val="clear" w:color="auto" w:fill="auto"/>
            <w:hideMark/>
          </w:tcPr>
          <w:p w14:paraId="1549BF95" w14:textId="77777777" w:rsidR="00675DAE" w:rsidRDefault="00675DAE" w:rsidP="002701BF">
            <w:pPr>
              <w:spacing w:before="60" w:after="60" w:line="220" w:lineRule="atLeast"/>
              <w:ind w:left="57" w:right="57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blanc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94770E6" w14:textId="77777777" w:rsidR="00675DAE" w:rsidRDefault="00675DAE" w:rsidP="002701BF">
            <w:pPr>
              <w:spacing w:before="60" w:after="60" w:line="220" w:lineRule="atLeast"/>
              <w:ind w:left="57" w:right="57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4,50∙10</w:t>
            </w:r>
            <w:r>
              <w:rPr>
                <w:sz w:val="16"/>
                <w:szCs w:val="16"/>
                <w:vertAlign w:val="superscript"/>
                <w:lang w:eastAsia="de-DE"/>
              </w:rPr>
              <w:t>2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14:paraId="54C3031E" w14:textId="77777777" w:rsidR="00675DAE" w:rsidRDefault="00675DAE" w:rsidP="002701BF">
            <w:pPr>
              <w:spacing w:before="60" w:after="60" w:line="220" w:lineRule="atLeast"/>
              <w:ind w:left="57" w:right="57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--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85B6E63" w14:textId="77777777" w:rsidR="00675DAE" w:rsidRDefault="00675DAE" w:rsidP="002701BF">
            <w:pPr>
              <w:spacing w:before="60" w:after="60" w:line="220" w:lineRule="atLeast"/>
              <w:ind w:left="57" w:right="57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2,00∙10</w:t>
            </w:r>
            <w:r>
              <w:rPr>
                <w:sz w:val="16"/>
                <w:szCs w:val="16"/>
                <w:vertAlign w:val="superscript"/>
                <w:lang w:eastAsia="de-DE"/>
              </w:rPr>
              <w:t>2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14:paraId="46A6B9A9" w14:textId="77777777" w:rsidR="00675DAE" w:rsidRDefault="00675DAE" w:rsidP="002701BF">
            <w:pPr>
              <w:spacing w:before="60" w:after="60" w:line="220" w:lineRule="atLeast"/>
              <w:ind w:left="57" w:right="57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9,5∙10</w:t>
            </w:r>
            <w:r>
              <w:rPr>
                <w:sz w:val="16"/>
                <w:szCs w:val="16"/>
                <w:vertAlign w:val="superscript"/>
                <w:lang w:eastAsia="de-DE"/>
              </w:rPr>
              <w:t>1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14:paraId="052D5F3E" w14:textId="77777777" w:rsidR="00675DAE" w:rsidRDefault="00675DAE" w:rsidP="002701BF">
            <w:pPr>
              <w:spacing w:before="60" w:after="60" w:line="220" w:lineRule="atLeast"/>
              <w:ind w:left="57" w:right="57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1,6∙10</w:t>
            </w:r>
            <w:r>
              <w:rPr>
                <w:sz w:val="16"/>
                <w:szCs w:val="16"/>
                <w:vertAlign w:val="superscript"/>
                <w:lang w:eastAsia="de-DE"/>
              </w:rPr>
              <w:t>1</w:t>
            </w:r>
          </w:p>
        </w:tc>
      </w:tr>
      <w:tr w:rsidR="00675DAE" w14:paraId="4ED6F8F5" w14:textId="77777777" w:rsidTr="002701BF">
        <w:trPr>
          <w:trHeight w:val="313"/>
        </w:trPr>
        <w:tc>
          <w:tcPr>
            <w:tcW w:w="1555" w:type="dxa"/>
            <w:vMerge/>
            <w:vAlign w:val="center"/>
            <w:hideMark/>
          </w:tcPr>
          <w:p w14:paraId="23C06E5C" w14:textId="77777777" w:rsidR="00675DAE" w:rsidRPr="00DF7E09" w:rsidRDefault="00675DAE" w:rsidP="002701BF">
            <w:pPr>
              <w:spacing w:before="60" w:after="60" w:line="220" w:lineRule="atLeast"/>
              <w:ind w:left="57" w:right="57"/>
              <w:rPr>
                <w:sz w:val="16"/>
                <w:szCs w:val="16"/>
                <w:lang w:eastAsia="de-DE"/>
              </w:rPr>
            </w:pPr>
          </w:p>
        </w:tc>
        <w:tc>
          <w:tcPr>
            <w:tcW w:w="1917" w:type="dxa"/>
            <w:shd w:val="clear" w:color="auto" w:fill="auto"/>
            <w:hideMark/>
          </w:tcPr>
          <w:p w14:paraId="28567EAA" w14:textId="77777777" w:rsidR="00675DAE" w:rsidRDefault="00675DAE" w:rsidP="002701BF">
            <w:pPr>
              <w:spacing w:before="60" w:after="60" w:line="220" w:lineRule="atLeast"/>
              <w:ind w:left="57" w:right="57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rouge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945FEED" w14:textId="77777777" w:rsidR="00675DAE" w:rsidRDefault="00675DAE" w:rsidP="002701BF">
            <w:pPr>
              <w:spacing w:before="60" w:after="60" w:line="220" w:lineRule="atLeast"/>
              <w:ind w:left="57" w:right="57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1,20∙10</w:t>
            </w:r>
            <w:r>
              <w:rPr>
                <w:sz w:val="16"/>
                <w:szCs w:val="16"/>
                <w:vertAlign w:val="superscript"/>
                <w:lang w:eastAsia="de-DE"/>
              </w:rPr>
              <w:t>2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14:paraId="2D51824C" w14:textId="77777777" w:rsidR="00675DAE" w:rsidRDefault="00675DAE" w:rsidP="002701BF">
            <w:pPr>
              <w:spacing w:before="60" w:after="60" w:line="220" w:lineRule="atLeast"/>
              <w:ind w:left="57" w:right="57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B0059EE" w14:textId="77777777" w:rsidR="00675DAE" w:rsidRDefault="00675DAE" w:rsidP="002701BF">
            <w:pPr>
              <w:spacing w:before="60" w:after="60" w:line="220" w:lineRule="atLeast"/>
              <w:ind w:left="57" w:right="57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3,0∙10</w:t>
            </w:r>
            <w:r>
              <w:rPr>
                <w:sz w:val="16"/>
                <w:szCs w:val="16"/>
                <w:vertAlign w:val="superscript"/>
                <w:lang w:eastAsia="de-DE"/>
              </w:rPr>
              <w:t>1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14:paraId="4786BB67" w14:textId="77777777" w:rsidR="00675DAE" w:rsidRDefault="00675DAE" w:rsidP="002701BF">
            <w:pPr>
              <w:spacing w:before="60" w:after="60" w:line="220" w:lineRule="atLeast"/>
              <w:ind w:left="57" w:right="57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1,0∙10</w:t>
            </w:r>
            <w:r>
              <w:rPr>
                <w:sz w:val="16"/>
                <w:szCs w:val="16"/>
                <w:vertAlign w:val="superscript"/>
                <w:lang w:eastAsia="de-DE"/>
              </w:rPr>
              <w:t>1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14:paraId="16D04440" w14:textId="77777777" w:rsidR="00675DAE" w:rsidRDefault="00675DAE" w:rsidP="002701BF">
            <w:pPr>
              <w:spacing w:before="60" w:after="60" w:line="220" w:lineRule="atLeast"/>
              <w:ind w:left="57" w:right="57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2∙10</w:t>
            </w:r>
            <w:r>
              <w:rPr>
                <w:sz w:val="16"/>
                <w:szCs w:val="16"/>
                <w:vertAlign w:val="superscript"/>
                <w:lang w:eastAsia="de-DE"/>
              </w:rPr>
              <w:t>0</w:t>
            </w:r>
            <w:r>
              <w:rPr>
                <w:sz w:val="16"/>
                <w:szCs w:val="16"/>
                <w:lang w:eastAsia="de-DE"/>
              </w:rPr>
              <w:t>-</w:t>
            </w:r>
          </w:p>
        </w:tc>
      </w:tr>
      <w:tr w:rsidR="00675DAE" w14:paraId="3187A057" w14:textId="77777777" w:rsidTr="002701BF">
        <w:trPr>
          <w:trHeight w:val="290"/>
        </w:trPr>
        <w:tc>
          <w:tcPr>
            <w:tcW w:w="1555" w:type="dxa"/>
            <w:vMerge w:val="restart"/>
            <w:shd w:val="clear" w:color="auto" w:fill="auto"/>
            <w:vAlign w:val="center"/>
            <w:hideMark/>
          </w:tcPr>
          <w:p w14:paraId="2819A134" w14:textId="77777777" w:rsidR="00675DAE" w:rsidRPr="00DF7E09" w:rsidRDefault="00675DAE" w:rsidP="002701BF">
            <w:pPr>
              <w:spacing w:before="60" w:after="60" w:line="220" w:lineRule="atLeast"/>
              <w:ind w:left="57" w:right="57"/>
              <w:rPr>
                <w:sz w:val="16"/>
                <w:szCs w:val="16"/>
                <w:lang w:eastAsia="de-DE"/>
              </w:rPr>
            </w:pPr>
            <w:r w:rsidRPr="00DF7E09">
              <w:rPr>
                <w:sz w:val="16"/>
                <w:szCs w:val="16"/>
                <w:lang w:eastAsia="de-DE"/>
              </w:rPr>
              <w:t>Class</w:t>
            </w:r>
            <w:r>
              <w:rPr>
                <w:sz w:val="16"/>
                <w:szCs w:val="16"/>
                <w:lang w:eastAsia="de-DE"/>
              </w:rPr>
              <w:t>e</w:t>
            </w:r>
            <w:r w:rsidRPr="00DF7E09">
              <w:rPr>
                <w:sz w:val="16"/>
                <w:szCs w:val="16"/>
                <w:lang w:eastAsia="de-DE"/>
              </w:rPr>
              <w:t xml:space="preserve"> 1, 2, 3, 4</w:t>
            </w:r>
          </w:p>
        </w:tc>
        <w:tc>
          <w:tcPr>
            <w:tcW w:w="1917" w:type="dxa"/>
            <w:shd w:val="clear" w:color="auto" w:fill="auto"/>
            <w:hideMark/>
          </w:tcPr>
          <w:p w14:paraId="7A4A0554" w14:textId="77777777" w:rsidR="00675DAE" w:rsidRDefault="00675DAE" w:rsidP="002701BF">
            <w:pPr>
              <w:spacing w:before="60" w:after="60" w:line="220" w:lineRule="atLeast"/>
              <w:ind w:left="57" w:right="57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jaune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4BB65A0" w14:textId="77777777" w:rsidR="00675DAE" w:rsidRDefault="00675DAE" w:rsidP="002701BF">
            <w:pPr>
              <w:spacing w:before="60" w:after="60" w:line="220" w:lineRule="atLeast"/>
              <w:ind w:left="57" w:right="57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3,00∙10</w:t>
            </w:r>
            <w:r>
              <w:rPr>
                <w:sz w:val="16"/>
                <w:szCs w:val="16"/>
                <w:vertAlign w:val="superscript"/>
                <w:lang w:eastAsia="de-DE"/>
              </w:rPr>
              <w:t>2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14:paraId="24365337" w14:textId="77777777" w:rsidR="00675DAE" w:rsidRDefault="00675DAE" w:rsidP="002701BF">
            <w:pPr>
              <w:spacing w:before="60" w:after="60" w:line="220" w:lineRule="atLeast"/>
              <w:ind w:left="57" w:right="57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--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3231F46" w14:textId="77777777" w:rsidR="00675DAE" w:rsidRDefault="00675DAE" w:rsidP="002701BF">
            <w:pPr>
              <w:spacing w:before="60" w:after="60" w:line="220" w:lineRule="atLeast"/>
              <w:ind w:left="57" w:right="57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1,80∙10</w:t>
            </w:r>
            <w:r>
              <w:rPr>
                <w:sz w:val="16"/>
                <w:szCs w:val="16"/>
                <w:vertAlign w:val="superscript"/>
                <w:lang w:eastAsia="de-DE"/>
              </w:rPr>
              <w:t>2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14:paraId="0573A669" w14:textId="77777777" w:rsidR="00675DAE" w:rsidRDefault="00675DAE" w:rsidP="002701BF">
            <w:pPr>
              <w:spacing w:before="60" w:after="60" w:line="220" w:lineRule="atLeast"/>
              <w:ind w:left="57" w:right="57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7,5∙10</w:t>
            </w:r>
            <w:r>
              <w:rPr>
                <w:sz w:val="16"/>
                <w:szCs w:val="16"/>
                <w:vertAlign w:val="superscript"/>
                <w:lang w:eastAsia="de-DE"/>
              </w:rPr>
              <w:t>1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14:paraId="40C3C5CA" w14:textId="77777777" w:rsidR="00675DAE" w:rsidRDefault="00675DAE" w:rsidP="002701BF">
            <w:pPr>
              <w:spacing w:before="60" w:after="60" w:line="220" w:lineRule="atLeast"/>
              <w:ind w:left="57" w:right="57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1,0∙10</w:t>
            </w:r>
            <w:r>
              <w:rPr>
                <w:sz w:val="16"/>
                <w:szCs w:val="16"/>
                <w:vertAlign w:val="superscript"/>
                <w:lang w:eastAsia="de-DE"/>
              </w:rPr>
              <w:t>1</w:t>
            </w:r>
          </w:p>
        </w:tc>
      </w:tr>
      <w:tr w:rsidR="00675DAE" w14:paraId="123FB357" w14:textId="77777777" w:rsidTr="002701BF">
        <w:trPr>
          <w:trHeight w:val="290"/>
        </w:trPr>
        <w:tc>
          <w:tcPr>
            <w:tcW w:w="1555" w:type="dxa"/>
            <w:vMerge/>
            <w:vAlign w:val="center"/>
            <w:hideMark/>
          </w:tcPr>
          <w:p w14:paraId="3B1EE7CC" w14:textId="77777777" w:rsidR="00675DAE" w:rsidRPr="00DF7E09" w:rsidRDefault="00675DAE" w:rsidP="002701BF">
            <w:pPr>
              <w:spacing w:before="60" w:after="60" w:line="220" w:lineRule="atLeast"/>
              <w:ind w:left="57" w:right="57"/>
              <w:rPr>
                <w:sz w:val="16"/>
                <w:szCs w:val="16"/>
                <w:lang w:eastAsia="de-DE"/>
              </w:rPr>
            </w:pPr>
          </w:p>
        </w:tc>
        <w:tc>
          <w:tcPr>
            <w:tcW w:w="1917" w:type="dxa"/>
            <w:shd w:val="clear" w:color="auto" w:fill="auto"/>
            <w:hideMark/>
          </w:tcPr>
          <w:p w14:paraId="2BAF4DCF" w14:textId="77777777" w:rsidR="00675DAE" w:rsidRDefault="00675DAE" w:rsidP="002701BF">
            <w:pPr>
              <w:spacing w:before="60" w:after="60" w:line="220" w:lineRule="atLeast"/>
              <w:ind w:left="57" w:right="57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rouge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F48C9B9" w14:textId="77777777" w:rsidR="00675DAE" w:rsidRDefault="00675DAE" w:rsidP="002701BF">
            <w:pPr>
              <w:spacing w:before="60" w:after="60" w:line="220" w:lineRule="atLeast"/>
              <w:ind w:left="57" w:right="57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1,0∙10</w:t>
            </w:r>
            <w:r>
              <w:rPr>
                <w:sz w:val="16"/>
                <w:szCs w:val="16"/>
                <w:vertAlign w:val="superscript"/>
                <w:lang w:eastAsia="de-DE"/>
              </w:rPr>
              <w:t>1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14:paraId="266FC202" w14:textId="77777777" w:rsidR="00675DAE" w:rsidRDefault="00675DAE" w:rsidP="002701BF">
            <w:pPr>
              <w:spacing w:before="60" w:after="60" w:line="220" w:lineRule="atLeast"/>
              <w:ind w:left="57" w:right="57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--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8728DAF" w14:textId="77777777" w:rsidR="00675DAE" w:rsidRDefault="00675DAE" w:rsidP="002701BF">
            <w:pPr>
              <w:spacing w:before="60" w:after="60" w:line="220" w:lineRule="atLeast"/>
              <w:ind w:left="57" w:right="57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7∙10</w:t>
            </w:r>
            <w:r>
              <w:rPr>
                <w:sz w:val="16"/>
                <w:szCs w:val="16"/>
                <w:vertAlign w:val="superscript"/>
                <w:lang w:eastAsia="de-DE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14:paraId="4DB24CF0" w14:textId="77777777" w:rsidR="00675DAE" w:rsidRDefault="00675DAE" w:rsidP="002701BF">
            <w:pPr>
              <w:spacing w:before="60" w:after="60" w:line="220" w:lineRule="atLeast"/>
              <w:ind w:left="57" w:right="57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4∙10</w:t>
            </w:r>
            <w:r>
              <w:rPr>
                <w:sz w:val="16"/>
                <w:szCs w:val="16"/>
                <w:vertAlign w:val="superscript"/>
                <w:lang w:eastAsia="de-DE"/>
              </w:rPr>
              <w:t>0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14:paraId="4C3E6F46" w14:textId="77777777" w:rsidR="00675DAE" w:rsidRDefault="00675DAE" w:rsidP="002701BF">
            <w:pPr>
              <w:spacing w:before="60" w:after="60" w:line="220" w:lineRule="atLeast"/>
              <w:ind w:left="57" w:right="57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--</w:t>
            </w:r>
          </w:p>
        </w:tc>
      </w:tr>
      <w:tr w:rsidR="00675DAE" w14:paraId="30AA6F19" w14:textId="77777777" w:rsidTr="002701BF">
        <w:trPr>
          <w:trHeight w:val="290"/>
        </w:trPr>
        <w:tc>
          <w:tcPr>
            <w:tcW w:w="1555" w:type="dxa"/>
            <w:vMerge w:val="restart"/>
            <w:shd w:val="clear" w:color="auto" w:fill="auto"/>
            <w:vAlign w:val="center"/>
            <w:hideMark/>
          </w:tcPr>
          <w:p w14:paraId="30CFBB17" w14:textId="77777777" w:rsidR="00675DAE" w:rsidRPr="00DF7E09" w:rsidRDefault="00675DAE" w:rsidP="002701BF">
            <w:pPr>
              <w:spacing w:before="60" w:after="60" w:line="220" w:lineRule="atLeast"/>
              <w:ind w:left="57" w:right="57"/>
              <w:rPr>
                <w:sz w:val="16"/>
                <w:szCs w:val="16"/>
                <w:lang w:eastAsia="de-DE"/>
              </w:rPr>
            </w:pPr>
            <w:r w:rsidRPr="00DF7E09">
              <w:rPr>
                <w:sz w:val="16"/>
                <w:szCs w:val="16"/>
                <w:lang w:eastAsia="de-DE"/>
              </w:rPr>
              <w:t>Class</w:t>
            </w:r>
            <w:r>
              <w:rPr>
                <w:sz w:val="16"/>
                <w:szCs w:val="16"/>
                <w:lang w:eastAsia="de-DE"/>
              </w:rPr>
              <w:t>e</w:t>
            </w:r>
            <w:r w:rsidRPr="00DF7E09">
              <w:rPr>
                <w:sz w:val="16"/>
                <w:szCs w:val="16"/>
                <w:lang w:eastAsia="de-DE"/>
              </w:rPr>
              <w:t xml:space="preserve"> SMV</w:t>
            </w:r>
          </w:p>
        </w:tc>
        <w:tc>
          <w:tcPr>
            <w:tcW w:w="1917" w:type="dxa"/>
            <w:shd w:val="clear" w:color="auto" w:fill="auto"/>
            <w:hideMark/>
          </w:tcPr>
          <w:p w14:paraId="2C493AD2" w14:textId="77777777" w:rsidR="00675DAE" w:rsidRPr="00E348A4" w:rsidRDefault="00675DAE" w:rsidP="002701BF">
            <w:pPr>
              <w:spacing w:before="60" w:after="60" w:line="220" w:lineRule="atLeast"/>
              <w:ind w:left="57" w:right="57"/>
              <w:rPr>
                <w:sz w:val="16"/>
                <w:szCs w:val="16"/>
                <w:lang w:val="fr-FR" w:eastAsia="de-DE"/>
              </w:rPr>
            </w:pPr>
            <w:r w:rsidRPr="00E348A4">
              <w:rPr>
                <w:sz w:val="16"/>
                <w:szCs w:val="16"/>
                <w:lang w:val="fr-FR" w:eastAsia="de-DE"/>
              </w:rPr>
              <w:t>R</w:t>
            </w:r>
            <w:r w:rsidRPr="00E348A4">
              <w:rPr>
                <w:sz w:val="16"/>
                <w:szCs w:val="16"/>
                <w:vertAlign w:val="subscript"/>
                <w:lang w:val="fr-FR" w:eastAsia="de-DE"/>
              </w:rPr>
              <w:t>A</w:t>
            </w:r>
            <w:r w:rsidRPr="00E348A4">
              <w:rPr>
                <w:sz w:val="16"/>
                <w:szCs w:val="16"/>
                <w:lang w:val="fr-FR" w:eastAsia="de-DE"/>
              </w:rPr>
              <w:t xml:space="preserve"> du bord extérieur (classe 1, 2)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0625F7C" w14:textId="77777777" w:rsidR="00675DAE" w:rsidRDefault="00675DAE" w:rsidP="002701BF">
            <w:pPr>
              <w:spacing w:before="60" w:after="60" w:line="220" w:lineRule="atLeast"/>
              <w:ind w:left="57" w:right="57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1,20∙10</w:t>
            </w:r>
            <w:r>
              <w:rPr>
                <w:sz w:val="16"/>
                <w:szCs w:val="16"/>
                <w:vertAlign w:val="superscript"/>
                <w:lang w:eastAsia="de-DE"/>
              </w:rPr>
              <w:t>2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14:paraId="28F5DFAE" w14:textId="77777777" w:rsidR="00675DAE" w:rsidRDefault="00675DAE" w:rsidP="002701BF">
            <w:pPr>
              <w:spacing w:before="60" w:after="60" w:line="220" w:lineRule="atLeast"/>
              <w:ind w:left="57" w:right="57"/>
              <w:jc w:val="center"/>
              <w:rPr>
                <w:sz w:val="16"/>
                <w:szCs w:val="16"/>
                <w:lang w:eastAsia="de-DE"/>
              </w:rPr>
            </w:pPr>
            <w:r w:rsidRPr="00040B59">
              <w:rPr>
                <w:b/>
                <w:bCs/>
                <w:sz w:val="16"/>
                <w:szCs w:val="16"/>
                <w:lang w:eastAsia="de-DE"/>
              </w:rPr>
              <w:t>6.0∙10</w:t>
            </w:r>
            <w:r w:rsidRPr="00040B59">
              <w:rPr>
                <w:b/>
                <w:bCs/>
                <w:sz w:val="16"/>
                <w:szCs w:val="16"/>
                <w:vertAlign w:val="superscript"/>
                <w:lang w:eastAsia="de-DE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B92E28F" w14:textId="77777777" w:rsidR="00675DAE" w:rsidRPr="00CE2DE1" w:rsidRDefault="00675DAE" w:rsidP="002701BF">
            <w:pPr>
              <w:spacing w:before="60" w:after="60" w:line="220" w:lineRule="atLeast"/>
              <w:ind w:left="57" w:right="57"/>
              <w:jc w:val="center"/>
              <w:rPr>
                <w:sz w:val="16"/>
                <w:szCs w:val="16"/>
                <w:lang w:eastAsia="de-DE"/>
              </w:rPr>
            </w:pPr>
            <w:r w:rsidRPr="00CE2DE1">
              <w:rPr>
                <w:strike/>
                <w:sz w:val="16"/>
                <w:szCs w:val="16"/>
                <w:lang w:eastAsia="de-DE"/>
              </w:rPr>
              <w:t>6,0∙10</w:t>
            </w:r>
            <w:r w:rsidRPr="00CE2DE1">
              <w:rPr>
                <w:strike/>
                <w:sz w:val="16"/>
                <w:szCs w:val="16"/>
                <w:vertAlign w:val="superscript"/>
                <w:lang w:eastAsia="de-DE"/>
              </w:rPr>
              <w:t>1</w:t>
            </w:r>
            <w:r>
              <w:rPr>
                <w:sz w:val="16"/>
                <w:szCs w:val="16"/>
                <w:lang w:eastAsia="de-DE"/>
              </w:rPr>
              <w:t xml:space="preserve"> </w:t>
            </w:r>
            <w:r w:rsidRPr="00040B59">
              <w:rPr>
                <w:b/>
                <w:bCs/>
                <w:sz w:val="16"/>
                <w:szCs w:val="16"/>
                <w:lang w:eastAsia="de-DE"/>
              </w:rPr>
              <w:t>3.0∙10</w:t>
            </w:r>
            <w:r w:rsidRPr="00040B59">
              <w:rPr>
                <w:b/>
                <w:bCs/>
                <w:sz w:val="16"/>
                <w:szCs w:val="16"/>
                <w:vertAlign w:val="superscript"/>
                <w:lang w:eastAsia="de-DE"/>
              </w:rPr>
              <w:t>1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14:paraId="4D0A8BAC" w14:textId="77777777" w:rsidR="00675DAE" w:rsidRPr="00CE2DE1" w:rsidRDefault="00675DAE" w:rsidP="002701BF">
            <w:pPr>
              <w:spacing w:before="60" w:after="60" w:line="220" w:lineRule="atLeast"/>
              <w:ind w:left="57" w:right="57"/>
              <w:jc w:val="center"/>
              <w:rPr>
                <w:sz w:val="16"/>
                <w:szCs w:val="16"/>
                <w:lang w:eastAsia="de-DE"/>
              </w:rPr>
            </w:pPr>
            <w:r w:rsidRPr="00CE2DE1">
              <w:rPr>
                <w:strike/>
                <w:sz w:val="16"/>
                <w:szCs w:val="16"/>
                <w:lang w:eastAsia="de-DE"/>
              </w:rPr>
              <w:t>3,0∙10</w:t>
            </w:r>
            <w:r w:rsidRPr="00CE2DE1">
              <w:rPr>
                <w:strike/>
                <w:sz w:val="16"/>
                <w:szCs w:val="16"/>
                <w:vertAlign w:val="superscript"/>
                <w:lang w:eastAsia="de-DE"/>
              </w:rPr>
              <w:t>1</w:t>
            </w:r>
            <w:r>
              <w:rPr>
                <w:sz w:val="16"/>
                <w:szCs w:val="16"/>
                <w:vertAlign w:val="superscript"/>
                <w:lang w:eastAsia="de-DE"/>
              </w:rPr>
              <w:t xml:space="preserve"> </w:t>
            </w:r>
            <w:r w:rsidRPr="00040B59">
              <w:rPr>
                <w:b/>
                <w:bCs/>
                <w:sz w:val="16"/>
                <w:szCs w:val="16"/>
                <w:lang w:eastAsia="de-DE"/>
              </w:rPr>
              <w:t>1.0∙10</w:t>
            </w:r>
            <w:r w:rsidRPr="00040B59">
              <w:rPr>
                <w:b/>
                <w:bCs/>
                <w:sz w:val="16"/>
                <w:szCs w:val="16"/>
                <w:vertAlign w:val="superscript"/>
                <w:lang w:eastAsia="de-DE"/>
              </w:rPr>
              <w:t>1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14:paraId="289D2BEA" w14:textId="77777777" w:rsidR="00675DAE" w:rsidRPr="00CE2DE1" w:rsidRDefault="00675DAE" w:rsidP="002701BF">
            <w:pPr>
              <w:spacing w:before="60" w:after="60" w:line="220" w:lineRule="atLeast"/>
              <w:ind w:left="57" w:right="57"/>
              <w:jc w:val="center"/>
              <w:rPr>
                <w:strike/>
                <w:sz w:val="16"/>
                <w:szCs w:val="16"/>
                <w:lang w:eastAsia="de-DE"/>
              </w:rPr>
            </w:pPr>
            <w:r w:rsidRPr="00CE2DE1">
              <w:rPr>
                <w:strike/>
                <w:sz w:val="16"/>
                <w:szCs w:val="16"/>
                <w:lang w:eastAsia="de-DE"/>
              </w:rPr>
              <w:t>1,0∙10</w:t>
            </w:r>
            <w:r w:rsidRPr="00CE2DE1">
              <w:rPr>
                <w:strike/>
                <w:sz w:val="16"/>
                <w:szCs w:val="16"/>
                <w:vertAlign w:val="superscript"/>
                <w:lang w:eastAsia="de-DE"/>
              </w:rPr>
              <w:t>1</w:t>
            </w:r>
            <w:r>
              <w:rPr>
                <w:strike/>
                <w:sz w:val="16"/>
                <w:szCs w:val="16"/>
                <w:vertAlign w:val="superscript"/>
                <w:lang w:eastAsia="de-DE"/>
              </w:rPr>
              <w:t xml:space="preserve">  </w:t>
            </w:r>
            <w:r w:rsidRPr="00FE00C2">
              <w:rPr>
                <w:b/>
                <w:bCs/>
                <w:sz w:val="16"/>
                <w:szCs w:val="16"/>
                <w:lang w:eastAsia="de-DE"/>
              </w:rPr>
              <w:t>--</w:t>
            </w:r>
          </w:p>
        </w:tc>
      </w:tr>
      <w:tr w:rsidR="00675DAE" w14:paraId="51CB560F" w14:textId="77777777" w:rsidTr="002701BF">
        <w:trPr>
          <w:trHeight w:val="290"/>
        </w:trPr>
        <w:tc>
          <w:tcPr>
            <w:tcW w:w="1555" w:type="dxa"/>
            <w:vMerge/>
            <w:hideMark/>
          </w:tcPr>
          <w:p w14:paraId="1574E9AD" w14:textId="77777777" w:rsidR="00675DAE" w:rsidRDefault="00675DAE" w:rsidP="002701BF">
            <w:pPr>
              <w:spacing w:before="60" w:after="60" w:line="220" w:lineRule="atLeast"/>
              <w:ind w:left="57" w:right="57"/>
              <w:rPr>
                <w:i/>
                <w:iCs/>
                <w:sz w:val="16"/>
                <w:szCs w:val="16"/>
                <w:lang w:eastAsia="de-DE"/>
              </w:rPr>
            </w:pPr>
          </w:p>
        </w:tc>
        <w:tc>
          <w:tcPr>
            <w:tcW w:w="1917" w:type="dxa"/>
            <w:shd w:val="clear" w:color="auto" w:fill="auto"/>
            <w:hideMark/>
          </w:tcPr>
          <w:p w14:paraId="41355249" w14:textId="77777777" w:rsidR="00675DAE" w:rsidRDefault="00675DAE" w:rsidP="002701BF">
            <w:pPr>
              <w:spacing w:before="60" w:after="60" w:line="220" w:lineRule="atLeast"/>
              <w:ind w:left="57" w:right="57"/>
              <w:rPr>
                <w:sz w:val="16"/>
                <w:szCs w:val="16"/>
                <w:lang w:val="en-US" w:eastAsia="de-DE"/>
              </w:rPr>
            </w:pPr>
            <w:r w:rsidRPr="00E348A4">
              <w:rPr>
                <w:sz w:val="16"/>
                <w:szCs w:val="16"/>
                <w:lang w:val="en-US" w:eastAsia="de-DE"/>
              </w:rPr>
              <w:t>R</w:t>
            </w:r>
            <w:r w:rsidRPr="00E348A4">
              <w:rPr>
                <w:sz w:val="16"/>
                <w:szCs w:val="16"/>
                <w:vertAlign w:val="subscript"/>
                <w:lang w:val="en-US" w:eastAsia="de-DE"/>
              </w:rPr>
              <w:t>A</w:t>
            </w:r>
            <w:r>
              <w:rPr>
                <w:sz w:val="16"/>
                <w:szCs w:val="16"/>
                <w:lang w:val="en-US" w:eastAsia="de-DE"/>
              </w:rPr>
              <w:t xml:space="preserve"> du triangle (classe 2)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5A29C74" w14:textId="77777777" w:rsidR="00675DAE" w:rsidRDefault="00675DAE" w:rsidP="002701BF">
            <w:pPr>
              <w:spacing w:before="60" w:after="60" w:line="220" w:lineRule="atLeast"/>
              <w:ind w:left="57" w:right="57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1,0∙10</w:t>
            </w:r>
            <w:r>
              <w:rPr>
                <w:sz w:val="16"/>
                <w:szCs w:val="16"/>
                <w:vertAlign w:val="superscript"/>
                <w:lang w:eastAsia="de-DE"/>
              </w:rPr>
              <w:t>1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14:paraId="3A58D121" w14:textId="77777777" w:rsidR="00675DAE" w:rsidRDefault="00675DAE" w:rsidP="002701BF">
            <w:pPr>
              <w:spacing w:before="60" w:after="60" w:line="220" w:lineRule="atLeast"/>
              <w:ind w:left="57" w:right="57"/>
              <w:jc w:val="center"/>
              <w:rPr>
                <w:sz w:val="16"/>
                <w:szCs w:val="16"/>
                <w:lang w:eastAsia="de-DE"/>
              </w:rPr>
            </w:pPr>
            <w:r w:rsidRPr="00040B59">
              <w:rPr>
                <w:b/>
                <w:bCs/>
                <w:sz w:val="16"/>
                <w:szCs w:val="16"/>
                <w:lang w:eastAsia="de-DE"/>
              </w:rPr>
              <w:t>7∙10</w:t>
            </w:r>
            <w:r w:rsidRPr="00040B59">
              <w:rPr>
                <w:b/>
                <w:bCs/>
                <w:sz w:val="16"/>
                <w:szCs w:val="16"/>
                <w:vertAlign w:val="superscript"/>
                <w:lang w:eastAsia="de-DE"/>
              </w:rPr>
              <w:t>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C5BA14C" w14:textId="77777777" w:rsidR="00675DAE" w:rsidRPr="00FE00C2" w:rsidRDefault="00675DAE" w:rsidP="002701BF">
            <w:pPr>
              <w:spacing w:before="60" w:after="60" w:line="220" w:lineRule="atLeast"/>
              <w:ind w:left="57" w:right="57"/>
              <w:jc w:val="center"/>
              <w:rPr>
                <w:sz w:val="16"/>
                <w:szCs w:val="16"/>
                <w:lang w:eastAsia="de-DE"/>
              </w:rPr>
            </w:pPr>
            <w:r w:rsidRPr="00FE00C2">
              <w:rPr>
                <w:strike/>
                <w:sz w:val="16"/>
                <w:szCs w:val="16"/>
                <w:lang w:eastAsia="de-DE"/>
              </w:rPr>
              <w:t>7∙10</w:t>
            </w:r>
            <w:r w:rsidRPr="00FE00C2">
              <w:rPr>
                <w:strike/>
                <w:sz w:val="16"/>
                <w:szCs w:val="16"/>
                <w:vertAlign w:val="superscript"/>
                <w:lang w:eastAsia="de-DE"/>
              </w:rPr>
              <w:t>0</w:t>
            </w:r>
            <w:r>
              <w:rPr>
                <w:sz w:val="16"/>
                <w:szCs w:val="16"/>
                <w:lang w:eastAsia="de-DE"/>
              </w:rPr>
              <w:t xml:space="preserve"> </w:t>
            </w:r>
            <w:r w:rsidRPr="00040B59">
              <w:rPr>
                <w:b/>
                <w:bCs/>
                <w:sz w:val="16"/>
                <w:szCs w:val="16"/>
                <w:lang w:eastAsia="de-DE"/>
              </w:rPr>
              <w:t>4∙10</w:t>
            </w:r>
            <w:r w:rsidRPr="00040B59">
              <w:rPr>
                <w:b/>
                <w:bCs/>
                <w:sz w:val="16"/>
                <w:szCs w:val="16"/>
                <w:vertAlign w:val="superscript"/>
                <w:lang w:eastAsia="de-DE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14:paraId="6247D74B" w14:textId="77777777" w:rsidR="00675DAE" w:rsidRDefault="00675DAE" w:rsidP="002701BF">
            <w:pPr>
              <w:spacing w:before="60" w:after="60" w:line="220" w:lineRule="atLeast"/>
              <w:ind w:left="57" w:right="57"/>
              <w:jc w:val="center"/>
              <w:rPr>
                <w:strike/>
                <w:sz w:val="16"/>
                <w:szCs w:val="16"/>
                <w:lang w:eastAsia="de-DE"/>
              </w:rPr>
            </w:pPr>
            <w:r w:rsidRPr="00FE00C2">
              <w:rPr>
                <w:strike/>
                <w:sz w:val="16"/>
                <w:szCs w:val="16"/>
                <w:lang w:eastAsia="de-DE"/>
              </w:rPr>
              <w:t>4∙10</w:t>
            </w:r>
            <w:r w:rsidRPr="00FE00C2">
              <w:rPr>
                <w:strike/>
                <w:sz w:val="16"/>
                <w:szCs w:val="16"/>
                <w:vertAlign w:val="superscript"/>
                <w:lang w:eastAsia="de-DE"/>
              </w:rPr>
              <w:t>0</w:t>
            </w:r>
            <w:r>
              <w:rPr>
                <w:strike/>
                <w:sz w:val="16"/>
                <w:szCs w:val="16"/>
                <w:lang w:eastAsia="de-DE"/>
              </w:rPr>
              <w:t xml:space="preserve">  </w:t>
            </w:r>
          </w:p>
          <w:p w14:paraId="791B4DA8" w14:textId="77777777" w:rsidR="00675DAE" w:rsidRPr="00FE00C2" w:rsidRDefault="00675DAE" w:rsidP="002701BF">
            <w:pPr>
              <w:spacing w:before="60" w:after="60" w:line="220" w:lineRule="atLeast"/>
              <w:ind w:left="57" w:right="57"/>
              <w:jc w:val="center"/>
              <w:rPr>
                <w:strike/>
                <w:sz w:val="16"/>
                <w:szCs w:val="16"/>
                <w:lang w:eastAsia="de-DE"/>
              </w:rPr>
            </w:pPr>
            <w:r w:rsidRPr="00FE00C2">
              <w:rPr>
                <w:b/>
                <w:bCs/>
                <w:sz w:val="16"/>
                <w:szCs w:val="16"/>
                <w:lang w:eastAsia="de-DE"/>
              </w:rPr>
              <w:t>--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14:paraId="277F1813" w14:textId="77777777" w:rsidR="00675DAE" w:rsidRPr="00FE00C2" w:rsidRDefault="00675DAE" w:rsidP="002701BF">
            <w:pPr>
              <w:spacing w:before="60" w:after="60" w:line="220" w:lineRule="atLeast"/>
              <w:ind w:left="57" w:right="57"/>
              <w:jc w:val="center"/>
              <w:rPr>
                <w:b/>
                <w:bCs/>
                <w:sz w:val="16"/>
                <w:szCs w:val="16"/>
                <w:lang w:eastAsia="de-DE"/>
              </w:rPr>
            </w:pPr>
            <w:r w:rsidRPr="00FE00C2">
              <w:rPr>
                <w:b/>
                <w:bCs/>
                <w:sz w:val="16"/>
                <w:szCs w:val="16"/>
                <w:lang w:eastAsia="de-DE"/>
              </w:rPr>
              <w:t>--</w:t>
            </w:r>
          </w:p>
        </w:tc>
      </w:tr>
    </w:tbl>
    <w:p w14:paraId="3231783B" w14:textId="45CF722C" w:rsidR="00675DAE" w:rsidRPr="006746F2" w:rsidRDefault="00675DAE" w:rsidP="006746F2">
      <w:pPr>
        <w:spacing w:before="120" w:after="240"/>
        <w:ind w:left="1134" w:right="1134" w:firstLine="170"/>
        <w:rPr>
          <w:sz w:val="18"/>
          <w:szCs w:val="18"/>
          <w:lang w:val="fr-FR"/>
        </w:rPr>
      </w:pPr>
      <w:r w:rsidRPr="006746F2">
        <w:rPr>
          <w:i/>
          <w:iCs/>
          <w:sz w:val="18"/>
          <w:szCs w:val="18"/>
          <w:lang w:val="fr-FR"/>
        </w:rPr>
        <w:t>Note</w:t>
      </w:r>
      <w:r w:rsidR="006746F2">
        <w:rPr>
          <w:i/>
          <w:iCs/>
          <w:sz w:val="18"/>
          <w:szCs w:val="18"/>
          <w:lang w:val="fr-FR"/>
        </w:rPr>
        <w:t> </w:t>
      </w:r>
      <w:r w:rsidRPr="006746F2">
        <w:rPr>
          <w:i/>
          <w:iCs/>
          <w:sz w:val="18"/>
          <w:szCs w:val="18"/>
          <w:lang w:val="fr-FR"/>
        </w:rPr>
        <w:t>:</w:t>
      </w:r>
      <w:r w:rsidRPr="006746F2">
        <w:rPr>
          <w:sz w:val="18"/>
          <w:szCs w:val="18"/>
          <w:lang w:val="fr-FR"/>
        </w:rPr>
        <w:t xml:space="preserve"> Si l’échantillon est pourvu d’un repère d’orientation, les valeurs spécifiées ne doivent être respectées que pour l’orientation correspondante. Les échantillons dépourvus de marque d’orientation doivent être observés selon des angles de 0° et 90°. ».</w:t>
      </w:r>
    </w:p>
    <w:p w14:paraId="2EDE495A" w14:textId="59ED353C" w:rsidR="00675DAE" w:rsidRPr="00277069" w:rsidRDefault="00675DAE" w:rsidP="006746F2">
      <w:pPr>
        <w:pStyle w:val="SingleTxtG"/>
        <w:rPr>
          <w:lang w:val="fr-FR"/>
        </w:rPr>
      </w:pPr>
      <w:r w:rsidRPr="006746F2">
        <w:rPr>
          <w:i/>
          <w:iCs/>
          <w:lang w:val="fr-FR"/>
        </w:rPr>
        <w:t>Annexe 1, point 9</w:t>
      </w:r>
      <w:r>
        <w:rPr>
          <w:lang w:val="fr-FR"/>
        </w:rPr>
        <w:t>, lire</w:t>
      </w:r>
      <w:r w:rsidR="006746F2">
        <w:rPr>
          <w:lang w:val="fr-FR"/>
        </w:rPr>
        <w:t> </w:t>
      </w:r>
      <w:r>
        <w:rPr>
          <w:lang w:val="fr-FR"/>
        </w:rPr>
        <w:t>:</w:t>
      </w:r>
    </w:p>
    <w:p w14:paraId="20B0BF7A" w14:textId="77777777" w:rsidR="00675DAE" w:rsidRPr="00277069" w:rsidRDefault="00675DAE" w:rsidP="006746F2">
      <w:pPr>
        <w:pStyle w:val="SingleTxtG"/>
        <w:tabs>
          <w:tab w:val="left" w:pos="2268"/>
        </w:tabs>
        <w:rPr>
          <w:strike/>
          <w:color w:val="000000"/>
          <w:lang w:val="fr-FR"/>
        </w:rPr>
      </w:pPr>
      <w:r>
        <w:rPr>
          <w:lang w:val="fr-FR"/>
        </w:rPr>
        <w:t>« 9.</w:t>
      </w:r>
      <w:r>
        <w:rPr>
          <w:lang w:val="fr-FR"/>
        </w:rPr>
        <w:tab/>
      </w:r>
      <w:r>
        <w:rPr>
          <w:strike/>
          <w:lang w:val="fr-FR"/>
        </w:rPr>
        <w:t>Observations :</w:t>
      </w:r>
    </w:p>
    <w:p w14:paraId="37AE68E0" w14:textId="09D4DB9F" w:rsidR="00675DAE" w:rsidRPr="00277069" w:rsidRDefault="00675DAE" w:rsidP="006746F2">
      <w:pPr>
        <w:pStyle w:val="SingleTxtG"/>
        <w:tabs>
          <w:tab w:val="left" w:pos="2268"/>
        </w:tabs>
        <w:ind w:left="2268"/>
        <w:rPr>
          <w:b/>
          <w:lang w:val="fr-FR"/>
        </w:rPr>
      </w:pPr>
      <w:r>
        <w:rPr>
          <w:b/>
          <w:bCs/>
          <w:lang w:val="fr-FR"/>
        </w:rPr>
        <w:t>Description sommaire</w:t>
      </w:r>
      <w:r w:rsidR="006746F2">
        <w:rPr>
          <w:b/>
          <w:bCs/>
          <w:lang w:val="fr-FR"/>
        </w:rPr>
        <w:t> </w:t>
      </w:r>
      <w:r>
        <w:rPr>
          <w:b/>
          <w:bCs/>
          <w:lang w:val="fr-FR"/>
        </w:rPr>
        <w:t>:</w:t>
      </w:r>
    </w:p>
    <w:p w14:paraId="38FA2863" w14:textId="77777777" w:rsidR="00675DAE" w:rsidRPr="00277069" w:rsidRDefault="00675DAE" w:rsidP="006746F2">
      <w:pPr>
        <w:pStyle w:val="SingleTxtG"/>
        <w:tabs>
          <w:tab w:val="left" w:pos="2268"/>
        </w:tabs>
        <w:ind w:left="2268"/>
        <w:rPr>
          <w:b/>
          <w:lang w:val="fr-FR"/>
        </w:rPr>
      </w:pPr>
      <w:r>
        <w:rPr>
          <w:b/>
          <w:bCs/>
          <w:lang w:val="fr-FR"/>
        </w:rPr>
        <w:t>Isolé/fait partie d’un ensemble de dispositifs</w:t>
      </w:r>
      <w:r>
        <w:rPr>
          <w:b/>
          <w:bCs/>
          <w:vertAlign w:val="superscript"/>
          <w:lang w:val="fr-FR"/>
        </w:rPr>
        <w:t>2</w:t>
      </w:r>
      <w:r>
        <w:rPr>
          <w:b/>
          <w:bCs/>
          <w:lang w:val="fr-FR"/>
        </w:rPr>
        <w:t xml:space="preserve"> : ..............................................</w:t>
      </w:r>
    </w:p>
    <w:p w14:paraId="6FEC3960" w14:textId="77777777" w:rsidR="00675DAE" w:rsidRPr="00277069" w:rsidRDefault="00675DAE" w:rsidP="006746F2">
      <w:pPr>
        <w:pStyle w:val="SingleTxtG"/>
        <w:tabs>
          <w:tab w:val="left" w:pos="2268"/>
        </w:tabs>
        <w:ind w:left="2268"/>
        <w:rPr>
          <w:b/>
          <w:lang w:val="fr-FR"/>
        </w:rPr>
      </w:pPr>
      <w:r>
        <w:rPr>
          <w:b/>
          <w:bCs/>
          <w:lang w:val="fr-FR"/>
        </w:rPr>
        <w:t>Couleur de la lumière émise : blanc/rouge/jaune-auto</w:t>
      </w:r>
      <w:r>
        <w:rPr>
          <w:b/>
          <w:bCs/>
          <w:vertAlign w:val="superscript"/>
          <w:lang w:val="fr-FR"/>
        </w:rPr>
        <w:t>2</w:t>
      </w:r>
      <w:r>
        <w:rPr>
          <w:b/>
          <w:bCs/>
          <w:lang w:val="fr-FR"/>
        </w:rPr>
        <w:t xml:space="preserve"> : ...............................</w:t>
      </w:r>
    </w:p>
    <w:p w14:paraId="546208CB" w14:textId="77777777" w:rsidR="00675DAE" w:rsidRPr="00277069" w:rsidRDefault="00675DAE" w:rsidP="006746F2">
      <w:pPr>
        <w:pStyle w:val="SingleTxtG"/>
        <w:tabs>
          <w:tab w:val="left" w:pos="2268"/>
        </w:tabs>
        <w:ind w:left="2268"/>
        <w:rPr>
          <w:b/>
          <w:lang w:val="fr-FR"/>
        </w:rPr>
      </w:pPr>
      <w:r>
        <w:rPr>
          <w:b/>
          <w:bCs/>
          <w:lang w:val="fr-FR"/>
        </w:rPr>
        <w:t>Montage en tant que partie intégrante d’un feu intégré dans la carrosserie d’un véhicule : oui/non</w:t>
      </w:r>
      <w:r>
        <w:rPr>
          <w:b/>
          <w:bCs/>
          <w:vertAlign w:val="superscript"/>
          <w:lang w:val="fr-FR"/>
        </w:rPr>
        <w:t>2</w:t>
      </w:r>
    </w:p>
    <w:p w14:paraId="4FF82365" w14:textId="77777777" w:rsidR="00675DAE" w:rsidRPr="00277069" w:rsidRDefault="00675DAE" w:rsidP="006746F2">
      <w:pPr>
        <w:pStyle w:val="SingleTxtG"/>
        <w:tabs>
          <w:tab w:val="left" w:pos="2268"/>
        </w:tabs>
        <w:ind w:left="2268"/>
        <w:rPr>
          <w:b/>
          <w:lang w:val="fr-FR"/>
        </w:rPr>
      </w:pPr>
      <w:r>
        <w:rPr>
          <w:b/>
          <w:bCs/>
          <w:lang w:val="fr-FR"/>
        </w:rPr>
        <w:t>Conditions géométriques du montage et variantes éventuelles : ..................</w:t>
      </w:r>
    </w:p>
    <w:p w14:paraId="7D72B6C0" w14:textId="77777777" w:rsidR="00675DAE" w:rsidRPr="00277069" w:rsidRDefault="00675DAE" w:rsidP="006746F2">
      <w:pPr>
        <w:pStyle w:val="SingleTxtG"/>
        <w:tabs>
          <w:tab w:val="left" w:pos="2268"/>
        </w:tabs>
        <w:ind w:left="2268"/>
        <w:rPr>
          <w:lang w:val="fr-FR"/>
        </w:rPr>
      </w:pPr>
      <w:r>
        <w:rPr>
          <w:b/>
          <w:bCs/>
          <w:lang w:val="fr-FR"/>
        </w:rPr>
        <w:t>Seulement pour une hauteur de montage limitée, égale ou inférieure à 750 mm au-dessus du sol : oui/non</w:t>
      </w:r>
      <w:r>
        <w:rPr>
          <w:b/>
          <w:bCs/>
          <w:vertAlign w:val="superscript"/>
          <w:lang w:val="fr-FR"/>
        </w:rPr>
        <w:t>2</w:t>
      </w:r>
      <w:r>
        <w:rPr>
          <w:b/>
          <w:bCs/>
          <w:lang w:val="fr-FR"/>
        </w:rPr>
        <w:t> </w:t>
      </w:r>
      <w:r>
        <w:rPr>
          <w:lang w:val="fr-FR"/>
        </w:rPr>
        <w:t>».</w:t>
      </w:r>
    </w:p>
    <w:p w14:paraId="34D9D485" w14:textId="77777777" w:rsidR="00675DAE" w:rsidRPr="00277069" w:rsidRDefault="00675DAE" w:rsidP="006746F2">
      <w:pPr>
        <w:pStyle w:val="SingleTxtG"/>
        <w:rPr>
          <w:i/>
          <w:iCs/>
          <w:lang w:val="fr-FR"/>
        </w:rPr>
      </w:pPr>
      <w:r>
        <w:rPr>
          <w:i/>
          <w:iCs/>
          <w:lang w:val="fr-FR"/>
        </w:rPr>
        <w:t>Annexe 5</w:t>
      </w:r>
      <w:r w:rsidRPr="006746F2">
        <w:rPr>
          <w:lang w:val="fr-FR"/>
        </w:rPr>
        <w:t xml:space="preserve">, </w:t>
      </w:r>
    </w:p>
    <w:p w14:paraId="23BAB408" w14:textId="77777777" w:rsidR="00675DAE" w:rsidRPr="00277069" w:rsidRDefault="00675DAE" w:rsidP="006746F2">
      <w:pPr>
        <w:pStyle w:val="SingleTxtG"/>
        <w:rPr>
          <w:lang w:val="fr-FR"/>
        </w:rPr>
      </w:pPr>
      <w:r>
        <w:rPr>
          <w:i/>
          <w:iCs/>
          <w:lang w:val="fr-FR"/>
        </w:rPr>
        <w:t>Paragraphe 7.3</w:t>
      </w:r>
      <w:r>
        <w:rPr>
          <w:lang w:val="fr-FR"/>
        </w:rPr>
        <w:t>, lire :</w:t>
      </w:r>
    </w:p>
    <w:p w14:paraId="4C9955D8" w14:textId="77777777" w:rsidR="00675DAE" w:rsidRPr="00277069" w:rsidRDefault="00675DAE" w:rsidP="006746F2">
      <w:pPr>
        <w:pStyle w:val="SingleTxtG"/>
        <w:tabs>
          <w:tab w:val="left" w:pos="2268"/>
        </w:tabs>
        <w:rPr>
          <w:lang w:val="fr-FR"/>
        </w:rPr>
      </w:pPr>
      <w:r>
        <w:rPr>
          <w:lang w:val="fr-FR"/>
        </w:rPr>
        <w:t>« 7.3</w:t>
      </w:r>
      <w:r>
        <w:rPr>
          <w:lang w:val="fr-FR"/>
        </w:rPr>
        <w:tab/>
        <w:t>Dimensions</w:t>
      </w:r>
    </w:p>
    <w:p w14:paraId="317F2F7D" w14:textId="5E2A8E3D" w:rsidR="00675DAE" w:rsidRPr="00277069" w:rsidRDefault="00675DAE" w:rsidP="006746F2">
      <w:pPr>
        <w:pStyle w:val="SingleTxtG"/>
        <w:tabs>
          <w:tab w:val="left" w:pos="2268"/>
        </w:tabs>
        <w:ind w:left="2268"/>
        <w:rPr>
          <w:i/>
          <w:lang w:val="fr-FR"/>
        </w:rPr>
      </w:pPr>
      <w:r>
        <w:rPr>
          <w:lang w:val="fr-FR"/>
        </w:rPr>
        <w:tab/>
        <w:t>La base du triangle fluorescent (classe 1) ou du triangle rétroréfléchissant (classe 2) doit avoir au minimum 350</w:t>
      </w:r>
      <w:r w:rsidR="006746F2">
        <w:rPr>
          <w:lang w:val="fr-FR"/>
        </w:rPr>
        <w:t> </w:t>
      </w:r>
      <w:r>
        <w:rPr>
          <w:lang w:val="fr-FR"/>
        </w:rPr>
        <w:t>mm et au maximum 365</w:t>
      </w:r>
      <w:r w:rsidR="006746F2">
        <w:rPr>
          <w:lang w:val="fr-FR"/>
        </w:rPr>
        <w:t> </w:t>
      </w:r>
      <w:r>
        <w:rPr>
          <w:lang w:val="fr-FR"/>
        </w:rPr>
        <w:t>mm de long. La</w:t>
      </w:r>
      <w:r w:rsidR="006746F2">
        <w:rPr>
          <w:lang w:val="fr-FR"/>
        </w:rPr>
        <w:t> </w:t>
      </w:r>
      <w:r>
        <w:rPr>
          <w:lang w:val="fr-FR"/>
        </w:rPr>
        <w:t>largeur de la plage éclairante du bord rouge rétroréfléchissant doit être de 45</w:t>
      </w:r>
      <w:r w:rsidR="006746F2">
        <w:rPr>
          <w:lang w:val="fr-FR"/>
        </w:rPr>
        <w:t> </w:t>
      </w:r>
      <w:r>
        <w:rPr>
          <w:lang w:val="fr-FR"/>
        </w:rPr>
        <w:t>mm au minimum et ne pas dépasser 48</w:t>
      </w:r>
      <w:r w:rsidR="006746F2">
        <w:rPr>
          <w:lang w:val="fr-FR"/>
        </w:rPr>
        <w:t> </w:t>
      </w:r>
      <w:r>
        <w:rPr>
          <w:lang w:val="fr-FR"/>
        </w:rPr>
        <w:t xml:space="preserve">mm. Ces particularités sont illustrées par l’exemple donné à la figure </w:t>
      </w:r>
      <w:r>
        <w:rPr>
          <w:strike/>
          <w:lang w:val="fr-FR"/>
        </w:rPr>
        <w:t xml:space="preserve">A5-VI </w:t>
      </w:r>
      <w:r>
        <w:rPr>
          <w:b/>
          <w:bCs/>
          <w:lang w:val="fr-FR"/>
        </w:rPr>
        <w:t>A5-VII</w:t>
      </w:r>
      <w:r>
        <w:rPr>
          <w:lang w:val="fr-FR"/>
        </w:rPr>
        <w:t>.</w:t>
      </w:r>
      <w:r w:rsidR="006746F2">
        <w:rPr>
          <w:lang w:val="fr-FR"/>
        </w:rPr>
        <w:t> </w:t>
      </w:r>
      <w:r>
        <w:rPr>
          <w:lang w:val="fr-FR"/>
        </w:rPr>
        <w:t>».</w:t>
      </w:r>
    </w:p>
    <w:p w14:paraId="774D9716" w14:textId="04F47389" w:rsidR="00675DAE" w:rsidRPr="00277069" w:rsidRDefault="00675DAE" w:rsidP="006746F2">
      <w:pPr>
        <w:pStyle w:val="SingleTxtG"/>
        <w:keepNext/>
        <w:rPr>
          <w:iCs/>
          <w:lang w:val="fr-FR"/>
        </w:rPr>
      </w:pPr>
      <w:r>
        <w:rPr>
          <w:i/>
          <w:iCs/>
          <w:lang w:val="fr-FR"/>
        </w:rPr>
        <w:lastRenderedPageBreak/>
        <w:t>Figure A5-VII</w:t>
      </w:r>
      <w:r w:rsidRPr="006746F2">
        <w:rPr>
          <w:lang w:val="fr-FR"/>
        </w:rPr>
        <w:t>,</w:t>
      </w:r>
      <w:r>
        <w:rPr>
          <w:i/>
          <w:iCs/>
          <w:lang w:val="fr-FR"/>
        </w:rPr>
        <w:t xml:space="preserve"> </w:t>
      </w:r>
      <w:r>
        <w:rPr>
          <w:lang w:val="fr-FR"/>
        </w:rPr>
        <w:t>lire</w:t>
      </w:r>
      <w:r w:rsidR="006746F2">
        <w:rPr>
          <w:lang w:val="fr-FR"/>
        </w:rPr>
        <w:t> </w:t>
      </w:r>
      <w:r>
        <w:rPr>
          <w:lang w:val="fr-FR"/>
        </w:rPr>
        <w:t>:</w:t>
      </w:r>
    </w:p>
    <w:p w14:paraId="76AA2E89" w14:textId="77777777" w:rsidR="00675DAE" w:rsidRPr="00277069" w:rsidRDefault="00675DAE" w:rsidP="00675DAE">
      <w:pPr>
        <w:pStyle w:val="Titre1"/>
        <w:rPr>
          <w:lang w:val="fr-FR"/>
        </w:rPr>
      </w:pPr>
      <w:r>
        <w:rPr>
          <w:lang w:val="fr-FR"/>
        </w:rPr>
        <w:t>« Figure A5-VII</w:t>
      </w:r>
    </w:p>
    <w:p w14:paraId="79C82E3C" w14:textId="068C0ADA" w:rsidR="00675DAE" w:rsidRDefault="00675DAE" w:rsidP="00CE22D0">
      <w:pPr>
        <w:spacing w:after="120"/>
        <w:ind w:left="2268" w:right="1134" w:hanging="1134"/>
        <w:rPr>
          <w:b/>
          <w:bCs/>
          <w:lang w:val="fr-FR"/>
        </w:rPr>
      </w:pPr>
      <w:r>
        <w:rPr>
          <w:b/>
          <w:bCs/>
          <w:lang w:val="fr-FR"/>
        </w:rPr>
        <w:t>Exemple de plaque pour véhicule lent</w:t>
      </w:r>
    </w:p>
    <w:p w14:paraId="267D6877" w14:textId="77777777" w:rsidR="002521A3" w:rsidRDefault="002521A3" w:rsidP="002521A3">
      <w:pPr>
        <w:ind w:left="1134"/>
        <w:rPr>
          <w:lang w:val="fr-FR"/>
        </w:rPr>
      </w:pPr>
      <w:r w:rsidRPr="004810BE">
        <w:rPr>
          <w:noProof/>
        </w:rPr>
        <w:drawing>
          <wp:inline distT="0" distB="0" distL="0" distR="0" wp14:anchorId="341D701A" wp14:editId="68626B3C">
            <wp:extent cx="6120130" cy="2950845"/>
            <wp:effectExtent l="0" t="0" r="0" b="1905"/>
            <wp:docPr id="1271659952" name="Image 1271659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95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50D48" w14:textId="637A7527" w:rsidR="00675DAE" w:rsidRDefault="00675DAE" w:rsidP="002521A3">
      <w:pPr>
        <w:pStyle w:val="SingleTxtG"/>
        <w:jc w:val="right"/>
        <w:rPr>
          <w:lang w:val="fr-FR"/>
        </w:rPr>
      </w:pPr>
      <w:r>
        <w:rPr>
          <w:lang w:val="fr-FR"/>
        </w:rPr>
        <w:t>»</w:t>
      </w:r>
      <w:r w:rsidR="002521A3">
        <w:rPr>
          <w:lang w:val="fr-FR"/>
        </w:rPr>
        <w:t>.</w:t>
      </w:r>
    </w:p>
    <w:p w14:paraId="5620315C" w14:textId="77777777" w:rsidR="00675DAE" w:rsidRPr="00277069" w:rsidRDefault="00675DAE" w:rsidP="00675DAE">
      <w:pPr>
        <w:spacing w:after="120"/>
        <w:ind w:left="2268" w:right="1134" w:hanging="1134"/>
        <w:jc w:val="right"/>
        <w:rPr>
          <w:iCs/>
          <w:lang w:val="fr-FR"/>
        </w:rPr>
      </w:pPr>
    </w:p>
    <w:p w14:paraId="2C127475" w14:textId="77777777" w:rsidR="00675DAE" w:rsidRPr="00277069" w:rsidRDefault="00675DAE" w:rsidP="00CE22D0">
      <w:pPr>
        <w:pStyle w:val="SingleTxtG"/>
        <w:rPr>
          <w:rFonts w:asciiTheme="majorBidi" w:eastAsia="MS PMincho" w:hAnsiTheme="majorBidi" w:cstheme="majorBidi"/>
          <w:bCs/>
          <w:i/>
          <w:iCs/>
          <w:lang w:val="fr-FR"/>
        </w:rPr>
      </w:pPr>
      <w:r>
        <w:rPr>
          <w:i/>
          <w:iCs/>
          <w:lang w:val="fr-FR"/>
        </w:rPr>
        <w:t>Annexe 6</w:t>
      </w:r>
      <w:r w:rsidRPr="00CE22D0">
        <w:rPr>
          <w:lang w:val="fr-FR"/>
        </w:rPr>
        <w:t>,</w:t>
      </w:r>
    </w:p>
    <w:p w14:paraId="5B0A84C5" w14:textId="0A61D3C6" w:rsidR="00675DAE" w:rsidRPr="00277069" w:rsidRDefault="00675DAE" w:rsidP="00CE22D0">
      <w:pPr>
        <w:pStyle w:val="SingleTxtG"/>
        <w:rPr>
          <w:rFonts w:asciiTheme="majorBidi" w:hAnsiTheme="majorBidi" w:cstheme="majorBidi"/>
          <w:lang w:val="fr-FR"/>
        </w:rPr>
      </w:pPr>
      <w:r>
        <w:rPr>
          <w:i/>
          <w:iCs/>
          <w:lang w:val="fr-FR"/>
        </w:rPr>
        <w:t>Partie 1, paragraphe 1</w:t>
      </w:r>
      <w:r>
        <w:rPr>
          <w:lang w:val="fr-FR"/>
        </w:rPr>
        <w:t>, lire</w:t>
      </w:r>
      <w:r w:rsidR="00CE22D0">
        <w:rPr>
          <w:lang w:val="fr-FR"/>
        </w:rPr>
        <w:t> </w:t>
      </w:r>
      <w:r>
        <w:rPr>
          <w:lang w:val="fr-FR"/>
        </w:rPr>
        <w:t>:</w:t>
      </w:r>
    </w:p>
    <w:p w14:paraId="3D94525B" w14:textId="08D57788" w:rsidR="00675DAE" w:rsidRPr="00277069" w:rsidRDefault="00675DAE" w:rsidP="00CE22D0">
      <w:pPr>
        <w:pStyle w:val="SingleTxtG"/>
        <w:tabs>
          <w:tab w:val="left" w:pos="2268"/>
        </w:tabs>
        <w:ind w:left="2268" w:hanging="1134"/>
        <w:rPr>
          <w:lang w:val="fr-FR"/>
        </w:rPr>
      </w:pPr>
      <w:r>
        <w:rPr>
          <w:lang w:val="fr-FR"/>
        </w:rPr>
        <w:t>« 1.</w:t>
      </w:r>
      <w:r>
        <w:rPr>
          <w:lang w:val="fr-FR"/>
        </w:rPr>
        <w:tab/>
        <w:t>Procédure d’essai applicable aux réflecteurs en plastique moulé pour dispositifs rétroréfléchissants des classes IA, IB, IIIA, IIIB et IVA</w:t>
      </w:r>
      <w:r>
        <w:rPr>
          <w:strike/>
          <w:lang w:val="fr-FR"/>
        </w:rPr>
        <w:t>,</w:t>
      </w:r>
      <w:r>
        <w:rPr>
          <w:lang w:val="fr-FR"/>
        </w:rPr>
        <w:t xml:space="preserve"> et plaques de signalisation pour véhicules lents</w:t>
      </w:r>
      <w:r>
        <w:rPr>
          <w:b/>
          <w:bCs/>
          <w:lang w:val="fr-FR"/>
        </w:rPr>
        <w:t xml:space="preserve"> et triangles de présignalisation du type</w:t>
      </w:r>
      <w:r w:rsidR="00CE22D0">
        <w:rPr>
          <w:b/>
          <w:bCs/>
          <w:lang w:val="fr-FR"/>
        </w:rPr>
        <w:t> </w:t>
      </w:r>
      <w:r>
        <w:rPr>
          <w:b/>
          <w:bCs/>
          <w:lang w:val="fr-FR"/>
        </w:rPr>
        <w:t>1</w:t>
      </w:r>
      <w:r w:rsidR="00CE22D0">
        <w:rPr>
          <w:lang w:val="fr-FR"/>
        </w:rPr>
        <w:t> </w:t>
      </w:r>
      <w:r>
        <w:rPr>
          <w:lang w:val="fr-FR"/>
        </w:rPr>
        <w:t>:</w:t>
      </w:r>
    </w:p>
    <w:p w14:paraId="7E285043" w14:textId="77777777" w:rsidR="00675DAE" w:rsidRPr="00277069" w:rsidRDefault="00675DAE" w:rsidP="00CE22D0">
      <w:pPr>
        <w:pStyle w:val="SingleTxtG"/>
        <w:tabs>
          <w:tab w:val="left" w:pos="2268"/>
        </w:tabs>
        <w:ind w:left="2268"/>
        <w:rPr>
          <w:lang w:val="fr-FR"/>
        </w:rPr>
      </w:pPr>
      <w:r>
        <w:rPr>
          <w:lang w:val="fr-FR"/>
        </w:rPr>
        <w:t>... ».</w:t>
      </w:r>
    </w:p>
    <w:p w14:paraId="6B9C070F" w14:textId="218C0F8D" w:rsidR="00675DAE" w:rsidRPr="00277069" w:rsidRDefault="00675DAE" w:rsidP="00CE22D0">
      <w:pPr>
        <w:pStyle w:val="SingleTxtG"/>
        <w:rPr>
          <w:rFonts w:asciiTheme="majorBidi" w:hAnsiTheme="majorBidi" w:cstheme="majorBidi"/>
          <w:lang w:val="fr-FR"/>
        </w:rPr>
      </w:pPr>
      <w:r>
        <w:rPr>
          <w:i/>
          <w:iCs/>
          <w:lang w:val="fr-FR"/>
        </w:rPr>
        <w:t>Partie 1, paragraphe 2</w:t>
      </w:r>
      <w:r>
        <w:rPr>
          <w:lang w:val="fr-FR"/>
        </w:rPr>
        <w:t>, lire</w:t>
      </w:r>
      <w:r w:rsidR="00CE22D0">
        <w:rPr>
          <w:lang w:val="fr-FR"/>
        </w:rPr>
        <w:t> </w:t>
      </w:r>
      <w:r>
        <w:rPr>
          <w:lang w:val="fr-FR"/>
        </w:rPr>
        <w:t>:</w:t>
      </w:r>
    </w:p>
    <w:p w14:paraId="5BC7B9DE" w14:textId="6E5B6883" w:rsidR="00675DAE" w:rsidRPr="00277069" w:rsidRDefault="00675DAE" w:rsidP="00CE22D0">
      <w:pPr>
        <w:pStyle w:val="SingleTxtG"/>
        <w:tabs>
          <w:tab w:val="left" w:pos="2268"/>
        </w:tabs>
        <w:ind w:left="2268" w:hanging="1134"/>
        <w:rPr>
          <w:lang w:val="fr-FR"/>
        </w:rPr>
      </w:pPr>
      <w:r>
        <w:rPr>
          <w:lang w:val="fr-FR"/>
        </w:rPr>
        <w:t>« 2.</w:t>
      </w:r>
      <w:r>
        <w:rPr>
          <w:lang w:val="fr-FR"/>
        </w:rPr>
        <w:tab/>
        <w:t>Procédure d’essai applicable aux matériaux souples pour les dispositifs des classes C, D, E et F</w:t>
      </w:r>
      <w:r>
        <w:rPr>
          <w:strike/>
          <w:lang w:val="fr-FR"/>
        </w:rPr>
        <w:t xml:space="preserve"> et</w:t>
      </w:r>
      <w:r>
        <w:rPr>
          <w:b/>
          <w:bCs/>
          <w:lang w:val="fr-FR"/>
        </w:rPr>
        <w:t xml:space="preserve">, </w:t>
      </w:r>
      <w:r>
        <w:rPr>
          <w:lang w:val="fr-FR"/>
        </w:rPr>
        <w:t xml:space="preserve">aux plaques de signalisation des classes 1, 2, 3, 4 et 5 </w:t>
      </w:r>
      <w:r>
        <w:rPr>
          <w:b/>
          <w:bCs/>
          <w:lang w:val="fr-FR"/>
        </w:rPr>
        <w:t>et aux triangles de présignalisation du type 2</w:t>
      </w:r>
      <w:r w:rsidR="00CE22D0">
        <w:rPr>
          <w:lang w:val="fr-FR"/>
        </w:rPr>
        <w:t> </w:t>
      </w:r>
      <w:r>
        <w:rPr>
          <w:lang w:val="fr-FR"/>
        </w:rPr>
        <w:t>:</w:t>
      </w:r>
    </w:p>
    <w:p w14:paraId="18325763" w14:textId="77777777" w:rsidR="00675DAE" w:rsidRPr="00277069" w:rsidRDefault="00675DAE" w:rsidP="00CE22D0">
      <w:pPr>
        <w:pStyle w:val="SingleTxtG"/>
        <w:tabs>
          <w:tab w:val="left" w:pos="2268"/>
        </w:tabs>
        <w:ind w:left="2268"/>
        <w:rPr>
          <w:lang w:val="fr-FR"/>
        </w:rPr>
      </w:pPr>
      <w:r>
        <w:rPr>
          <w:lang w:val="fr-FR"/>
        </w:rPr>
        <w:t>... ».</w:t>
      </w:r>
    </w:p>
    <w:p w14:paraId="5E4F2D5B" w14:textId="06FFEEE4" w:rsidR="00675DAE" w:rsidRPr="00277069" w:rsidRDefault="00675DAE" w:rsidP="00CE22D0">
      <w:pPr>
        <w:pStyle w:val="SingleTxtG"/>
        <w:rPr>
          <w:rFonts w:asciiTheme="majorBidi" w:hAnsiTheme="majorBidi" w:cstheme="majorBidi"/>
          <w:lang w:val="fr-FR"/>
        </w:rPr>
      </w:pPr>
      <w:r>
        <w:rPr>
          <w:i/>
          <w:iCs/>
          <w:lang w:val="fr-FR"/>
        </w:rPr>
        <w:t>Partie 6, paragraphe 3</w:t>
      </w:r>
      <w:r>
        <w:rPr>
          <w:lang w:val="fr-FR"/>
        </w:rPr>
        <w:t>, lire</w:t>
      </w:r>
      <w:r w:rsidR="00CE22D0">
        <w:rPr>
          <w:lang w:val="fr-FR"/>
        </w:rPr>
        <w:t> </w:t>
      </w:r>
      <w:r>
        <w:rPr>
          <w:lang w:val="fr-FR"/>
        </w:rPr>
        <w:t>:</w:t>
      </w:r>
    </w:p>
    <w:p w14:paraId="1E8BE556" w14:textId="77777777" w:rsidR="00675DAE" w:rsidRPr="00277069" w:rsidRDefault="00675DAE" w:rsidP="00CE22D0">
      <w:pPr>
        <w:pStyle w:val="SingleTxtG"/>
        <w:tabs>
          <w:tab w:val="left" w:pos="2268"/>
        </w:tabs>
        <w:ind w:left="2268" w:hanging="1134"/>
        <w:rPr>
          <w:lang w:val="fr-FR"/>
        </w:rPr>
      </w:pPr>
      <w:r>
        <w:rPr>
          <w:lang w:val="fr-FR"/>
        </w:rPr>
        <w:t>« 3.</w:t>
      </w:r>
      <w:r>
        <w:rPr>
          <w:lang w:val="fr-FR"/>
        </w:rPr>
        <w:tab/>
        <w:t>Les échantillons sont exposés conformément à la norme EN ISO 4892-2:2013 en appliquant les paramètres indiqués dans le tableau A6-1</w:t>
      </w:r>
      <w:r>
        <w:rPr>
          <w:strike/>
          <w:lang w:val="fr-FR"/>
        </w:rPr>
        <w:t>, pendant une période de 500 heures.</w:t>
      </w:r>
      <w:r>
        <w:rPr>
          <w:lang w:val="fr-FR"/>
        </w:rPr>
        <w:t xml:space="preserve"> </w:t>
      </w:r>
      <w:r>
        <w:rPr>
          <w:b/>
          <w:bCs/>
          <w:lang w:val="fr-FR"/>
        </w:rPr>
        <w:t>:</w:t>
      </w:r>
    </w:p>
    <w:p w14:paraId="77E9CF95" w14:textId="274345EB" w:rsidR="00675DAE" w:rsidRPr="00277069" w:rsidRDefault="00675DAE" w:rsidP="00CE22D0">
      <w:pPr>
        <w:pStyle w:val="SingleTxtG"/>
        <w:tabs>
          <w:tab w:val="left" w:pos="2268"/>
        </w:tabs>
        <w:ind w:left="2268" w:hanging="1134"/>
        <w:rPr>
          <w:b/>
          <w:lang w:val="fr-FR"/>
        </w:rPr>
      </w:pPr>
      <w:r>
        <w:rPr>
          <w:b/>
          <w:bCs/>
          <w:lang w:val="fr-FR"/>
        </w:rPr>
        <w:t>3.1</w:t>
      </w:r>
      <w:r>
        <w:rPr>
          <w:lang w:val="fr-FR"/>
        </w:rPr>
        <w:tab/>
      </w:r>
      <w:r>
        <w:rPr>
          <w:b/>
          <w:bCs/>
          <w:lang w:val="fr-FR"/>
        </w:rPr>
        <w:t>Dans le cas des dispositifs rétroréfléchissants, ils sont exposés pendant une période de 500</w:t>
      </w:r>
      <w:r w:rsidR="00CE22D0">
        <w:rPr>
          <w:b/>
          <w:bCs/>
          <w:lang w:val="fr-FR"/>
        </w:rPr>
        <w:t> </w:t>
      </w:r>
      <w:r>
        <w:rPr>
          <w:b/>
          <w:bCs/>
          <w:lang w:val="fr-FR"/>
        </w:rPr>
        <w:t>heures.</w:t>
      </w:r>
    </w:p>
    <w:p w14:paraId="5FCD81EF" w14:textId="1685A6C9" w:rsidR="00675DAE" w:rsidRPr="00277069" w:rsidRDefault="00675DAE" w:rsidP="00CE22D0">
      <w:pPr>
        <w:pStyle w:val="SingleTxtG"/>
        <w:tabs>
          <w:tab w:val="left" w:pos="2268"/>
        </w:tabs>
        <w:ind w:left="2268" w:hanging="1134"/>
        <w:rPr>
          <w:lang w:val="fr-FR"/>
        </w:rPr>
      </w:pPr>
      <w:r>
        <w:rPr>
          <w:b/>
          <w:bCs/>
          <w:lang w:val="fr-FR"/>
        </w:rPr>
        <w:t>3.2</w:t>
      </w:r>
      <w:r>
        <w:rPr>
          <w:lang w:val="fr-FR"/>
        </w:rPr>
        <w:tab/>
      </w:r>
      <w:r>
        <w:rPr>
          <w:b/>
          <w:bCs/>
          <w:lang w:val="fr-FR"/>
        </w:rPr>
        <w:t>Dans le cas des matériaux fluorescents, ils sont exposés pendant une période de 100</w:t>
      </w:r>
      <w:r w:rsidR="00CE22D0">
        <w:rPr>
          <w:b/>
          <w:bCs/>
          <w:lang w:val="fr-FR"/>
        </w:rPr>
        <w:t> </w:t>
      </w:r>
      <w:r>
        <w:rPr>
          <w:b/>
          <w:bCs/>
          <w:lang w:val="fr-FR"/>
        </w:rPr>
        <w:t>heures. </w:t>
      </w:r>
      <w:r w:rsidRPr="006A6E16">
        <w:rPr>
          <w:lang w:val="fr-FR"/>
        </w:rPr>
        <w:t>»</w:t>
      </w:r>
      <w:r>
        <w:rPr>
          <w:lang w:val="fr-FR"/>
        </w:rPr>
        <w:t>.</w:t>
      </w:r>
    </w:p>
    <w:p w14:paraId="69FEA2EF" w14:textId="77777777" w:rsidR="00675DAE" w:rsidRPr="00277069" w:rsidRDefault="00675DAE" w:rsidP="00CE22D0">
      <w:pPr>
        <w:pStyle w:val="HChG"/>
        <w:rPr>
          <w:lang w:val="fr-FR"/>
        </w:rPr>
      </w:pPr>
      <w:r>
        <w:rPr>
          <w:lang w:val="fr-FR"/>
        </w:rPr>
        <w:lastRenderedPageBreak/>
        <w:tab/>
        <w:t>II.</w:t>
      </w:r>
      <w:r>
        <w:rPr>
          <w:lang w:val="fr-FR"/>
        </w:rPr>
        <w:tab/>
        <w:t>Justification</w:t>
      </w:r>
    </w:p>
    <w:p w14:paraId="68BDA75A" w14:textId="77777777" w:rsidR="00675DAE" w:rsidRPr="00277069" w:rsidRDefault="00675DAE" w:rsidP="00CE22D0">
      <w:pPr>
        <w:pStyle w:val="SingleTxtG"/>
        <w:keepNext/>
        <w:rPr>
          <w:rFonts w:asciiTheme="majorBidi" w:hAnsiTheme="majorBidi" w:cstheme="majorBidi"/>
          <w:lang w:val="fr-FR"/>
        </w:rPr>
      </w:pPr>
      <w:r w:rsidRPr="00CE22D0">
        <w:rPr>
          <w:i/>
          <w:iCs/>
          <w:lang w:val="fr-FR"/>
        </w:rPr>
        <w:t>Série originale d’amendements, annexe 5, paragraphe 7.3</w:t>
      </w:r>
      <w:r>
        <w:rPr>
          <w:lang w:val="fr-FR"/>
        </w:rPr>
        <w:t>.</w:t>
      </w:r>
    </w:p>
    <w:p w14:paraId="4ECA238D" w14:textId="1A083F8F" w:rsidR="00675DAE" w:rsidRPr="00277069" w:rsidRDefault="00675DAE" w:rsidP="00CE22D0">
      <w:pPr>
        <w:pStyle w:val="SingleTxtG"/>
        <w:keepNext/>
        <w:rPr>
          <w:lang w:val="fr-FR"/>
        </w:rPr>
      </w:pPr>
      <w:r>
        <w:rPr>
          <w:lang w:val="fr-FR"/>
        </w:rPr>
        <w:t>1.</w:t>
      </w:r>
      <w:r>
        <w:rPr>
          <w:lang w:val="fr-FR"/>
        </w:rPr>
        <w:tab/>
        <w:t>Une erreur dans la numérotation d’une figure est corrigée.</w:t>
      </w:r>
    </w:p>
    <w:p w14:paraId="3BC2BBBA" w14:textId="77777777" w:rsidR="00675DAE" w:rsidRPr="00277069" w:rsidRDefault="00675DAE" w:rsidP="00CE22D0">
      <w:pPr>
        <w:keepNext/>
        <w:spacing w:after="120"/>
        <w:ind w:left="1134" w:right="1134"/>
        <w:jc w:val="both"/>
        <w:rPr>
          <w:rFonts w:asciiTheme="majorBidi" w:hAnsiTheme="majorBidi" w:cstheme="majorBidi"/>
          <w:i/>
          <w:iCs/>
          <w:lang w:val="fr-FR"/>
        </w:rPr>
      </w:pPr>
      <w:r>
        <w:rPr>
          <w:i/>
          <w:iCs/>
          <w:lang w:val="fr-FR"/>
        </w:rPr>
        <w:t>Figure A5-VII « Exemple de plaque pour véhicule lent »</w:t>
      </w:r>
    </w:p>
    <w:p w14:paraId="38A8B0CD" w14:textId="24A4F4DC" w:rsidR="00675DAE" w:rsidRPr="00277069" w:rsidRDefault="00675DAE" w:rsidP="00CE22D0">
      <w:pPr>
        <w:pStyle w:val="SingleTxtG"/>
        <w:rPr>
          <w:rFonts w:asciiTheme="majorBidi" w:hAnsiTheme="majorBidi" w:cstheme="majorBidi"/>
          <w:lang w:val="fr-FR"/>
        </w:rPr>
      </w:pPr>
      <w:r>
        <w:rPr>
          <w:lang w:val="fr-FR"/>
        </w:rPr>
        <w:t>2.</w:t>
      </w:r>
      <w:r>
        <w:rPr>
          <w:lang w:val="fr-FR"/>
        </w:rPr>
        <w:tab/>
        <w:t>Deux figures avaient, par erreur, été intitulées « Figure A5-VI » dans la version anglaise du texte de la série originale d’amendements au Règlement ONU n</w:t>
      </w:r>
      <w:r>
        <w:rPr>
          <w:vertAlign w:val="superscript"/>
          <w:lang w:val="fr-FR"/>
        </w:rPr>
        <w:t>o</w:t>
      </w:r>
      <w:r w:rsidR="00CE22D0">
        <w:rPr>
          <w:lang w:val="fr-FR"/>
        </w:rPr>
        <w:t> </w:t>
      </w:r>
      <w:r>
        <w:rPr>
          <w:lang w:val="fr-FR"/>
        </w:rPr>
        <w:t>150. En anglais, la figure intitulée « Example of a slow-moving vehicle plate » devient la figure A5-VII.</w:t>
      </w:r>
    </w:p>
    <w:p w14:paraId="3A938755" w14:textId="1F8A51DC" w:rsidR="00675DAE" w:rsidRPr="00277069" w:rsidRDefault="00675DAE" w:rsidP="00CE22D0">
      <w:pPr>
        <w:pStyle w:val="SingleTxtG"/>
        <w:rPr>
          <w:rFonts w:asciiTheme="majorBidi" w:hAnsiTheme="majorBidi" w:cstheme="majorBidi"/>
          <w:lang w:val="fr-FR"/>
        </w:rPr>
      </w:pPr>
      <w:r>
        <w:rPr>
          <w:lang w:val="fr-FR"/>
        </w:rPr>
        <w:t>3.</w:t>
      </w:r>
      <w:r>
        <w:rPr>
          <w:lang w:val="fr-FR"/>
        </w:rPr>
        <w:tab/>
        <w:t xml:space="preserve">Au cours du processus de simplification, la valeur « r = 5 </w:t>
      </w:r>
      <w:r w:rsidR="00CE22D0">
        <w:rPr>
          <w:lang w:val="fr-FR"/>
        </w:rPr>
        <w:t>–</w:t>
      </w:r>
      <w:r>
        <w:rPr>
          <w:lang w:val="fr-FR"/>
        </w:rPr>
        <w:t xml:space="preserve"> 18 mm » (que l’on trouve à l’annexe 12 de la série 02 d’amendements au Règlement ONU n</w:t>
      </w:r>
      <w:r>
        <w:rPr>
          <w:vertAlign w:val="superscript"/>
          <w:lang w:val="fr-FR"/>
        </w:rPr>
        <w:t>o</w:t>
      </w:r>
      <w:r w:rsidR="00CE22D0">
        <w:rPr>
          <w:lang w:val="fr-FR"/>
        </w:rPr>
        <w:t> </w:t>
      </w:r>
      <w:r>
        <w:rPr>
          <w:lang w:val="fr-FR"/>
        </w:rPr>
        <w:t>69) est devenue « r</w:t>
      </w:r>
      <w:r w:rsidR="00CE22D0">
        <w:rPr>
          <w:lang w:val="fr-FR"/>
        </w:rPr>
        <w:t> </w:t>
      </w:r>
      <w:r>
        <w:rPr>
          <w:lang w:val="fr-FR"/>
        </w:rPr>
        <w:t>=</w:t>
      </w:r>
      <w:r w:rsidR="00CE22D0">
        <w:rPr>
          <w:lang w:val="fr-FR"/>
        </w:rPr>
        <w:t> </w:t>
      </w:r>
      <w:r>
        <w:rPr>
          <w:lang w:val="fr-FR"/>
        </w:rPr>
        <w:t>15</w:t>
      </w:r>
      <w:r w:rsidR="00CE22D0">
        <w:rPr>
          <w:lang w:val="fr-FR"/>
        </w:rPr>
        <w:t> – </w:t>
      </w:r>
      <w:r>
        <w:rPr>
          <w:lang w:val="fr-FR"/>
        </w:rPr>
        <w:t>18</w:t>
      </w:r>
      <w:r w:rsidR="00CE22D0">
        <w:rPr>
          <w:lang w:val="fr-FR"/>
        </w:rPr>
        <w:t> </w:t>
      </w:r>
      <w:r>
        <w:rPr>
          <w:lang w:val="fr-FR"/>
        </w:rPr>
        <w:t>mm » par inadvertance. La proposition vise à corriger cette erreur.</w:t>
      </w:r>
    </w:p>
    <w:p w14:paraId="48BBA012" w14:textId="77777777" w:rsidR="00675DAE" w:rsidRPr="00CE22D0" w:rsidRDefault="00675DAE" w:rsidP="00CE22D0">
      <w:pPr>
        <w:pStyle w:val="SingleTxtG"/>
        <w:rPr>
          <w:rFonts w:asciiTheme="majorBidi" w:hAnsiTheme="majorBidi" w:cstheme="majorBidi"/>
          <w:i/>
          <w:iCs/>
          <w:lang w:val="fr-FR"/>
        </w:rPr>
      </w:pPr>
      <w:r w:rsidRPr="00CE22D0">
        <w:rPr>
          <w:i/>
          <w:iCs/>
          <w:lang w:val="fr-FR"/>
        </w:rPr>
        <w:t>Série 01 d’amendements, tableau 6</w:t>
      </w:r>
    </w:p>
    <w:p w14:paraId="60F8A45C" w14:textId="09BEC12D" w:rsidR="00675DAE" w:rsidRPr="00277069" w:rsidRDefault="00675DAE" w:rsidP="00CE22D0">
      <w:pPr>
        <w:pStyle w:val="SingleTxtG"/>
        <w:rPr>
          <w:rFonts w:asciiTheme="majorBidi" w:hAnsiTheme="majorBidi" w:cstheme="majorBidi"/>
          <w:lang w:val="fr-FR"/>
        </w:rPr>
      </w:pPr>
      <w:r>
        <w:rPr>
          <w:lang w:val="fr-FR"/>
        </w:rPr>
        <w:t>4.</w:t>
      </w:r>
      <w:r>
        <w:rPr>
          <w:lang w:val="fr-FR"/>
        </w:rPr>
        <w:tab/>
        <w:t>Concernant les plaques pour véhicule lent, des coefficients particuliers de rétroréflexion ont été définis pour les angles d’éclairage de 5°, de 20°, de 30° et de 40° dans la série originale d’amendements au Règlement ONU n</w:t>
      </w:r>
      <w:r>
        <w:rPr>
          <w:vertAlign w:val="superscript"/>
          <w:lang w:val="fr-FR"/>
        </w:rPr>
        <w:t>o</w:t>
      </w:r>
      <w:r w:rsidR="00CE22D0">
        <w:rPr>
          <w:lang w:val="fr-FR"/>
        </w:rPr>
        <w:t> </w:t>
      </w:r>
      <w:r>
        <w:rPr>
          <w:lang w:val="fr-FR"/>
        </w:rPr>
        <w:t>150. Quand les tableaux contenant les prescriptions applicables aux différents dispositifs rétroréfléchissants ont été fusionnés dans la série 01 du règlement ONU n</w:t>
      </w:r>
      <w:r>
        <w:rPr>
          <w:vertAlign w:val="superscript"/>
          <w:lang w:val="fr-FR"/>
        </w:rPr>
        <w:t>o</w:t>
      </w:r>
      <w:r w:rsidR="00CE22D0">
        <w:rPr>
          <w:lang w:val="fr-FR"/>
        </w:rPr>
        <w:t> </w:t>
      </w:r>
      <w:r>
        <w:rPr>
          <w:lang w:val="fr-FR"/>
        </w:rPr>
        <w:t>150, certaines valeurs ont été insérées au mauvais endroit par inadvertance, notamment dans les colonnes consacrées aux angles de 5°, de 30°, de 40° et de 60°. Les valeurs ont été remises dans les bonnes colonnes, comme dans la série originale.</w:t>
      </w:r>
    </w:p>
    <w:p w14:paraId="3DC644C0" w14:textId="77777777" w:rsidR="00675DAE" w:rsidRPr="00CE22D0" w:rsidRDefault="00675DAE" w:rsidP="00CE22D0">
      <w:pPr>
        <w:pStyle w:val="SingleTxtG"/>
        <w:rPr>
          <w:rFonts w:asciiTheme="majorBidi" w:hAnsiTheme="majorBidi" w:cstheme="majorBidi"/>
          <w:i/>
          <w:iCs/>
          <w:lang w:val="fr-FR"/>
        </w:rPr>
      </w:pPr>
      <w:r w:rsidRPr="00CE22D0">
        <w:rPr>
          <w:i/>
          <w:iCs/>
          <w:lang w:val="fr-FR"/>
        </w:rPr>
        <w:t>Annexe 1</w:t>
      </w:r>
    </w:p>
    <w:p w14:paraId="7A483FBB" w14:textId="23FED837" w:rsidR="00675DAE" w:rsidRPr="00277069" w:rsidRDefault="00675DAE" w:rsidP="00CE22D0">
      <w:pPr>
        <w:pStyle w:val="SingleTxtG"/>
        <w:rPr>
          <w:rFonts w:asciiTheme="majorBidi" w:hAnsiTheme="majorBidi" w:cstheme="majorBidi"/>
          <w:lang w:val="fr-FR"/>
        </w:rPr>
      </w:pPr>
      <w:r>
        <w:rPr>
          <w:lang w:val="fr-FR"/>
        </w:rPr>
        <w:t>5.</w:t>
      </w:r>
      <w:r>
        <w:rPr>
          <w:lang w:val="fr-FR"/>
        </w:rPr>
        <w:tab/>
        <w:t>Dans la série originale d’amendements au Règlement ONU n</w:t>
      </w:r>
      <w:r>
        <w:rPr>
          <w:vertAlign w:val="superscript"/>
          <w:lang w:val="fr-FR"/>
        </w:rPr>
        <w:t>o</w:t>
      </w:r>
      <w:r w:rsidR="00CE22D0">
        <w:rPr>
          <w:lang w:val="fr-FR"/>
        </w:rPr>
        <w:t> </w:t>
      </w:r>
      <w:r>
        <w:rPr>
          <w:lang w:val="fr-FR"/>
        </w:rPr>
        <w:t>150, la « description sommaire</w:t>
      </w:r>
      <w:r w:rsidR="00CE22D0">
        <w:rPr>
          <w:lang w:val="fr-FR"/>
        </w:rPr>
        <w:t> </w:t>
      </w:r>
      <w:r>
        <w:rPr>
          <w:lang w:val="fr-FR"/>
        </w:rPr>
        <w:t>» du rétroréflecteur est requise et il doit en être de même dans la série 01. La proposition vise à la réintégrer dans le Règlement.</w:t>
      </w:r>
    </w:p>
    <w:p w14:paraId="40C1DBCD" w14:textId="77777777" w:rsidR="00675DAE" w:rsidRPr="00277069" w:rsidRDefault="00675DAE" w:rsidP="00CE22D0">
      <w:pPr>
        <w:pStyle w:val="SingleTxtG"/>
        <w:rPr>
          <w:rFonts w:asciiTheme="majorBidi" w:hAnsiTheme="majorBidi" w:cstheme="majorBidi"/>
          <w:i/>
          <w:iCs/>
          <w:lang w:val="fr-FR"/>
        </w:rPr>
      </w:pPr>
      <w:r>
        <w:rPr>
          <w:i/>
          <w:iCs/>
          <w:lang w:val="fr-FR"/>
        </w:rPr>
        <w:t>Annexe 5, paragraphe 7.3</w:t>
      </w:r>
    </w:p>
    <w:p w14:paraId="681A0C7B" w14:textId="41EA0EBF" w:rsidR="00675DAE" w:rsidRPr="00277069" w:rsidRDefault="00675DAE" w:rsidP="00CE22D0">
      <w:pPr>
        <w:pStyle w:val="SingleTxtG"/>
        <w:rPr>
          <w:lang w:val="fr-FR"/>
        </w:rPr>
      </w:pPr>
      <w:r>
        <w:rPr>
          <w:lang w:val="fr-FR"/>
        </w:rPr>
        <w:t>6.</w:t>
      </w:r>
      <w:r>
        <w:rPr>
          <w:lang w:val="fr-FR"/>
        </w:rPr>
        <w:tab/>
        <w:t>Une erreur dans la numérotation d’une figure est corrigée.</w:t>
      </w:r>
    </w:p>
    <w:p w14:paraId="4A5DAFB0" w14:textId="77777777" w:rsidR="00675DAE" w:rsidRPr="00277069" w:rsidRDefault="00675DAE" w:rsidP="00CE22D0">
      <w:pPr>
        <w:pStyle w:val="SingleTxtG"/>
        <w:rPr>
          <w:rFonts w:asciiTheme="majorBidi" w:hAnsiTheme="majorBidi" w:cstheme="majorBidi"/>
          <w:i/>
          <w:iCs/>
          <w:lang w:val="fr-FR"/>
        </w:rPr>
      </w:pPr>
      <w:r>
        <w:rPr>
          <w:i/>
          <w:iCs/>
          <w:lang w:val="fr-FR"/>
        </w:rPr>
        <w:t>Figure A5-VII</w:t>
      </w:r>
    </w:p>
    <w:p w14:paraId="0729C716" w14:textId="4E525ABD" w:rsidR="00675DAE" w:rsidRPr="00277069" w:rsidRDefault="00675DAE" w:rsidP="00CE22D0">
      <w:pPr>
        <w:pStyle w:val="SingleTxtG"/>
        <w:rPr>
          <w:rFonts w:asciiTheme="majorBidi" w:hAnsiTheme="majorBidi" w:cstheme="majorBidi"/>
          <w:lang w:val="fr-FR"/>
        </w:rPr>
      </w:pPr>
      <w:r>
        <w:rPr>
          <w:lang w:val="fr-FR"/>
        </w:rPr>
        <w:t>7.</w:t>
      </w:r>
      <w:r>
        <w:rPr>
          <w:lang w:val="fr-FR"/>
        </w:rPr>
        <w:tab/>
        <w:t>Au cours du processus de simplification, la valeur « r = 5 – 18 mm » (que l’on trouve à l’annexe</w:t>
      </w:r>
      <w:r w:rsidR="00CE22D0">
        <w:rPr>
          <w:lang w:val="fr-FR"/>
        </w:rPr>
        <w:t> </w:t>
      </w:r>
      <w:r>
        <w:rPr>
          <w:lang w:val="fr-FR"/>
        </w:rPr>
        <w:t>12 de la série 02 d’amendements au Règlement ONU n</w:t>
      </w:r>
      <w:r w:rsidRPr="00CE22D0">
        <w:rPr>
          <w:vertAlign w:val="superscript"/>
          <w:lang w:val="fr-FR"/>
        </w:rPr>
        <w:t>o</w:t>
      </w:r>
      <w:r w:rsidR="00CE22D0">
        <w:rPr>
          <w:lang w:val="fr-FR"/>
        </w:rPr>
        <w:t> </w:t>
      </w:r>
      <w:r>
        <w:rPr>
          <w:lang w:val="fr-FR"/>
        </w:rPr>
        <w:t>69) est devenue « r</w:t>
      </w:r>
      <w:r w:rsidR="00CE22D0">
        <w:rPr>
          <w:lang w:val="fr-FR"/>
        </w:rPr>
        <w:t> </w:t>
      </w:r>
      <w:r>
        <w:rPr>
          <w:lang w:val="fr-FR"/>
        </w:rPr>
        <w:t>=</w:t>
      </w:r>
      <w:r w:rsidR="00CE22D0">
        <w:rPr>
          <w:lang w:val="fr-FR"/>
        </w:rPr>
        <w:t> </w:t>
      </w:r>
      <w:r>
        <w:rPr>
          <w:lang w:val="fr-FR"/>
        </w:rPr>
        <w:t>15</w:t>
      </w:r>
      <w:r w:rsidR="00CE22D0">
        <w:rPr>
          <w:lang w:val="fr-FR"/>
        </w:rPr>
        <w:t> </w:t>
      </w:r>
      <w:r>
        <w:rPr>
          <w:lang w:val="fr-FR"/>
        </w:rPr>
        <w:t>–</w:t>
      </w:r>
      <w:r w:rsidR="00CE22D0">
        <w:rPr>
          <w:lang w:val="fr-FR"/>
        </w:rPr>
        <w:t> </w:t>
      </w:r>
      <w:r>
        <w:rPr>
          <w:lang w:val="fr-FR"/>
        </w:rPr>
        <w:t>18</w:t>
      </w:r>
      <w:r w:rsidR="00CE22D0">
        <w:rPr>
          <w:lang w:val="fr-FR"/>
        </w:rPr>
        <w:t> </w:t>
      </w:r>
      <w:r>
        <w:rPr>
          <w:lang w:val="fr-FR"/>
        </w:rPr>
        <w:t>mm » par inadvertance. La proposition vise à corriger cette erreur.</w:t>
      </w:r>
    </w:p>
    <w:p w14:paraId="68C749CB" w14:textId="77777777" w:rsidR="00675DAE" w:rsidRPr="00277069" w:rsidRDefault="00675DAE" w:rsidP="00CE22D0">
      <w:pPr>
        <w:pStyle w:val="SingleTxtG"/>
        <w:rPr>
          <w:rFonts w:asciiTheme="majorBidi" w:hAnsiTheme="majorBidi" w:cstheme="majorBidi"/>
          <w:i/>
          <w:iCs/>
          <w:lang w:val="fr-FR"/>
        </w:rPr>
      </w:pPr>
      <w:r>
        <w:rPr>
          <w:i/>
          <w:iCs/>
          <w:lang w:val="fr-FR"/>
        </w:rPr>
        <w:t>Annexe 6, partie 1</w:t>
      </w:r>
      <w:r>
        <w:rPr>
          <w:lang w:val="fr-FR"/>
        </w:rPr>
        <w:t xml:space="preserve"> </w:t>
      </w:r>
    </w:p>
    <w:p w14:paraId="4066D06E" w14:textId="054D7679" w:rsidR="00675DAE" w:rsidRPr="00277069" w:rsidRDefault="00675DAE" w:rsidP="00CE22D0">
      <w:pPr>
        <w:pStyle w:val="SingleTxtG"/>
        <w:rPr>
          <w:rFonts w:asciiTheme="majorBidi" w:hAnsiTheme="majorBidi" w:cstheme="majorBidi"/>
          <w:lang w:val="fr-FR"/>
        </w:rPr>
      </w:pPr>
      <w:r>
        <w:rPr>
          <w:lang w:val="fr-FR"/>
        </w:rPr>
        <w:t>8.</w:t>
      </w:r>
      <w:r>
        <w:rPr>
          <w:lang w:val="fr-FR"/>
        </w:rPr>
        <w:tab/>
        <w:t>La mention des « triangles de présignalisation » a été involontairement omise aux paragraphes</w:t>
      </w:r>
      <w:r w:rsidR="00CE22D0">
        <w:rPr>
          <w:lang w:val="fr-FR"/>
        </w:rPr>
        <w:t> </w:t>
      </w:r>
      <w:r>
        <w:rPr>
          <w:lang w:val="fr-FR"/>
        </w:rPr>
        <w:t>1 et 2 lors de l’élaboration de la série 01 d’amendements. L’amendement proposé vise à la rétablir comme il convient.</w:t>
      </w:r>
    </w:p>
    <w:p w14:paraId="4356E414" w14:textId="77777777" w:rsidR="00675DAE" w:rsidRPr="00277069" w:rsidRDefault="00675DAE" w:rsidP="00CE22D0">
      <w:pPr>
        <w:pStyle w:val="SingleTxtG"/>
        <w:rPr>
          <w:rFonts w:asciiTheme="majorBidi" w:hAnsiTheme="majorBidi" w:cstheme="majorBidi"/>
          <w:i/>
          <w:iCs/>
          <w:lang w:val="fr-FR"/>
        </w:rPr>
      </w:pPr>
      <w:r>
        <w:rPr>
          <w:i/>
          <w:iCs/>
          <w:lang w:val="fr-FR"/>
        </w:rPr>
        <w:t>Annexe 6, partie 6, paragraphe 3</w:t>
      </w:r>
    </w:p>
    <w:p w14:paraId="77789E1E" w14:textId="4C5A41F8" w:rsidR="00675DAE" w:rsidRDefault="00675DAE" w:rsidP="00CE22D0">
      <w:pPr>
        <w:pStyle w:val="SingleTxtG"/>
        <w:rPr>
          <w:lang w:val="fr-FR"/>
        </w:rPr>
      </w:pPr>
      <w:r>
        <w:rPr>
          <w:lang w:val="fr-FR"/>
        </w:rPr>
        <w:t>9.</w:t>
      </w:r>
      <w:r>
        <w:rPr>
          <w:lang w:val="fr-FR"/>
        </w:rPr>
        <w:tab/>
        <w:t>Les prescriptions relatives aux matériaux fluorescents ont été involontairement omises lors de l’élaboration de la série 01 d’amendements. L’amendement proposé vise à préciser quelles prescriptions s’appliquent aux matériaux fluorescents et quelles prescriptions s’appliquent aux dispositifs rétroréfléchissants.</w:t>
      </w:r>
    </w:p>
    <w:p w14:paraId="3DA1B756" w14:textId="171B08D6" w:rsidR="00CE22D0" w:rsidRPr="00CE22D0" w:rsidRDefault="00CE22D0" w:rsidP="00CE22D0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CE22D0" w:rsidRPr="00CE22D0" w:rsidSect="00675DAE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68271" w14:textId="77777777" w:rsidR="00F75112" w:rsidRDefault="00F75112" w:rsidP="00F95C08">
      <w:pPr>
        <w:spacing w:line="240" w:lineRule="auto"/>
      </w:pPr>
    </w:p>
  </w:endnote>
  <w:endnote w:type="continuationSeparator" w:id="0">
    <w:p w14:paraId="5C434B98" w14:textId="77777777" w:rsidR="00F75112" w:rsidRPr="00AC3823" w:rsidRDefault="00F75112" w:rsidP="00AC3823">
      <w:pPr>
        <w:pStyle w:val="Pieddepage"/>
      </w:pPr>
    </w:p>
  </w:endnote>
  <w:endnote w:type="continuationNotice" w:id="1">
    <w:p w14:paraId="58F844A2" w14:textId="77777777" w:rsidR="00F75112" w:rsidRDefault="00F7511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E469F" w14:textId="6A3AEDF7" w:rsidR="00675DAE" w:rsidRPr="00675DAE" w:rsidRDefault="00675DAE" w:rsidP="00675DAE">
    <w:pPr>
      <w:pStyle w:val="Pieddepage"/>
      <w:tabs>
        <w:tab w:val="right" w:pos="9638"/>
      </w:tabs>
    </w:pPr>
    <w:r w:rsidRPr="00675DAE">
      <w:rPr>
        <w:b/>
        <w:sz w:val="18"/>
      </w:rPr>
      <w:fldChar w:fldCharType="begin"/>
    </w:r>
    <w:r w:rsidRPr="00675DAE">
      <w:rPr>
        <w:b/>
        <w:sz w:val="18"/>
      </w:rPr>
      <w:instrText xml:space="preserve"> PAGE  \* MERGEFORMAT </w:instrText>
    </w:r>
    <w:r w:rsidRPr="00675DAE">
      <w:rPr>
        <w:b/>
        <w:sz w:val="18"/>
      </w:rPr>
      <w:fldChar w:fldCharType="separate"/>
    </w:r>
    <w:r w:rsidRPr="00675DAE">
      <w:rPr>
        <w:b/>
        <w:noProof/>
        <w:sz w:val="18"/>
      </w:rPr>
      <w:t>2</w:t>
    </w:r>
    <w:r w:rsidRPr="00675DAE">
      <w:rPr>
        <w:b/>
        <w:sz w:val="18"/>
      </w:rPr>
      <w:fldChar w:fldCharType="end"/>
    </w:r>
    <w:r>
      <w:rPr>
        <w:b/>
        <w:sz w:val="18"/>
      </w:rPr>
      <w:tab/>
    </w:r>
    <w:r>
      <w:t>GE.23-15316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B7E99" w14:textId="13C23E62" w:rsidR="00675DAE" w:rsidRPr="00675DAE" w:rsidRDefault="00675DAE" w:rsidP="00675DAE">
    <w:pPr>
      <w:pStyle w:val="Pieddepage"/>
      <w:tabs>
        <w:tab w:val="right" w:pos="9638"/>
      </w:tabs>
      <w:rPr>
        <w:b/>
        <w:sz w:val="18"/>
      </w:rPr>
    </w:pPr>
    <w:r>
      <w:t>GE.23-15316</w:t>
    </w:r>
    <w:r>
      <w:tab/>
    </w:r>
    <w:r w:rsidRPr="00675DAE">
      <w:rPr>
        <w:b/>
        <w:sz w:val="18"/>
      </w:rPr>
      <w:fldChar w:fldCharType="begin"/>
    </w:r>
    <w:r w:rsidRPr="00675DAE">
      <w:rPr>
        <w:b/>
        <w:sz w:val="18"/>
      </w:rPr>
      <w:instrText xml:space="preserve"> PAGE  \* MERGEFORMAT </w:instrText>
    </w:r>
    <w:r w:rsidRPr="00675DAE">
      <w:rPr>
        <w:b/>
        <w:sz w:val="18"/>
      </w:rPr>
      <w:fldChar w:fldCharType="separate"/>
    </w:r>
    <w:r w:rsidRPr="00675DAE">
      <w:rPr>
        <w:b/>
        <w:noProof/>
        <w:sz w:val="18"/>
      </w:rPr>
      <w:t>3</w:t>
    </w:r>
    <w:r w:rsidRPr="00675DA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919A5" w14:textId="2ED42467" w:rsidR="007F20FA" w:rsidRPr="00675DAE" w:rsidRDefault="00675DAE" w:rsidP="00675DAE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F814ED9" wp14:editId="065E1F04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23-15316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2AD88E8" wp14:editId="59E3DF07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97075584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290823    310823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C2351" w14:textId="77777777" w:rsidR="00F75112" w:rsidRPr="00AC3823" w:rsidRDefault="00F75112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02574DD" w14:textId="77777777" w:rsidR="00F75112" w:rsidRPr="00AC3823" w:rsidRDefault="00F75112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7FDCA38" w14:textId="77777777" w:rsidR="00F75112" w:rsidRPr="00AC3823" w:rsidRDefault="00F75112">
      <w:pPr>
        <w:spacing w:line="240" w:lineRule="auto"/>
        <w:rPr>
          <w:sz w:val="2"/>
          <w:szCs w:val="2"/>
        </w:rPr>
      </w:pPr>
    </w:p>
  </w:footnote>
  <w:footnote w:id="2">
    <w:p w14:paraId="3B546FBB" w14:textId="6D351785" w:rsidR="00675DAE" w:rsidRDefault="00675DAE" w:rsidP="00675DAE">
      <w:pPr>
        <w:pStyle w:val="Notedebasdepage"/>
        <w:rPr>
          <w:lang w:val="fr-FR"/>
        </w:rPr>
      </w:pPr>
      <w:r>
        <w:rPr>
          <w:lang w:val="fr-FR"/>
        </w:rPr>
        <w:tab/>
      </w:r>
      <w:r w:rsidRPr="00574A25">
        <w:rPr>
          <w:sz w:val="20"/>
          <w:szCs w:val="22"/>
          <w:lang w:val="fr-FR"/>
        </w:rPr>
        <w:t>*</w:t>
      </w:r>
      <w:r w:rsidRPr="00574A25">
        <w:rPr>
          <w:sz w:val="20"/>
          <w:szCs w:val="22"/>
          <w:lang w:val="fr-FR"/>
        </w:rPr>
        <w:tab/>
      </w:r>
      <w:r>
        <w:rPr>
          <w:lang w:val="fr-FR"/>
        </w:rPr>
        <w:t>Conformément au programme de travail du Comité des transports intérieurs pour 2023 tel qu’il figure dans le projet de budget-programme pour 2023 (A/77/6 (Sect. 20), tableau 20.6), le Forum mondial a pour mission d’élaborer, d’harmoniser et de mettre à jour les Règlements ONU en vue d’améliorer les caractéristiques fonctionnelles des véhicules. Le présent document est soumis en vertu de ce mandat.</w:t>
      </w:r>
    </w:p>
    <w:p w14:paraId="28D44759" w14:textId="77777777" w:rsidR="00574A25" w:rsidRPr="00277069" w:rsidRDefault="00574A25" w:rsidP="00675DAE">
      <w:pPr>
        <w:pStyle w:val="Notedebasdepage"/>
        <w:rPr>
          <w:lang w:val="fr-F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ACE67" w14:textId="0121E0A1" w:rsidR="00675DAE" w:rsidRPr="00675DAE" w:rsidRDefault="009A0EDD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ECE/TRANS/WP.29/GRE/2023/16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AC8E0" w14:textId="73BDE955" w:rsidR="00675DAE" w:rsidRPr="00675DAE" w:rsidRDefault="009A0EDD" w:rsidP="00675DAE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ECE/TRANS/WP.29/GRE/2023/16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262495535">
    <w:abstractNumId w:val="12"/>
  </w:num>
  <w:num w:numId="2" w16cid:durableId="400031871">
    <w:abstractNumId w:val="11"/>
  </w:num>
  <w:num w:numId="3" w16cid:durableId="2057388353">
    <w:abstractNumId w:val="10"/>
  </w:num>
  <w:num w:numId="4" w16cid:durableId="42411509">
    <w:abstractNumId w:val="8"/>
  </w:num>
  <w:num w:numId="5" w16cid:durableId="1638098221">
    <w:abstractNumId w:val="3"/>
  </w:num>
  <w:num w:numId="6" w16cid:durableId="1252399490">
    <w:abstractNumId w:val="2"/>
  </w:num>
  <w:num w:numId="7" w16cid:durableId="306936218">
    <w:abstractNumId w:val="1"/>
  </w:num>
  <w:num w:numId="8" w16cid:durableId="566378517">
    <w:abstractNumId w:val="0"/>
  </w:num>
  <w:num w:numId="9" w16cid:durableId="2035300153">
    <w:abstractNumId w:val="9"/>
  </w:num>
  <w:num w:numId="10" w16cid:durableId="776872397">
    <w:abstractNumId w:val="7"/>
  </w:num>
  <w:num w:numId="11" w16cid:durableId="1446384356">
    <w:abstractNumId w:val="6"/>
  </w:num>
  <w:num w:numId="12" w16cid:durableId="95248453">
    <w:abstractNumId w:val="5"/>
  </w:num>
  <w:num w:numId="13" w16cid:durableId="1321618669">
    <w:abstractNumId w:val="4"/>
  </w:num>
  <w:num w:numId="14" w16cid:durableId="986663180">
    <w:abstractNumId w:val="12"/>
  </w:num>
  <w:num w:numId="15" w16cid:durableId="1914704611">
    <w:abstractNumId w:val="11"/>
  </w:num>
  <w:num w:numId="16" w16cid:durableId="21421109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112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14E84"/>
    <w:rsid w:val="00223272"/>
    <w:rsid w:val="0024779E"/>
    <w:rsid w:val="002521A3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10BE"/>
    <w:rsid w:val="004837D8"/>
    <w:rsid w:val="004D76FC"/>
    <w:rsid w:val="004E2EED"/>
    <w:rsid w:val="004E468C"/>
    <w:rsid w:val="005505B7"/>
    <w:rsid w:val="00573BE5"/>
    <w:rsid w:val="00574A25"/>
    <w:rsid w:val="00586ED3"/>
    <w:rsid w:val="00596AA9"/>
    <w:rsid w:val="006746F2"/>
    <w:rsid w:val="00675DAE"/>
    <w:rsid w:val="0071601D"/>
    <w:rsid w:val="007A62E6"/>
    <w:rsid w:val="007F20FA"/>
    <w:rsid w:val="0080684C"/>
    <w:rsid w:val="00871C75"/>
    <w:rsid w:val="008776DC"/>
    <w:rsid w:val="008D5EF9"/>
    <w:rsid w:val="008E0AC3"/>
    <w:rsid w:val="009446C0"/>
    <w:rsid w:val="009705C8"/>
    <w:rsid w:val="009A0EDD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CE22D0"/>
    <w:rsid w:val="00D32FA3"/>
    <w:rsid w:val="00D3439C"/>
    <w:rsid w:val="00D506B3"/>
    <w:rsid w:val="00D7622E"/>
    <w:rsid w:val="00DB1831"/>
    <w:rsid w:val="00DD3BFD"/>
    <w:rsid w:val="00DF6678"/>
    <w:rsid w:val="00E0299A"/>
    <w:rsid w:val="00E82542"/>
    <w:rsid w:val="00E85C74"/>
    <w:rsid w:val="00EA6547"/>
    <w:rsid w:val="00ED7237"/>
    <w:rsid w:val="00EF2E22"/>
    <w:rsid w:val="00F35BAF"/>
    <w:rsid w:val="00F660DF"/>
    <w:rsid w:val="00F75112"/>
    <w:rsid w:val="00F77FEA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2F678B"/>
  <w15:docId w15:val="{2355C1D6-DDEC-40A9-9B24-35D562ADA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,Heading 1*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,Heading 1*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675DAE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675DAE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rsid w:val="00675DAE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paragraph" w:styleId="Sansinterligne">
    <w:name w:val="No Spacing"/>
    <w:uiPriority w:val="1"/>
    <w:qFormat/>
    <w:rsid w:val="00675DAE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Annex1">
    <w:name w:val="Annex1"/>
    <w:basedOn w:val="Normal"/>
    <w:qFormat/>
    <w:rsid w:val="00675DAE"/>
    <w:pPr>
      <w:tabs>
        <w:tab w:val="left" w:pos="1700"/>
        <w:tab w:val="right" w:leader="dot" w:pos="8505"/>
      </w:tabs>
      <w:spacing w:after="120"/>
      <w:ind w:left="2268" w:right="1134" w:hanging="1134"/>
      <w:jc w:val="both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FD4677-1549-4C6C-88CA-DEF8C490EEA2}"/>
</file>

<file path=customXml/itemProps2.xml><?xml version="1.0" encoding="utf-8"?>
<ds:datastoreItem xmlns:ds="http://schemas.openxmlformats.org/officeDocument/2006/customXml" ds:itemID="{001FE448-E625-4A13-9825-1FE8B4EB485B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5</Pages>
  <Words>1159</Words>
  <Characters>6378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ECE/TRANS/WP.29/GRE/2023/16</vt:lpstr>
    </vt:vector>
  </TitlesOfParts>
  <Company>DCM</Company>
  <LinksUpToDate>false</LinksUpToDate>
  <CharactersWithSpaces>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ECE/TRANS/WP.29/GRE/2023/16</dc:title>
  <dc:subject/>
  <dc:creator>Christine CHAUTAGNAT</dc:creator>
  <cp:keywords/>
  <cp:lastModifiedBy>Christine Chautagnat</cp:lastModifiedBy>
  <cp:revision>3</cp:revision>
  <cp:lastPrinted>2023-08-31T09:06:00Z</cp:lastPrinted>
  <dcterms:created xsi:type="dcterms:W3CDTF">2023-08-31T09:06:00Z</dcterms:created>
  <dcterms:modified xsi:type="dcterms:W3CDTF">2023-08-31T09:07:00Z</dcterms:modified>
</cp:coreProperties>
</file>