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5639A691" w:rsidR="003F1AB4" w:rsidRPr="00323888" w:rsidRDefault="003F1AB4" w:rsidP="003F1AB4">
            <w:pPr>
              <w:jc w:val="right"/>
            </w:pPr>
            <w:r w:rsidRPr="00323888">
              <w:rPr>
                <w:sz w:val="40"/>
              </w:rPr>
              <w:t>ECE</w:t>
            </w:r>
            <w:r w:rsidRPr="00323888">
              <w:t>/TRANS/WP.29/GRE/202</w:t>
            </w:r>
            <w:r w:rsidR="00723A10" w:rsidRPr="00323888">
              <w:t>3</w:t>
            </w:r>
            <w:r w:rsidRPr="00323888">
              <w:t>/</w:t>
            </w:r>
            <w:r w:rsidR="00323888" w:rsidRPr="00323888">
              <w:t>16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323888" w:rsidRDefault="003F1AB4" w:rsidP="003F1AB4">
            <w:pPr>
              <w:spacing w:before="240" w:line="240" w:lineRule="exact"/>
            </w:pPr>
            <w:r w:rsidRPr="00323888">
              <w:t>Distr.: General</w:t>
            </w:r>
          </w:p>
          <w:p w14:paraId="581CB256" w14:textId="44CEA727" w:rsidR="003F1AB4" w:rsidRPr="00323888" w:rsidRDefault="002A1DFB" w:rsidP="003F1AB4">
            <w:pPr>
              <w:spacing w:line="240" w:lineRule="exact"/>
            </w:pPr>
            <w:r>
              <w:rPr>
                <w:lang w:val="en-US"/>
              </w:rPr>
              <w:t>7</w:t>
            </w:r>
            <w:r w:rsidR="002C1939" w:rsidRPr="00323888">
              <w:rPr>
                <w:lang w:val="en-US"/>
              </w:rPr>
              <w:t xml:space="preserve"> </w:t>
            </w:r>
            <w:r w:rsidR="00F3615B" w:rsidRPr="00323888">
              <w:rPr>
                <w:lang w:val="en-US"/>
              </w:rPr>
              <w:t>August</w:t>
            </w:r>
            <w:r w:rsidR="002C1939" w:rsidRPr="00323888">
              <w:rPr>
                <w:lang w:val="en-US"/>
              </w:rPr>
              <w:t xml:space="preserve"> </w:t>
            </w:r>
            <w:r w:rsidR="003F1AB4" w:rsidRPr="00323888">
              <w:rPr>
                <w:lang w:val="en-US"/>
              </w:rPr>
              <w:t>202</w:t>
            </w:r>
            <w:r w:rsidR="00723A10" w:rsidRPr="00323888">
              <w:rPr>
                <w:lang w:val="en-US"/>
              </w:rPr>
              <w:t>3</w:t>
            </w:r>
          </w:p>
          <w:p w14:paraId="5FF26AE7" w14:textId="77777777" w:rsidR="003F1AB4" w:rsidRPr="00323888" w:rsidRDefault="003F1AB4" w:rsidP="003F1AB4">
            <w:pPr>
              <w:spacing w:line="240" w:lineRule="exact"/>
            </w:pPr>
          </w:p>
          <w:p w14:paraId="71FBFBB4" w14:textId="77777777" w:rsidR="003F1AB4" w:rsidRPr="00323888" w:rsidRDefault="003F1AB4" w:rsidP="003F1AB4">
            <w:pPr>
              <w:spacing w:line="240" w:lineRule="exact"/>
            </w:pPr>
            <w:r w:rsidRPr="00323888">
              <w:t>Original: English</w:t>
            </w:r>
          </w:p>
        </w:tc>
      </w:tr>
    </w:tbl>
    <w:p w14:paraId="32D3E06F" w14:textId="02D961C5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66E7E7D6" w14:textId="77777777" w:rsidR="00723A10" w:rsidRPr="00F61414" w:rsidRDefault="00723A10" w:rsidP="00723A10">
      <w:pPr>
        <w:ind w:right="1134"/>
        <w:rPr>
          <w:b/>
        </w:rPr>
      </w:pPr>
      <w:r w:rsidRPr="00F61414">
        <w:rPr>
          <w:b/>
        </w:rPr>
        <w:t>Eighty-</w:t>
      </w:r>
      <w:r>
        <w:rPr>
          <w:b/>
        </w:rPr>
        <w:t>ninth</w:t>
      </w:r>
      <w:r w:rsidRPr="00F61414">
        <w:rPr>
          <w:b/>
        </w:rPr>
        <w:t xml:space="preserve"> session</w:t>
      </w:r>
    </w:p>
    <w:p w14:paraId="69B5D8C0" w14:textId="77777777" w:rsidR="00723A10" w:rsidRPr="00F61414" w:rsidRDefault="00723A10" w:rsidP="00723A10">
      <w:pPr>
        <w:ind w:right="1134"/>
      </w:pPr>
      <w:r w:rsidRPr="00F61414">
        <w:t xml:space="preserve">Geneva, </w:t>
      </w:r>
      <w:r>
        <w:t xml:space="preserve">24-27 October </w:t>
      </w:r>
      <w:r w:rsidRPr="00F61414">
        <w:t>202</w:t>
      </w:r>
      <w:r>
        <w:t>3</w:t>
      </w:r>
    </w:p>
    <w:p w14:paraId="0049400E" w14:textId="04A11060" w:rsidR="00723A10" w:rsidRPr="00F61414" w:rsidRDefault="00723A10" w:rsidP="00723A10">
      <w:pPr>
        <w:ind w:right="1134"/>
        <w:rPr>
          <w:bCs/>
        </w:rPr>
      </w:pPr>
      <w:r w:rsidRPr="00323888">
        <w:rPr>
          <w:bCs/>
        </w:rPr>
        <w:t xml:space="preserve">Item </w:t>
      </w:r>
      <w:r w:rsidR="00323888" w:rsidRPr="00323888">
        <w:rPr>
          <w:bCs/>
        </w:rPr>
        <w:t>4</w:t>
      </w:r>
      <w:r w:rsidRPr="00323888">
        <w:rPr>
          <w:bCs/>
        </w:rPr>
        <w:t xml:space="preserve"> of</w:t>
      </w:r>
      <w:r w:rsidRPr="00D56693">
        <w:rPr>
          <w:bCs/>
        </w:rPr>
        <w:t xml:space="preserve"> the provisional agenda</w:t>
      </w:r>
    </w:p>
    <w:p w14:paraId="0B5CC20D" w14:textId="7EB4D20B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lighting and light-signalling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5A6D9F51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723A10">
        <w:t xml:space="preserve">Proposal for a Supplement to the </w:t>
      </w:r>
      <w:r w:rsidR="008E25E5">
        <w:t xml:space="preserve">00 and </w:t>
      </w:r>
      <w:r w:rsidR="00165420">
        <w:t>0</w:t>
      </w:r>
      <w:r w:rsidR="00F1313A">
        <w:t xml:space="preserve">1 </w:t>
      </w:r>
      <w:r w:rsidR="00723A10">
        <w:t>series of amendments to UN Regulation No. </w:t>
      </w:r>
      <w:r w:rsidR="00F1313A">
        <w:t>1</w:t>
      </w:r>
      <w:r w:rsidR="001F2D4C">
        <w:t>50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EDEE3F0" w14:textId="780BB203" w:rsidR="00723A10" w:rsidRPr="003F1AB4" w:rsidRDefault="00E317C2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856C69">
        <w:t xml:space="preserve">The text reproduced below was prepared by </w:t>
      </w:r>
      <w:bookmarkStart w:id="0" w:name="_Hlk78276087"/>
      <w:r w:rsidR="003F1AB4">
        <w:t xml:space="preserve">the </w:t>
      </w:r>
      <w:r w:rsidR="003F1AB4" w:rsidRPr="003F1AB4">
        <w:t xml:space="preserve">Informal Working Group on Simplification of Lighting and Light-Signalling Regulations </w:t>
      </w:r>
      <w:r w:rsidR="003F1AB4">
        <w:t>(</w:t>
      </w:r>
      <w:r>
        <w:t>IWG SLR</w:t>
      </w:r>
      <w:r w:rsidR="003F1AB4">
        <w:t>)</w:t>
      </w:r>
      <w:r>
        <w:t xml:space="preserve"> </w:t>
      </w:r>
      <w:bookmarkEnd w:id="0"/>
      <w:r w:rsidRPr="008357CC">
        <w:rPr>
          <w:lang w:val="en-US"/>
        </w:rPr>
        <w:t xml:space="preserve">with the aim </w:t>
      </w:r>
      <w:r w:rsidR="00F1313A">
        <w:rPr>
          <w:lang w:val="en-US"/>
        </w:rPr>
        <w:t xml:space="preserve">to clarify and to correct the text of the </w:t>
      </w:r>
      <w:r w:rsidR="008E25E5">
        <w:rPr>
          <w:lang w:val="en-US"/>
        </w:rPr>
        <w:t xml:space="preserve">00 and </w:t>
      </w:r>
      <w:r w:rsidR="00F1313A">
        <w:rPr>
          <w:lang w:val="en-US"/>
        </w:rPr>
        <w:t xml:space="preserve">01 series of amendments </w:t>
      </w:r>
      <w:r w:rsidR="00F1313A">
        <w:t>to</w:t>
      </w:r>
      <w:r w:rsidR="00F1313A">
        <w:rPr>
          <w:lang w:val="en-US"/>
        </w:rPr>
        <w:t xml:space="preserve"> UN Regulation No.</w:t>
      </w:r>
      <w:r w:rsidR="008E25E5">
        <w:rPr>
          <w:lang w:val="en-US"/>
        </w:rPr>
        <w:t> </w:t>
      </w:r>
      <w:r w:rsidR="00F1313A">
        <w:rPr>
          <w:lang w:val="en-US"/>
        </w:rPr>
        <w:t>1</w:t>
      </w:r>
      <w:r w:rsidR="001F2D4C">
        <w:rPr>
          <w:lang w:val="en-US"/>
        </w:rPr>
        <w:t>50</w:t>
      </w:r>
      <w:r w:rsidR="006D181F">
        <w:rPr>
          <w:lang w:val="en-US"/>
        </w:rPr>
        <w:t>.</w:t>
      </w:r>
      <w:r w:rsidR="00F1313A">
        <w:rPr>
          <w:lang w:val="en-US"/>
        </w:rPr>
        <w:t xml:space="preserve"> </w:t>
      </w:r>
      <w:r w:rsidR="00723A10" w:rsidRPr="00AA18F7">
        <w:t>The</w:t>
      </w:r>
      <w:r w:rsidR="00723A10">
        <w:t xml:space="preserve"> proposed</w:t>
      </w:r>
      <w:r w:rsidR="00723A10" w:rsidRPr="00AA18F7">
        <w:t xml:space="preserve"> modifications to the current text of the </w:t>
      </w:r>
      <w:r w:rsidR="00723A10">
        <w:t xml:space="preserve">UN </w:t>
      </w:r>
      <w:r w:rsidR="00723A10" w:rsidRPr="00AA18F7">
        <w:t>Regulation</w:t>
      </w:r>
      <w:r w:rsidR="00723A10">
        <w:t>s</w:t>
      </w:r>
      <w:r w:rsidR="00723A10" w:rsidRPr="00AA18F7">
        <w:t xml:space="preserve"> are marked in bold for new or strikethrough for deleted characters</w:t>
      </w:r>
      <w:r w:rsidR="00723A10">
        <w:t>.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6036B85" w14:textId="5FE578BF" w:rsidR="00164C92" w:rsidRPr="00CB28A9" w:rsidRDefault="00164C92" w:rsidP="00164C92">
      <w:pPr>
        <w:pStyle w:val="H1G"/>
        <w:ind w:hanging="425"/>
        <w:jc w:val="both"/>
      </w:pPr>
      <w:r>
        <w:rPr>
          <w:rFonts w:eastAsia="SimSun"/>
        </w:rPr>
        <w:t>A.</w:t>
      </w:r>
      <w:r>
        <w:rPr>
          <w:rFonts w:eastAsia="SimSun"/>
        </w:rPr>
        <w:tab/>
        <w:t>Proposal for a Supplement to the 00 series of amendments to UN Regulation No. 1</w:t>
      </w:r>
      <w:r w:rsidR="001F2D4C">
        <w:rPr>
          <w:rFonts w:eastAsia="SimSun"/>
        </w:rPr>
        <w:t>50</w:t>
      </w:r>
    </w:p>
    <w:p w14:paraId="18A10788" w14:textId="77777777" w:rsidR="00277A48" w:rsidRDefault="007C29E8" w:rsidP="00746993">
      <w:pPr>
        <w:spacing w:after="120"/>
        <w:ind w:left="2268" w:right="1134" w:hanging="1134"/>
        <w:rPr>
          <w:i/>
          <w:iCs/>
        </w:rPr>
      </w:pPr>
      <w:r w:rsidRPr="007C29E8">
        <w:rPr>
          <w:i/>
        </w:rPr>
        <w:t>Annex</w:t>
      </w:r>
      <w:r>
        <w:rPr>
          <w:i/>
          <w:iCs/>
        </w:rPr>
        <w:t xml:space="preserve"> 5</w:t>
      </w:r>
      <w:r w:rsidR="00746993">
        <w:rPr>
          <w:i/>
          <w:iCs/>
        </w:rPr>
        <w:t xml:space="preserve">, </w:t>
      </w:r>
    </w:p>
    <w:p w14:paraId="56DDC530" w14:textId="50E4115A" w:rsidR="007C29E8" w:rsidRDefault="00277A48" w:rsidP="00746993">
      <w:pPr>
        <w:spacing w:after="120"/>
        <w:ind w:left="2268" w:right="1134" w:hanging="1134"/>
      </w:pPr>
      <w:r>
        <w:rPr>
          <w:i/>
          <w:iCs/>
        </w:rPr>
        <w:t>P</w:t>
      </w:r>
      <w:r w:rsidR="007C29E8">
        <w:rPr>
          <w:i/>
          <w:iCs/>
        </w:rPr>
        <w:t>aragraph 7.3.</w:t>
      </w:r>
      <w:r w:rsidR="007C29E8">
        <w:t>, amend to read:</w:t>
      </w:r>
    </w:p>
    <w:p w14:paraId="55EB11F2" w14:textId="77777777" w:rsidR="007C29E8" w:rsidRPr="00C64DE4" w:rsidRDefault="007C29E8" w:rsidP="007C29E8">
      <w:pPr>
        <w:tabs>
          <w:tab w:val="left" w:pos="-867"/>
        </w:tabs>
        <w:spacing w:after="120"/>
        <w:ind w:left="2268" w:right="1134" w:hanging="1134"/>
        <w:jc w:val="both"/>
      </w:pPr>
      <w:r>
        <w:t>“7.3.</w:t>
      </w:r>
      <w:r>
        <w:tab/>
      </w:r>
      <w:r w:rsidRPr="00C64DE4">
        <w:t>Dimensions</w:t>
      </w:r>
    </w:p>
    <w:p w14:paraId="361C4E80" w14:textId="77777777" w:rsidR="007C29E8" w:rsidRDefault="007C29E8" w:rsidP="007C29E8">
      <w:pPr>
        <w:spacing w:after="120"/>
        <w:ind w:left="2268" w:right="1134" w:hanging="1134"/>
        <w:jc w:val="both"/>
        <w:rPr>
          <w:lang w:val="en-US" w:eastAsia="ja-JP"/>
        </w:rPr>
      </w:pPr>
      <w:r w:rsidRPr="00C64DE4">
        <w:tab/>
        <w:t>The length of the base of the enclosed fluorescent triangle (class 1) or retro-reflectiv</w:t>
      </w:r>
      <w:r>
        <w:t xml:space="preserve">e triangle (class 2) shall be: </w:t>
      </w:r>
      <w:r w:rsidRPr="00C64DE4">
        <w:t>min</w:t>
      </w:r>
      <w:r>
        <w:t>imum 350 mm and maximum 365 mm.</w:t>
      </w:r>
      <w:r w:rsidRPr="00C64DE4">
        <w:t xml:space="preserve"> The minimum width of the light-emitting surface of the red retro-reflective border shall be 4</w:t>
      </w:r>
      <w:r>
        <w:t>5 mm</w:t>
      </w:r>
      <w:r w:rsidRPr="00164864">
        <w:t xml:space="preserve">, the </w:t>
      </w:r>
      <w:r w:rsidRPr="009016FE">
        <w:t xml:space="preserve">maximum width 48 mm. These features are illustrated in the example of </w:t>
      </w:r>
      <w:r w:rsidRPr="009016FE">
        <w:rPr>
          <w:lang w:val="en-US" w:eastAsia="ja-JP"/>
        </w:rPr>
        <w:t xml:space="preserve">Figure </w:t>
      </w:r>
      <w:r w:rsidRPr="009016FE">
        <w:rPr>
          <w:strike/>
          <w:lang w:val="en-US" w:eastAsia="ja-JP"/>
        </w:rPr>
        <w:t>A5-VI</w:t>
      </w:r>
      <w:r w:rsidRPr="009016FE">
        <w:rPr>
          <w:rStyle w:val="CommentReference"/>
          <w:sz w:val="20"/>
        </w:rPr>
        <w:t xml:space="preserve"> </w:t>
      </w:r>
      <w:r w:rsidRPr="009016FE">
        <w:rPr>
          <w:rStyle w:val="CommentReference"/>
          <w:b/>
          <w:bCs/>
          <w:sz w:val="20"/>
        </w:rPr>
        <w:t>A5-VII</w:t>
      </w:r>
      <w:r w:rsidRPr="009016FE">
        <w:rPr>
          <w:lang w:val="en-US" w:eastAsia="ja-JP"/>
        </w:rPr>
        <w:t>.”</w:t>
      </w:r>
    </w:p>
    <w:p w14:paraId="3F563903" w14:textId="77777777" w:rsidR="007C29E8" w:rsidRDefault="007C29E8" w:rsidP="007C29E8">
      <w:pPr>
        <w:spacing w:after="120"/>
        <w:ind w:left="2268" w:right="1134" w:hanging="1134"/>
        <w:rPr>
          <w:i/>
        </w:rPr>
      </w:pPr>
      <w:r w:rsidRPr="00965EB5">
        <w:rPr>
          <w:i/>
        </w:rPr>
        <w:t>Figure A5-VI</w:t>
      </w:r>
      <w:r>
        <w:rPr>
          <w:i/>
        </w:rPr>
        <w:t xml:space="preserve"> </w:t>
      </w:r>
      <w:bookmarkStart w:id="2" w:name="_Hlk138752204"/>
      <w:r>
        <w:rPr>
          <w:i/>
        </w:rPr>
        <w:t>“</w:t>
      </w:r>
      <w:r w:rsidRPr="00965EB5">
        <w:rPr>
          <w:i/>
        </w:rPr>
        <w:t>Example of a slow-moving vehicle plate</w:t>
      </w:r>
      <w:r>
        <w:rPr>
          <w:i/>
        </w:rPr>
        <w:t>”</w:t>
      </w:r>
      <w:bookmarkEnd w:id="2"/>
      <w:r w:rsidRPr="00965EB5">
        <w:rPr>
          <w:iCs/>
        </w:rPr>
        <w:t>, amend to read:</w:t>
      </w:r>
    </w:p>
    <w:p w14:paraId="69D60DEA" w14:textId="77777777" w:rsidR="007C29E8" w:rsidRDefault="007C29E8" w:rsidP="007C29E8">
      <w:pPr>
        <w:pStyle w:val="Heading1"/>
        <w:ind w:left="1134"/>
      </w:pPr>
      <w:r>
        <w:t>“Figure A5-</w:t>
      </w:r>
      <w:r w:rsidRPr="00200B96">
        <w:rPr>
          <w:b/>
          <w:bCs/>
        </w:rPr>
        <w:t>VII</w:t>
      </w:r>
    </w:p>
    <w:p w14:paraId="53E0C471" w14:textId="77777777" w:rsidR="007C29E8" w:rsidRDefault="007C29E8" w:rsidP="007C29E8">
      <w:pPr>
        <w:spacing w:after="120"/>
        <w:ind w:left="2268" w:right="1134" w:hanging="1134"/>
        <w:rPr>
          <w:b/>
          <w:bCs/>
        </w:rPr>
      </w:pPr>
      <w:r>
        <w:rPr>
          <w:b/>
          <w:bCs/>
        </w:rPr>
        <w:t>Example of a slow-moving vehicle plate</w:t>
      </w:r>
    </w:p>
    <w:p w14:paraId="70DCF53F" w14:textId="77777777" w:rsidR="007C29E8" w:rsidRDefault="007C29E8" w:rsidP="007C29E8">
      <w:pPr>
        <w:spacing w:after="120"/>
        <w:ind w:left="2268" w:right="1134" w:hanging="1134"/>
        <w:rPr>
          <w:iCs/>
        </w:rPr>
      </w:pPr>
      <w:r w:rsidRPr="00965EB5">
        <w:rPr>
          <w:noProof/>
        </w:rPr>
        <w:drawing>
          <wp:inline distT="0" distB="0" distL="0" distR="0" wp14:anchorId="4C193F0B" wp14:editId="2D153B18">
            <wp:extent cx="4743450" cy="2771249"/>
            <wp:effectExtent l="0" t="0" r="0" b="0"/>
            <wp:docPr id="152484314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02" b="1708"/>
                    <a:stretch/>
                  </pic:blipFill>
                  <pic:spPr bwMode="auto">
                    <a:xfrm>
                      <a:off x="0" y="0"/>
                      <a:ext cx="4743450" cy="27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955B0" w14:textId="77777777" w:rsidR="007C29E8" w:rsidRDefault="007C29E8" w:rsidP="007C29E8">
      <w:pPr>
        <w:spacing w:after="120"/>
        <w:ind w:left="2268" w:right="1134" w:hanging="1134"/>
        <w:jc w:val="right"/>
        <w:rPr>
          <w:iCs/>
        </w:rPr>
      </w:pPr>
      <w:r>
        <w:rPr>
          <w:iCs/>
        </w:rPr>
        <w:t>”</w:t>
      </w:r>
    </w:p>
    <w:p w14:paraId="6CA055FB" w14:textId="202E30BA" w:rsidR="00164C92" w:rsidRPr="00CB28A9" w:rsidRDefault="00164C92" w:rsidP="00164C92">
      <w:pPr>
        <w:pStyle w:val="H1G"/>
        <w:ind w:hanging="425"/>
        <w:jc w:val="both"/>
      </w:pPr>
      <w:r>
        <w:rPr>
          <w:rFonts w:eastAsia="SimSun"/>
        </w:rPr>
        <w:t>B.</w:t>
      </w:r>
      <w:r>
        <w:rPr>
          <w:rFonts w:eastAsia="SimSun"/>
        </w:rPr>
        <w:tab/>
        <w:t>Proposal for a Supplement to the 01 series of amendments to UN Regulation No. 1</w:t>
      </w:r>
      <w:r w:rsidR="007C29E8">
        <w:rPr>
          <w:rFonts w:eastAsia="SimSun"/>
        </w:rPr>
        <w:t>50</w:t>
      </w:r>
    </w:p>
    <w:p w14:paraId="22CC5881" w14:textId="49E3885C" w:rsidR="009E2F50" w:rsidRDefault="009E2F50" w:rsidP="009E2F50">
      <w:pPr>
        <w:spacing w:after="120"/>
        <w:ind w:left="2268" w:right="1134" w:hanging="1134"/>
      </w:pPr>
      <w:r>
        <w:rPr>
          <w:i/>
          <w:iCs/>
        </w:rPr>
        <w:t>Table 6</w:t>
      </w:r>
      <w:r>
        <w:t>, amend to read:</w:t>
      </w:r>
    </w:p>
    <w:p w14:paraId="123E2E46" w14:textId="77777777" w:rsidR="009E2F50" w:rsidRPr="00F32138" w:rsidRDefault="009E2F50" w:rsidP="009E2F50">
      <w:pPr>
        <w:pStyle w:val="NoSpacing"/>
        <w:ind w:left="2268"/>
        <w:rPr>
          <w:b/>
          <w:bCs/>
        </w:rPr>
      </w:pPr>
      <w:r>
        <w:t>“</w:t>
      </w:r>
      <w:r w:rsidRPr="00F32138">
        <w:t>Table 6</w:t>
      </w:r>
    </w:p>
    <w:p w14:paraId="7681FE21" w14:textId="77777777" w:rsidR="009E2F50" w:rsidRPr="0099742A" w:rsidRDefault="009E2F50" w:rsidP="009E2F50">
      <w:pPr>
        <w:pStyle w:val="NoSpacing"/>
        <w:spacing w:after="120"/>
        <w:ind w:left="2268" w:right="1133"/>
        <w:rPr>
          <w:b/>
          <w:bCs/>
        </w:rPr>
      </w:pPr>
      <w:r w:rsidRPr="0099742A">
        <w:rPr>
          <w:b/>
          <w:bCs/>
        </w:rPr>
        <w:t>Minimum values for the Coefficient of Retro-reflection R</w:t>
      </w:r>
      <w:r w:rsidRPr="0099742A">
        <w:rPr>
          <w:b/>
          <w:bCs/>
          <w:vertAlign w:val="subscript"/>
        </w:rPr>
        <w:t>A</w:t>
      </w:r>
    </w:p>
    <w:tbl>
      <w:tblPr>
        <w:tblW w:w="6662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04"/>
        <w:gridCol w:w="705"/>
        <w:gridCol w:w="697"/>
        <w:gridCol w:w="705"/>
        <w:gridCol w:w="827"/>
        <w:gridCol w:w="590"/>
      </w:tblGrid>
      <w:tr w:rsidR="009E2F50" w:rsidRPr="00B44392" w14:paraId="52BD1D10" w14:textId="77777777" w:rsidTr="004F41B9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BDC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 xml:space="preserve">Observation angle 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α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 xml:space="preserve"> [º] 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α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>=0.33(20’)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B23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>Minimum values for the Coefficient of Retro-reflection R</w:t>
            </w:r>
            <w:r w:rsidRPr="00B44392">
              <w:rPr>
                <w:b/>
                <w:bCs/>
                <w:i/>
                <w:iCs/>
                <w:sz w:val="16"/>
                <w:szCs w:val="16"/>
                <w:vertAlign w:val="subscript"/>
                <w:lang w:val="en-US" w:eastAsia="de-DE"/>
              </w:rPr>
              <w:t>A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 xml:space="preserve"> in cd∙m</w:t>
            </w:r>
            <w:r w:rsidRPr="00B44392">
              <w:rPr>
                <w:b/>
                <w:bCs/>
                <w:i/>
                <w:iCs/>
                <w:sz w:val="16"/>
                <w:szCs w:val="16"/>
                <w:vertAlign w:val="superscript"/>
                <w:lang w:val="en-US" w:eastAsia="de-DE"/>
              </w:rPr>
              <w:t>-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>²∙lx</w:t>
            </w:r>
            <w:r w:rsidRPr="00B44392">
              <w:rPr>
                <w:b/>
                <w:bCs/>
                <w:i/>
                <w:iCs/>
                <w:sz w:val="16"/>
                <w:szCs w:val="16"/>
                <w:vertAlign w:val="superscript"/>
                <w:lang w:val="en-US" w:eastAsia="de-DE"/>
              </w:rPr>
              <w:t>-1</w:t>
            </w:r>
          </w:p>
        </w:tc>
      </w:tr>
      <w:tr w:rsidR="009E2F50" w:rsidRPr="00B44392" w14:paraId="2FF0C909" w14:textId="77777777" w:rsidTr="004F41B9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65D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Entrance Angle β [º]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8AC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Vertical β1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FD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3F8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491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F7D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CD1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</w:tr>
      <w:tr w:rsidR="009E2F50" w:rsidRPr="00B44392" w14:paraId="3D43E1ED" w14:textId="77777777" w:rsidTr="004F41B9">
        <w:trPr>
          <w:trHeight w:val="2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D2288" w14:textId="77777777" w:rsidR="009E2F50" w:rsidRPr="00B44392" w:rsidRDefault="009E2F50" w:rsidP="004F41B9">
            <w:pPr>
              <w:spacing w:line="240" w:lineRule="auto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116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Horizontal β2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658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5°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9C0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20°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749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30°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31DE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40°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67E" w14:textId="77777777" w:rsidR="009E2F50" w:rsidRPr="00B44392" w:rsidRDefault="009E2F50" w:rsidP="004F41B9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60°</w:t>
            </w:r>
          </w:p>
        </w:tc>
      </w:tr>
      <w:tr w:rsidR="009E2F50" w14:paraId="231E9452" w14:textId="77777777" w:rsidTr="004F41B9">
        <w:trPr>
          <w:trHeight w:val="29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834" w14:textId="77777777" w:rsidR="009E2F50" w:rsidRPr="00DF7E09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 C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B3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Yellow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AA6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3.00∙10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F99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A64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1.30∙10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E95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7.5∙10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31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9E2F50" w14:paraId="5F1148E9" w14:textId="77777777" w:rsidTr="004F41B9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CC0D" w14:textId="77777777" w:rsidR="009E2F50" w:rsidRPr="00DF7E09" w:rsidRDefault="009E2F50" w:rsidP="004F41B9">
            <w:pPr>
              <w:spacing w:line="240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CC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White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0F84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4.50∙10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F2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859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2.00∙10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737D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9.5∙10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3E20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1.6∙10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9E2F50" w14:paraId="207F48D0" w14:textId="77777777" w:rsidTr="004F41B9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F314" w14:textId="77777777" w:rsidR="009E2F50" w:rsidRPr="00DF7E09" w:rsidRDefault="009E2F50" w:rsidP="004F41B9">
            <w:pPr>
              <w:spacing w:line="240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757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Red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C9D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4BDE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6.0∙10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4C67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392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EDF2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</w:tr>
      <w:tr w:rsidR="009E2F50" w14:paraId="0BCC6115" w14:textId="77777777" w:rsidTr="004F41B9">
        <w:trPr>
          <w:trHeight w:val="2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C9E" w14:textId="77777777" w:rsidR="009E2F50" w:rsidRPr="00DF7E09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 F, 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70F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White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63D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4.50∙10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93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E22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2.00∙10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65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9.5∙10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4B5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1.6∙10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9E2F50" w14:paraId="619872AB" w14:textId="77777777" w:rsidTr="004F41B9">
        <w:trPr>
          <w:trHeight w:val="3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277D" w14:textId="77777777" w:rsidR="009E2F50" w:rsidRPr="00DF7E09" w:rsidRDefault="009E2F50" w:rsidP="004F41B9">
            <w:pPr>
              <w:spacing w:line="240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D7A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Red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DB6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12B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559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25F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497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  <w:r>
              <w:rPr>
                <w:sz w:val="16"/>
                <w:szCs w:val="16"/>
                <w:lang w:eastAsia="de-DE"/>
              </w:rPr>
              <w:t>-</w:t>
            </w:r>
          </w:p>
        </w:tc>
      </w:tr>
      <w:tr w:rsidR="009E2F50" w14:paraId="26CEA8B9" w14:textId="77777777" w:rsidTr="004F41B9">
        <w:trPr>
          <w:trHeight w:val="2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4B4" w14:textId="77777777" w:rsidR="009E2F50" w:rsidRPr="00DF7E09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 1, 2, 3, 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D85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Yellow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E93F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3.00∙10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C829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887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1.80∙10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1A5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7.5∙10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F2D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9E2F50" w14:paraId="019872D1" w14:textId="77777777" w:rsidTr="004F41B9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D99" w14:textId="77777777" w:rsidR="009E2F50" w:rsidRPr="00DF7E09" w:rsidRDefault="009E2F50" w:rsidP="004F41B9">
            <w:pPr>
              <w:spacing w:line="240" w:lineRule="auto"/>
              <w:rPr>
                <w:sz w:val="16"/>
                <w:szCs w:val="16"/>
                <w:lang w:eastAsia="de-D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3FDB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Red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643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326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78E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8C1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99C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</w:tr>
      <w:tr w:rsidR="009E2F50" w14:paraId="0D9B72BB" w14:textId="77777777" w:rsidTr="004F41B9">
        <w:trPr>
          <w:trHeight w:val="2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77CB" w14:textId="77777777" w:rsidR="009E2F50" w:rsidRPr="00DF7E09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 SMV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59B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val="en-US" w:eastAsia="de-DE"/>
              </w:rPr>
            </w:pPr>
            <w:r>
              <w:rPr>
                <w:sz w:val="16"/>
                <w:szCs w:val="16"/>
                <w:lang w:val="en-US" w:eastAsia="de-DE"/>
              </w:rPr>
              <w:t>Red of the outer border (class 1, 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EF7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388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6.0∙10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563" w14:textId="77777777" w:rsidR="009E2F50" w:rsidRPr="00040B59" w:rsidRDefault="009E2F50" w:rsidP="004F41B9">
            <w:pPr>
              <w:spacing w:line="240" w:lineRule="auto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6.0∙10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</w:p>
          <w:p w14:paraId="0FF2EFE8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3.0∙10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20F" w14:textId="77777777" w:rsidR="009E2F50" w:rsidRPr="00040B59" w:rsidRDefault="009E2F50" w:rsidP="004F41B9">
            <w:pPr>
              <w:spacing w:line="240" w:lineRule="auto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3.0∙10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</w:p>
          <w:p w14:paraId="3BC0BDEE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1.0∙10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D43" w14:textId="77777777" w:rsidR="009E2F50" w:rsidRPr="00040B59" w:rsidRDefault="009E2F50" w:rsidP="004F41B9">
            <w:pPr>
              <w:spacing w:line="240" w:lineRule="auto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1.0∙10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</w:p>
          <w:p w14:paraId="65C69051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--</w:t>
            </w:r>
          </w:p>
        </w:tc>
      </w:tr>
      <w:tr w:rsidR="009E2F50" w14:paraId="68575ECC" w14:textId="77777777" w:rsidTr="004F41B9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3AB7" w14:textId="77777777" w:rsidR="009E2F50" w:rsidRDefault="009E2F50" w:rsidP="004F41B9">
            <w:pPr>
              <w:spacing w:line="240" w:lineRule="auto"/>
              <w:rPr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C9A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val="en-US" w:eastAsia="de-DE"/>
              </w:rPr>
            </w:pPr>
            <w:r>
              <w:rPr>
                <w:sz w:val="16"/>
                <w:szCs w:val="16"/>
                <w:lang w:val="en-US" w:eastAsia="de-DE"/>
              </w:rPr>
              <w:t>Red of the enclosed triangle (class 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8350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1.0∙10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3B6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7∙10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A2E" w14:textId="77777777" w:rsidR="009E2F50" w:rsidRPr="00040B59" w:rsidRDefault="009E2F50" w:rsidP="004F41B9">
            <w:pPr>
              <w:spacing w:line="240" w:lineRule="auto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7∙10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0</w:t>
            </w:r>
          </w:p>
          <w:p w14:paraId="67A0211D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4∙10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D8A" w14:textId="77777777" w:rsidR="009E2F50" w:rsidRPr="00040B59" w:rsidRDefault="009E2F50" w:rsidP="004F41B9">
            <w:pPr>
              <w:spacing w:line="240" w:lineRule="auto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4∙10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0</w:t>
            </w:r>
          </w:p>
          <w:p w14:paraId="33FC8F1B" w14:textId="77777777" w:rsidR="009E2F50" w:rsidRPr="00040B59" w:rsidRDefault="009E2F50" w:rsidP="004F41B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C95" w14:textId="77777777" w:rsidR="009E2F50" w:rsidRDefault="009E2F50" w:rsidP="004F41B9">
            <w:pPr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</w:tr>
    </w:tbl>
    <w:p w14:paraId="7ADC9CE2" w14:textId="77777777" w:rsidR="009E2F50" w:rsidRDefault="009E2F50" w:rsidP="009E2F50">
      <w:pPr>
        <w:widowControl w:val="0"/>
        <w:spacing w:before="120" w:after="120"/>
        <w:ind w:left="1843" w:right="1134"/>
        <w:jc w:val="both"/>
      </w:pPr>
      <w:r w:rsidRPr="00746993">
        <w:rPr>
          <w:i/>
          <w:iCs/>
          <w:sz w:val="18"/>
          <w:szCs w:val="18"/>
        </w:rPr>
        <w:t>Note</w:t>
      </w:r>
      <w:r w:rsidRPr="00746993">
        <w:rPr>
          <w:sz w:val="18"/>
          <w:szCs w:val="18"/>
        </w:rPr>
        <w:t>:</w:t>
      </w:r>
      <w:r w:rsidRPr="00746993">
        <w:rPr>
          <w:sz w:val="18"/>
          <w:szCs w:val="18"/>
        </w:rPr>
        <w:tab/>
        <w:t>If the sample is provided with an orientation mark, the specified values must only be observed for this orientation. Test samples without an orientation mark must be observed for values at 0</w:t>
      </w:r>
      <w:r w:rsidRPr="00746993">
        <w:rPr>
          <w:sz w:val="18"/>
          <w:szCs w:val="18"/>
        </w:rPr>
        <w:sym w:font="Symbol" w:char="F0B0"/>
      </w:r>
      <w:r w:rsidRPr="00746993">
        <w:rPr>
          <w:sz w:val="18"/>
          <w:szCs w:val="18"/>
        </w:rPr>
        <w:t xml:space="preserve"> and 90</w:t>
      </w:r>
      <w:r w:rsidRPr="00746993">
        <w:rPr>
          <w:sz w:val="18"/>
          <w:szCs w:val="18"/>
        </w:rPr>
        <w:sym w:font="Symbol" w:char="F0B0"/>
      </w:r>
      <w:r w:rsidRPr="00746993">
        <w:rPr>
          <w:sz w:val="18"/>
          <w:szCs w:val="18"/>
        </w:rPr>
        <w:t xml:space="preserve"> orientations as well</w:t>
      </w:r>
      <w:r>
        <w:t>.”</w:t>
      </w:r>
    </w:p>
    <w:p w14:paraId="1BFB3A8E" w14:textId="5632ACE9" w:rsidR="00495705" w:rsidRPr="00495705" w:rsidRDefault="00495705" w:rsidP="00746993">
      <w:pPr>
        <w:spacing w:after="120"/>
        <w:ind w:left="2268" w:right="1134" w:hanging="1134"/>
      </w:pPr>
      <w:r w:rsidRPr="00495705">
        <w:rPr>
          <w:i/>
          <w:iCs/>
        </w:rPr>
        <w:t>Annex 1</w:t>
      </w:r>
      <w:r w:rsidR="00746993">
        <w:rPr>
          <w:i/>
          <w:iCs/>
        </w:rPr>
        <w:t>, i</w:t>
      </w:r>
      <w:r w:rsidRPr="00495705">
        <w:rPr>
          <w:i/>
          <w:iCs/>
        </w:rPr>
        <w:t xml:space="preserve">tem 9, </w:t>
      </w:r>
      <w:r w:rsidRPr="00495705">
        <w:t>amend to read:</w:t>
      </w:r>
    </w:p>
    <w:p w14:paraId="10021A1A" w14:textId="77777777" w:rsidR="00495705" w:rsidRPr="00495705" w:rsidRDefault="00495705" w:rsidP="00495705">
      <w:pPr>
        <w:spacing w:line="240" w:lineRule="auto"/>
        <w:ind w:left="2268" w:right="1134" w:hanging="1134"/>
        <w:rPr>
          <w:strike/>
          <w:color w:val="000000"/>
        </w:rPr>
      </w:pPr>
      <w:r w:rsidRPr="00495705">
        <w:rPr>
          <w:b/>
          <w:bCs/>
          <w:color w:val="000000"/>
        </w:rPr>
        <w:t>“</w:t>
      </w:r>
      <w:r w:rsidRPr="00495705">
        <w:rPr>
          <w:color w:val="000000"/>
        </w:rPr>
        <w:t>9.</w:t>
      </w:r>
      <w:r w:rsidRPr="00495705">
        <w:rPr>
          <w:color w:val="000000"/>
        </w:rPr>
        <w:tab/>
      </w:r>
      <w:r w:rsidRPr="00495705">
        <w:rPr>
          <w:strike/>
          <w:color w:val="000000"/>
        </w:rPr>
        <w:t>Remarks:</w:t>
      </w:r>
    </w:p>
    <w:p w14:paraId="3BB019FB" w14:textId="77777777" w:rsidR="00495705" w:rsidRPr="00495705" w:rsidRDefault="00495705" w:rsidP="00495705">
      <w:pPr>
        <w:pStyle w:val="Annex1"/>
        <w:tabs>
          <w:tab w:val="clear" w:pos="1700"/>
          <w:tab w:val="clear" w:pos="8505"/>
        </w:tabs>
        <w:ind w:firstLine="0"/>
        <w:rPr>
          <w:b/>
        </w:rPr>
      </w:pPr>
      <w:r w:rsidRPr="00495705">
        <w:rPr>
          <w:b/>
        </w:rPr>
        <w:t>Concise description:</w:t>
      </w:r>
    </w:p>
    <w:p w14:paraId="6DE19769" w14:textId="77777777" w:rsidR="00495705" w:rsidRPr="00495705" w:rsidRDefault="00495705" w:rsidP="00495705">
      <w:pPr>
        <w:pStyle w:val="Annex1"/>
        <w:tabs>
          <w:tab w:val="clear" w:pos="1700"/>
          <w:tab w:val="clear" w:pos="8505"/>
        </w:tabs>
        <w:ind w:firstLine="0"/>
        <w:rPr>
          <w:b/>
        </w:rPr>
      </w:pPr>
      <w:r w:rsidRPr="00495705">
        <w:rPr>
          <w:b/>
        </w:rPr>
        <w:t>In isolation/part of an assembly of devices:</w:t>
      </w:r>
      <w:r w:rsidRPr="00495705">
        <w:rPr>
          <w:b/>
          <w:bCs/>
          <w:color w:val="000000"/>
          <w:vertAlign w:val="superscript"/>
        </w:rPr>
        <w:t xml:space="preserve"> 2</w:t>
      </w:r>
      <w:r w:rsidRPr="00495705">
        <w:rPr>
          <w:b/>
        </w:rPr>
        <w:t xml:space="preserve"> .................................................</w:t>
      </w:r>
    </w:p>
    <w:p w14:paraId="027A8033" w14:textId="77777777" w:rsidR="00495705" w:rsidRPr="00495705" w:rsidRDefault="00495705" w:rsidP="00495705">
      <w:pPr>
        <w:pStyle w:val="Annex1"/>
        <w:tabs>
          <w:tab w:val="clear" w:pos="1700"/>
          <w:tab w:val="clear" w:pos="8505"/>
        </w:tabs>
        <w:ind w:firstLine="0"/>
        <w:rPr>
          <w:b/>
        </w:rPr>
      </w:pPr>
      <w:r w:rsidRPr="00495705">
        <w:rPr>
          <w:b/>
        </w:rPr>
        <w:t>Colour of light emitted: white/red/amber:</w:t>
      </w:r>
      <w:r w:rsidRPr="00495705">
        <w:rPr>
          <w:b/>
          <w:bCs/>
          <w:color w:val="000000"/>
          <w:vertAlign w:val="superscript"/>
        </w:rPr>
        <w:t xml:space="preserve"> 2</w:t>
      </w:r>
      <w:r w:rsidRPr="00495705">
        <w:rPr>
          <w:b/>
        </w:rPr>
        <w:t xml:space="preserve"> ..................................................</w:t>
      </w:r>
    </w:p>
    <w:p w14:paraId="3094CB1E" w14:textId="26F09007" w:rsidR="00495705" w:rsidRPr="00495705" w:rsidRDefault="00495705" w:rsidP="00495705">
      <w:pPr>
        <w:pStyle w:val="Annex1"/>
        <w:tabs>
          <w:tab w:val="clear" w:pos="1700"/>
          <w:tab w:val="clear" w:pos="8505"/>
        </w:tabs>
        <w:ind w:firstLine="0"/>
        <w:rPr>
          <w:b/>
        </w:rPr>
      </w:pPr>
      <w:r w:rsidRPr="00495705">
        <w:rPr>
          <w:b/>
        </w:rPr>
        <w:t>Installation as an integral part of a lamp, which is integrated into the body of a vehicle:</w:t>
      </w:r>
      <w:r w:rsidR="00B317D6">
        <w:rPr>
          <w:b/>
        </w:rPr>
        <w:t xml:space="preserve">   </w:t>
      </w:r>
      <w:r w:rsidRPr="00495705">
        <w:rPr>
          <w:b/>
        </w:rPr>
        <w:t xml:space="preserve"> yes/no</w:t>
      </w:r>
      <w:r w:rsidRPr="00495705">
        <w:rPr>
          <w:b/>
          <w:bCs/>
          <w:color w:val="000000"/>
          <w:vertAlign w:val="superscript"/>
        </w:rPr>
        <w:t>2</w:t>
      </w:r>
    </w:p>
    <w:p w14:paraId="57410648" w14:textId="77777777" w:rsidR="00495705" w:rsidRPr="00495705" w:rsidRDefault="00495705" w:rsidP="00495705">
      <w:pPr>
        <w:pStyle w:val="Annex1"/>
        <w:tabs>
          <w:tab w:val="clear" w:pos="1700"/>
          <w:tab w:val="clear" w:pos="8505"/>
        </w:tabs>
        <w:ind w:firstLine="0"/>
        <w:rPr>
          <w:b/>
        </w:rPr>
      </w:pPr>
      <w:r w:rsidRPr="00495705">
        <w:rPr>
          <w:b/>
        </w:rPr>
        <w:t>Geometric conditions of installation and relating variations, if any: ........</w:t>
      </w:r>
    </w:p>
    <w:p w14:paraId="749AD477" w14:textId="195BA46F" w:rsidR="00495705" w:rsidRPr="00495705" w:rsidRDefault="00495705" w:rsidP="00495705">
      <w:pPr>
        <w:pStyle w:val="Annex1"/>
        <w:tabs>
          <w:tab w:val="clear" w:pos="1700"/>
          <w:tab w:val="clear" w:pos="8505"/>
        </w:tabs>
        <w:ind w:firstLine="0"/>
      </w:pPr>
      <w:r w:rsidRPr="00495705">
        <w:rPr>
          <w:b/>
        </w:rPr>
        <w:t>Only for</w:t>
      </w:r>
      <w:r w:rsidRPr="00495705">
        <w:rPr>
          <w:b/>
          <w:bCs/>
          <w:color w:val="000000"/>
        </w:rPr>
        <w:t xml:space="preserve"> limited mounting height of equal to or less than 750 mm above the ground: </w:t>
      </w:r>
      <w:r w:rsidR="00B317D6">
        <w:rPr>
          <w:b/>
          <w:bCs/>
          <w:color w:val="000000"/>
        </w:rPr>
        <w:t xml:space="preserve">   </w:t>
      </w:r>
      <w:r w:rsidRPr="00495705">
        <w:rPr>
          <w:b/>
          <w:bCs/>
          <w:color w:val="000000"/>
        </w:rPr>
        <w:t>yes/no</w:t>
      </w:r>
      <w:r w:rsidRPr="00495705">
        <w:rPr>
          <w:b/>
          <w:bCs/>
          <w:color w:val="000000"/>
          <w:vertAlign w:val="superscript"/>
        </w:rPr>
        <w:t>2</w:t>
      </w:r>
      <w:r w:rsidRPr="00495705">
        <w:rPr>
          <w:b/>
          <w:bCs/>
          <w:color w:val="000000"/>
        </w:rPr>
        <w:t xml:space="preserve"> </w:t>
      </w:r>
      <w:r w:rsidRPr="00495705">
        <w:rPr>
          <w:color w:val="000000"/>
        </w:rPr>
        <w:t>”</w:t>
      </w:r>
    </w:p>
    <w:p w14:paraId="5E09B9A8" w14:textId="77777777" w:rsidR="00277A48" w:rsidRDefault="00B317D6" w:rsidP="00746993">
      <w:pPr>
        <w:spacing w:after="120"/>
        <w:ind w:left="2268" w:right="1134" w:hanging="1134"/>
        <w:rPr>
          <w:i/>
          <w:iCs/>
        </w:rPr>
      </w:pPr>
      <w:r>
        <w:rPr>
          <w:i/>
          <w:iCs/>
        </w:rPr>
        <w:t>Annex 5</w:t>
      </w:r>
      <w:r w:rsidR="00746993">
        <w:rPr>
          <w:i/>
          <w:iCs/>
        </w:rPr>
        <w:t xml:space="preserve">, </w:t>
      </w:r>
    </w:p>
    <w:p w14:paraId="0F3949DF" w14:textId="2A3BA79A" w:rsidR="00B317D6" w:rsidRDefault="00277A48" w:rsidP="00746993">
      <w:pPr>
        <w:spacing w:after="120"/>
        <w:ind w:left="2268" w:right="1134" w:hanging="1134"/>
      </w:pPr>
      <w:r>
        <w:rPr>
          <w:i/>
          <w:iCs/>
        </w:rPr>
        <w:t>P</w:t>
      </w:r>
      <w:r w:rsidR="00B317D6">
        <w:rPr>
          <w:i/>
          <w:iCs/>
        </w:rPr>
        <w:t>aragraph 7.3.</w:t>
      </w:r>
      <w:r w:rsidR="00B317D6">
        <w:t>, amend to read:</w:t>
      </w:r>
    </w:p>
    <w:p w14:paraId="0BC8E657" w14:textId="77777777" w:rsidR="00B317D6" w:rsidRPr="00C64DE4" w:rsidRDefault="00B317D6" w:rsidP="00B317D6">
      <w:pPr>
        <w:tabs>
          <w:tab w:val="left" w:pos="-867"/>
        </w:tabs>
        <w:spacing w:after="120"/>
        <w:ind w:left="2268" w:right="1134" w:hanging="1134"/>
        <w:jc w:val="both"/>
      </w:pPr>
      <w:r>
        <w:t>“7.3.</w:t>
      </w:r>
      <w:r>
        <w:tab/>
      </w:r>
      <w:r w:rsidRPr="00C64DE4">
        <w:t>Dimensions</w:t>
      </w:r>
    </w:p>
    <w:p w14:paraId="6048AB62" w14:textId="26018D4F" w:rsidR="00B317D6" w:rsidRDefault="00B317D6" w:rsidP="00277A48">
      <w:pPr>
        <w:tabs>
          <w:tab w:val="left" w:pos="-867"/>
        </w:tabs>
        <w:spacing w:after="120"/>
        <w:ind w:left="2268" w:right="1134"/>
        <w:jc w:val="both"/>
        <w:rPr>
          <w:i/>
        </w:rPr>
      </w:pPr>
      <w:r>
        <w:tab/>
        <w:t xml:space="preserve">The length of the base of the enclosed fluorescent triangle (class 1) or retro-reflective triangle (class 2) shall be: minimum 350 mm and maximum 365 mm. The minimum width of the light-emitting surface of the red retro-reflective border shall be 45 mm, the maximum width 48 mm. These features are illustrated in the example given in Figure </w:t>
      </w:r>
      <w:r w:rsidRPr="009016FE">
        <w:rPr>
          <w:strike/>
          <w:lang w:val="en-US" w:eastAsia="ja-JP"/>
        </w:rPr>
        <w:t>A5-VI</w:t>
      </w:r>
      <w:r w:rsidRPr="009016FE">
        <w:rPr>
          <w:rStyle w:val="CommentReference"/>
          <w:sz w:val="20"/>
        </w:rPr>
        <w:t xml:space="preserve"> </w:t>
      </w:r>
      <w:r w:rsidRPr="009016FE">
        <w:rPr>
          <w:rStyle w:val="CommentReference"/>
          <w:b/>
          <w:bCs/>
          <w:sz w:val="20"/>
        </w:rPr>
        <w:t>A5-VII</w:t>
      </w:r>
      <w:r>
        <w:t>.”</w:t>
      </w:r>
    </w:p>
    <w:p w14:paraId="7B140921" w14:textId="05BDE00B" w:rsidR="00B317D6" w:rsidRDefault="00B317D6" w:rsidP="00B317D6">
      <w:pPr>
        <w:spacing w:after="120"/>
        <w:ind w:left="2268" w:right="1134" w:hanging="1134"/>
        <w:rPr>
          <w:iCs/>
        </w:rPr>
      </w:pPr>
      <w:r>
        <w:rPr>
          <w:i/>
        </w:rPr>
        <w:t>Figure A5-VII</w:t>
      </w:r>
      <w:r>
        <w:rPr>
          <w:iCs/>
        </w:rPr>
        <w:t>, amend to read:</w:t>
      </w:r>
    </w:p>
    <w:p w14:paraId="4AAF3A56" w14:textId="77777777" w:rsidR="00B317D6" w:rsidRDefault="00B317D6" w:rsidP="00B317D6">
      <w:pPr>
        <w:pStyle w:val="Heading1"/>
        <w:ind w:left="1134"/>
      </w:pPr>
      <w:r>
        <w:t>“Figure A5-VII</w:t>
      </w:r>
    </w:p>
    <w:p w14:paraId="3F5DDF1E" w14:textId="77777777" w:rsidR="00B317D6" w:rsidRDefault="00B317D6" w:rsidP="00B317D6">
      <w:pPr>
        <w:spacing w:after="120"/>
        <w:ind w:left="2268" w:right="1134" w:hanging="1134"/>
        <w:rPr>
          <w:i/>
        </w:rPr>
      </w:pPr>
      <w:r>
        <w:rPr>
          <w:b/>
          <w:bCs/>
        </w:rPr>
        <w:t>Example of a slow-moving vehicle plate</w:t>
      </w:r>
    </w:p>
    <w:p w14:paraId="0F454EA1" w14:textId="4869E73A" w:rsidR="00B317D6" w:rsidRDefault="00B317D6" w:rsidP="00B317D6">
      <w:pPr>
        <w:spacing w:after="120"/>
        <w:ind w:left="2268" w:right="1134" w:hanging="1134"/>
        <w:rPr>
          <w:iCs/>
        </w:rPr>
      </w:pPr>
      <w:r w:rsidRPr="00965EB5">
        <w:rPr>
          <w:noProof/>
        </w:rPr>
        <w:drawing>
          <wp:inline distT="0" distB="0" distL="0" distR="0" wp14:anchorId="21D88845" wp14:editId="0AF07DA3">
            <wp:extent cx="4743450" cy="2771249"/>
            <wp:effectExtent l="0" t="0" r="0" b="0"/>
            <wp:docPr id="765032683" name="Immagine 76503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02" b="1708"/>
                    <a:stretch/>
                  </pic:blipFill>
                  <pic:spPr bwMode="auto">
                    <a:xfrm>
                      <a:off x="0" y="0"/>
                      <a:ext cx="4743450" cy="27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629F6" w14:textId="77777777" w:rsidR="00B317D6" w:rsidRDefault="00B317D6" w:rsidP="00B317D6">
      <w:pPr>
        <w:spacing w:after="120"/>
        <w:ind w:left="2268" w:right="1134" w:hanging="1134"/>
        <w:jc w:val="right"/>
        <w:rPr>
          <w:iCs/>
        </w:rPr>
      </w:pPr>
      <w:r>
        <w:rPr>
          <w:iCs/>
        </w:rPr>
        <w:t>”</w:t>
      </w:r>
    </w:p>
    <w:p w14:paraId="733A90DD" w14:textId="54E61774" w:rsidR="00862E93" w:rsidRDefault="00862E93" w:rsidP="00862E93">
      <w:pPr>
        <w:spacing w:after="120"/>
        <w:ind w:left="1134" w:right="1134"/>
        <w:jc w:val="both"/>
        <w:rPr>
          <w:rFonts w:asciiTheme="majorBidi" w:eastAsia="MS PMincho" w:hAnsiTheme="majorBidi" w:cstheme="majorBidi"/>
          <w:bCs/>
          <w:i/>
          <w:iCs/>
          <w:lang w:val="en-US"/>
        </w:rPr>
      </w:pPr>
      <w:r w:rsidRPr="00AC3BB0">
        <w:rPr>
          <w:rFonts w:asciiTheme="majorBidi" w:eastAsia="MS PMincho" w:hAnsiTheme="majorBidi" w:cstheme="majorBidi"/>
          <w:bCs/>
          <w:i/>
          <w:iCs/>
          <w:lang w:val="en-US"/>
        </w:rPr>
        <w:t>Annex 6</w:t>
      </w:r>
      <w:r w:rsidR="00BB193C">
        <w:rPr>
          <w:rFonts w:asciiTheme="majorBidi" w:eastAsia="MS PMincho" w:hAnsiTheme="majorBidi" w:cstheme="majorBidi"/>
          <w:bCs/>
          <w:i/>
          <w:iCs/>
          <w:lang w:val="en-US"/>
        </w:rPr>
        <w:t>,</w:t>
      </w:r>
    </w:p>
    <w:p w14:paraId="3227E8C3" w14:textId="760A60E6" w:rsidR="00862E93" w:rsidRPr="003027A2" w:rsidRDefault="00862E93" w:rsidP="00862E93">
      <w:pPr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AC3BB0">
        <w:rPr>
          <w:rFonts w:asciiTheme="majorBidi" w:eastAsia="MS PMincho" w:hAnsiTheme="majorBidi" w:cstheme="majorBidi"/>
          <w:bCs/>
          <w:i/>
          <w:iCs/>
          <w:lang w:val="en-US"/>
        </w:rPr>
        <w:t xml:space="preserve">Part </w:t>
      </w:r>
      <w:r>
        <w:rPr>
          <w:rFonts w:asciiTheme="majorBidi" w:eastAsia="MS PMincho" w:hAnsiTheme="majorBidi" w:cstheme="majorBidi"/>
          <w:bCs/>
          <w:i/>
          <w:iCs/>
          <w:lang w:val="en-US"/>
        </w:rPr>
        <w:t>1</w:t>
      </w:r>
      <w:r w:rsidRPr="00AC3BB0">
        <w:rPr>
          <w:rFonts w:asciiTheme="majorBidi" w:hAnsiTheme="majorBidi" w:cstheme="majorBidi"/>
          <w:i/>
          <w:iCs/>
          <w:lang w:val="en-US"/>
        </w:rPr>
        <w:t>,</w:t>
      </w:r>
      <w:r>
        <w:rPr>
          <w:rFonts w:asciiTheme="majorBidi" w:hAnsiTheme="majorBidi" w:cstheme="majorBidi"/>
          <w:i/>
          <w:iCs/>
          <w:lang w:val="en-US"/>
        </w:rPr>
        <w:t xml:space="preserve"> paragraph 1,</w:t>
      </w:r>
      <w:r w:rsidRPr="00AC3BB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3027A2">
        <w:rPr>
          <w:rFonts w:asciiTheme="majorBidi" w:hAnsiTheme="majorBidi" w:cstheme="majorBidi"/>
          <w:lang w:val="en-US"/>
        </w:rPr>
        <w:t>amend to read:</w:t>
      </w:r>
    </w:p>
    <w:p w14:paraId="401947B9" w14:textId="77777777" w:rsidR="00862E93" w:rsidRDefault="00862E93" w:rsidP="00862E93">
      <w:pPr>
        <w:tabs>
          <w:tab w:val="left" w:pos="-867"/>
        </w:tabs>
        <w:spacing w:after="120"/>
        <w:ind w:left="2268" w:right="1133" w:hanging="1134"/>
        <w:jc w:val="both"/>
      </w:pPr>
      <w:r>
        <w:rPr>
          <w:lang w:val="en-US"/>
        </w:rPr>
        <w:t>“</w:t>
      </w:r>
      <w:r>
        <w:t>1.</w:t>
      </w:r>
      <w:r>
        <w:tab/>
        <w:t>Test procedure in the case of moulded plastics reflectors of retro-reflecting devices as Classes IA, IB, IIIA, IIIB, IVA, SMV</w:t>
      </w:r>
      <w:r w:rsidRPr="00DE2DC3">
        <w:rPr>
          <w:b/>
          <w:bCs/>
        </w:rPr>
        <w:t xml:space="preserve"> and Advance warning triangle of type 1</w:t>
      </w:r>
      <w:r>
        <w:t>:</w:t>
      </w:r>
    </w:p>
    <w:p w14:paraId="24E1579B" w14:textId="77777777" w:rsidR="00862E93" w:rsidRDefault="00862E93" w:rsidP="00862E93">
      <w:pPr>
        <w:tabs>
          <w:tab w:val="left" w:pos="-867"/>
        </w:tabs>
        <w:spacing w:after="120"/>
        <w:ind w:left="2268" w:right="1133"/>
        <w:jc w:val="both"/>
      </w:pPr>
      <w:r>
        <w:t>…”</w:t>
      </w:r>
    </w:p>
    <w:p w14:paraId="7BE0C5C3" w14:textId="7855D091" w:rsidR="00862E93" w:rsidRPr="003027A2" w:rsidRDefault="00862E93" w:rsidP="00862E93">
      <w:pPr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AC3BB0">
        <w:rPr>
          <w:rFonts w:asciiTheme="majorBidi" w:eastAsia="MS PMincho" w:hAnsiTheme="majorBidi" w:cstheme="majorBidi"/>
          <w:bCs/>
          <w:i/>
          <w:iCs/>
          <w:lang w:val="en-US"/>
        </w:rPr>
        <w:t xml:space="preserve">Part </w:t>
      </w:r>
      <w:r>
        <w:rPr>
          <w:rFonts w:asciiTheme="majorBidi" w:eastAsia="MS PMincho" w:hAnsiTheme="majorBidi" w:cstheme="majorBidi"/>
          <w:bCs/>
          <w:i/>
          <w:iCs/>
          <w:lang w:val="en-US"/>
        </w:rPr>
        <w:t>1</w:t>
      </w:r>
      <w:r w:rsidRPr="00AC3BB0">
        <w:rPr>
          <w:rFonts w:asciiTheme="majorBidi" w:hAnsiTheme="majorBidi" w:cstheme="majorBidi"/>
          <w:i/>
          <w:iCs/>
          <w:lang w:val="en-US"/>
        </w:rPr>
        <w:t>,</w:t>
      </w:r>
      <w:r>
        <w:rPr>
          <w:rFonts w:asciiTheme="majorBidi" w:hAnsiTheme="majorBidi" w:cstheme="majorBidi"/>
          <w:i/>
          <w:iCs/>
          <w:lang w:val="en-US"/>
        </w:rPr>
        <w:t xml:space="preserve"> paragraph 2,</w:t>
      </w:r>
      <w:r w:rsidRPr="00AC3BB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3027A2">
        <w:rPr>
          <w:rFonts w:asciiTheme="majorBidi" w:hAnsiTheme="majorBidi" w:cstheme="majorBidi"/>
          <w:lang w:val="en-US"/>
        </w:rPr>
        <w:t>amend to read:</w:t>
      </w:r>
    </w:p>
    <w:p w14:paraId="790FC192" w14:textId="77777777" w:rsidR="00862E93" w:rsidRDefault="00862E93" w:rsidP="00862E93">
      <w:pPr>
        <w:tabs>
          <w:tab w:val="left" w:pos="-867"/>
        </w:tabs>
        <w:spacing w:after="120"/>
        <w:ind w:left="2268" w:right="1133" w:hanging="1134"/>
        <w:jc w:val="both"/>
      </w:pPr>
      <w:r>
        <w:t>“2.</w:t>
      </w:r>
      <w:r>
        <w:tab/>
        <w:t xml:space="preserve">Test procedure in the case of use of flexible materials for Classes C, D, E, F, </w:t>
      </w:r>
      <w:r>
        <w:rPr>
          <w:rFonts w:hint="eastAsia"/>
          <w:lang w:eastAsia="ja-JP"/>
        </w:rPr>
        <w:t xml:space="preserve">Marking plates of </w:t>
      </w:r>
      <w:r>
        <w:rPr>
          <w:lang w:eastAsia="ja-JP"/>
        </w:rPr>
        <w:t xml:space="preserve">Classes </w:t>
      </w:r>
      <w:r>
        <w:t xml:space="preserve">1, 2, 3, 4, 5 </w:t>
      </w:r>
      <w:r w:rsidRPr="00DE2DC3">
        <w:rPr>
          <w:b/>
          <w:bCs/>
        </w:rPr>
        <w:t>and Advance warning triangle of type 2</w:t>
      </w:r>
      <w:r>
        <w:t>:</w:t>
      </w:r>
    </w:p>
    <w:p w14:paraId="6C82086E" w14:textId="77777777" w:rsidR="00862E93" w:rsidRDefault="00862E93" w:rsidP="00862E93">
      <w:pPr>
        <w:tabs>
          <w:tab w:val="left" w:pos="-867"/>
        </w:tabs>
        <w:spacing w:after="120"/>
        <w:ind w:left="2268" w:right="1133"/>
        <w:jc w:val="both"/>
      </w:pPr>
      <w:r>
        <w:t>…”</w:t>
      </w:r>
    </w:p>
    <w:p w14:paraId="06373292" w14:textId="5CB627BC" w:rsidR="00862E93" w:rsidRPr="003027A2" w:rsidRDefault="00862E93" w:rsidP="00862E93">
      <w:pPr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AC3BB0">
        <w:rPr>
          <w:rFonts w:asciiTheme="majorBidi" w:eastAsia="MS PMincho" w:hAnsiTheme="majorBidi" w:cstheme="majorBidi"/>
          <w:bCs/>
          <w:i/>
          <w:iCs/>
          <w:lang w:val="en-US"/>
        </w:rPr>
        <w:t>Part 6</w:t>
      </w:r>
      <w:r w:rsidRPr="00AC3BB0">
        <w:rPr>
          <w:rFonts w:asciiTheme="majorBidi" w:hAnsiTheme="majorBidi" w:cstheme="majorBidi"/>
          <w:i/>
          <w:iCs/>
          <w:lang w:val="en-US"/>
        </w:rPr>
        <w:t xml:space="preserve">, paragraph 3, </w:t>
      </w:r>
      <w:r w:rsidRPr="003027A2">
        <w:rPr>
          <w:rFonts w:asciiTheme="majorBidi" w:hAnsiTheme="majorBidi" w:cstheme="majorBidi"/>
          <w:lang w:val="en-US"/>
        </w:rPr>
        <w:t>amend to read:</w:t>
      </w:r>
    </w:p>
    <w:p w14:paraId="0E9BC6FC" w14:textId="77777777" w:rsidR="00862E93" w:rsidRPr="00AC3BB0" w:rsidRDefault="00862E93" w:rsidP="00862E93">
      <w:pPr>
        <w:pStyle w:val="Annex1"/>
        <w:tabs>
          <w:tab w:val="clear" w:pos="1700"/>
          <w:tab w:val="clear" w:pos="8505"/>
        </w:tabs>
      </w:pPr>
      <w:r w:rsidRPr="00AC3BB0">
        <w:t>“3.</w:t>
      </w:r>
      <w:r w:rsidRPr="00AC3BB0">
        <w:tab/>
        <w:t>The samples shall be exposed in accordance with EN ISO 4892-2:2013 using the parameters given in Table A6-1</w:t>
      </w:r>
      <w:r w:rsidRPr="00AC3BB0">
        <w:rPr>
          <w:strike/>
        </w:rPr>
        <w:t>, for a period of 500 hours.</w:t>
      </w:r>
      <w:r w:rsidRPr="00AC3BB0">
        <w:rPr>
          <w:b/>
          <w:bCs/>
        </w:rPr>
        <w:t>:</w:t>
      </w:r>
    </w:p>
    <w:p w14:paraId="092D7104" w14:textId="77777777" w:rsidR="00862E93" w:rsidRPr="00AC3BB0" w:rsidRDefault="00862E93" w:rsidP="00862E93">
      <w:pPr>
        <w:pStyle w:val="Annex1"/>
        <w:tabs>
          <w:tab w:val="clear" w:pos="1700"/>
          <w:tab w:val="clear" w:pos="8505"/>
        </w:tabs>
        <w:rPr>
          <w:b/>
        </w:rPr>
      </w:pPr>
      <w:r w:rsidRPr="00AC3BB0">
        <w:rPr>
          <w:b/>
        </w:rPr>
        <w:t>3.1</w:t>
      </w:r>
      <w:r>
        <w:rPr>
          <w:b/>
        </w:rPr>
        <w:t>.</w:t>
      </w:r>
      <w:r w:rsidRPr="00AC3BB0">
        <w:rPr>
          <w:b/>
        </w:rPr>
        <w:tab/>
        <w:t>in case of retro</w:t>
      </w:r>
      <w:r>
        <w:rPr>
          <w:b/>
        </w:rPr>
        <w:t>-</w:t>
      </w:r>
      <w:r w:rsidRPr="00AC3BB0">
        <w:rPr>
          <w:b/>
        </w:rPr>
        <w:t>reflective devices for a period of 500 hours,</w:t>
      </w:r>
    </w:p>
    <w:p w14:paraId="7368DCC0" w14:textId="311B35AC" w:rsidR="008D42DE" w:rsidRDefault="00862E93" w:rsidP="00BB193C">
      <w:pPr>
        <w:pStyle w:val="Annex1"/>
        <w:tabs>
          <w:tab w:val="clear" w:pos="1700"/>
          <w:tab w:val="clear" w:pos="8505"/>
        </w:tabs>
        <w:rPr>
          <w:lang w:val="en-US"/>
        </w:rPr>
      </w:pPr>
      <w:r w:rsidRPr="00AC3BB0">
        <w:rPr>
          <w:b/>
        </w:rPr>
        <w:t>3.2</w:t>
      </w:r>
      <w:r>
        <w:rPr>
          <w:b/>
        </w:rPr>
        <w:t>.</w:t>
      </w:r>
      <w:r w:rsidRPr="00AC3BB0">
        <w:rPr>
          <w:b/>
        </w:rPr>
        <w:tab/>
        <w:t>in case of fluorescent materials for a period of 100 hours.”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74005C78" w14:textId="74AA5435" w:rsidR="00DD4D4B" w:rsidRPr="00BB193C" w:rsidRDefault="00322F04" w:rsidP="00C225B3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>00 series of amendments</w:t>
      </w:r>
      <w:r w:rsidR="00C225B3">
        <w:rPr>
          <w:rFonts w:asciiTheme="majorBidi" w:hAnsiTheme="majorBidi" w:cstheme="majorBidi"/>
          <w:i/>
          <w:iCs/>
        </w:rPr>
        <w:t xml:space="preserve">, </w:t>
      </w:r>
      <w:r w:rsidR="007840BE" w:rsidRPr="00BB193C">
        <w:rPr>
          <w:rFonts w:asciiTheme="majorBidi" w:hAnsiTheme="majorBidi" w:cstheme="majorBidi"/>
          <w:i/>
          <w:iCs/>
        </w:rPr>
        <w:t xml:space="preserve">Annex 5, </w:t>
      </w:r>
      <w:r w:rsidR="00C225B3">
        <w:rPr>
          <w:rFonts w:asciiTheme="majorBidi" w:hAnsiTheme="majorBidi" w:cstheme="majorBidi"/>
          <w:i/>
          <w:iCs/>
        </w:rPr>
        <w:t>pa</w:t>
      </w:r>
      <w:r w:rsidR="007840BE" w:rsidRPr="00BB193C">
        <w:rPr>
          <w:rFonts w:asciiTheme="majorBidi" w:hAnsiTheme="majorBidi" w:cstheme="majorBidi"/>
          <w:i/>
          <w:iCs/>
        </w:rPr>
        <w:t>r</w:t>
      </w:r>
      <w:r w:rsidR="00C225B3">
        <w:rPr>
          <w:rFonts w:asciiTheme="majorBidi" w:hAnsiTheme="majorBidi" w:cstheme="majorBidi"/>
          <w:i/>
          <w:iCs/>
        </w:rPr>
        <w:t xml:space="preserve">agraph </w:t>
      </w:r>
      <w:r w:rsidR="007840BE" w:rsidRPr="00BB193C">
        <w:rPr>
          <w:rFonts w:asciiTheme="majorBidi" w:hAnsiTheme="majorBidi" w:cstheme="majorBidi"/>
          <w:i/>
          <w:iCs/>
        </w:rPr>
        <w:t>7.3</w:t>
      </w:r>
      <w:r w:rsidR="00C225B3">
        <w:rPr>
          <w:rFonts w:asciiTheme="majorBidi" w:hAnsiTheme="majorBidi" w:cstheme="majorBidi"/>
          <w:i/>
          <w:iCs/>
        </w:rPr>
        <w:t>.</w:t>
      </w:r>
    </w:p>
    <w:p w14:paraId="635E2049" w14:textId="5B68C797" w:rsidR="008D42DE" w:rsidRDefault="00C225B3" w:rsidP="008D42DE">
      <w:pPr>
        <w:snapToGrid w:val="0"/>
        <w:spacing w:after="120"/>
        <w:ind w:left="1134" w:right="1134"/>
        <w:jc w:val="both"/>
      </w:pPr>
      <w:r>
        <w:t xml:space="preserve">1. </w:t>
      </w:r>
      <w:r>
        <w:tab/>
      </w:r>
      <w:r w:rsidR="00A60928">
        <w:t xml:space="preserve">A </w:t>
      </w:r>
      <w:r w:rsidR="007840BE">
        <w:t xml:space="preserve">wrong </w:t>
      </w:r>
      <w:r w:rsidR="00A60928">
        <w:t>f</w:t>
      </w:r>
      <w:r w:rsidR="007840BE">
        <w:t>igure reference number</w:t>
      </w:r>
      <w:r w:rsidR="00A60928">
        <w:t xml:space="preserve"> is corrected</w:t>
      </w:r>
      <w:r w:rsidR="007840BE">
        <w:t>.</w:t>
      </w:r>
    </w:p>
    <w:p w14:paraId="30E09FCA" w14:textId="38F98AC9" w:rsidR="007840BE" w:rsidRPr="00BB193C" w:rsidRDefault="007840BE" w:rsidP="008D42DE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>Figure A5-VI “Example of a slow-moving vehicle plate”</w:t>
      </w:r>
    </w:p>
    <w:p w14:paraId="447DDD38" w14:textId="7269C7DE" w:rsidR="007840BE" w:rsidRDefault="00A60928" w:rsidP="008D42DE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ab/>
      </w:r>
      <w:r w:rsidR="007840BE">
        <w:rPr>
          <w:rFonts w:asciiTheme="majorBidi" w:hAnsiTheme="majorBidi" w:cstheme="majorBidi"/>
        </w:rPr>
        <w:t>By mistake there are two “Figure</w:t>
      </w:r>
      <w:r>
        <w:rPr>
          <w:rFonts w:asciiTheme="majorBidi" w:hAnsiTheme="majorBidi" w:cstheme="majorBidi"/>
        </w:rPr>
        <w:t>s</w:t>
      </w:r>
      <w:r w:rsidR="007840BE">
        <w:rPr>
          <w:rFonts w:asciiTheme="majorBidi" w:hAnsiTheme="majorBidi" w:cstheme="majorBidi"/>
        </w:rPr>
        <w:t xml:space="preserve"> A5-VI” in the text of</w:t>
      </w:r>
      <w:r w:rsidR="008823F5">
        <w:rPr>
          <w:rFonts w:asciiTheme="majorBidi" w:hAnsiTheme="majorBidi" w:cstheme="majorBidi"/>
        </w:rPr>
        <w:t xml:space="preserve"> the 00 series pf amendments to</w:t>
      </w:r>
      <w:r w:rsidR="007840BE">
        <w:rPr>
          <w:rFonts w:asciiTheme="majorBidi" w:hAnsiTheme="majorBidi" w:cstheme="majorBidi"/>
        </w:rPr>
        <w:t xml:space="preserve"> </w:t>
      </w:r>
      <w:r w:rsidR="007840BE" w:rsidRPr="00AE13E2">
        <w:rPr>
          <w:rFonts w:asciiTheme="majorBidi" w:hAnsiTheme="majorBidi" w:cstheme="majorBidi"/>
        </w:rPr>
        <w:t>UN Regulation No. 1</w:t>
      </w:r>
      <w:r w:rsidR="007840BE">
        <w:rPr>
          <w:rFonts w:asciiTheme="majorBidi" w:hAnsiTheme="majorBidi" w:cstheme="majorBidi"/>
        </w:rPr>
        <w:t>50. The one</w:t>
      </w:r>
      <w:r w:rsidR="008823F5">
        <w:rPr>
          <w:rFonts w:asciiTheme="majorBidi" w:hAnsiTheme="majorBidi" w:cstheme="majorBidi"/>
        </w:rPr>
        <w:t xml:space="preserve"> en</w:t>
      </w:r>
      <w:r w:rsidR="007840BE">
        <w:rPr>
          <w:rFonts w:asciiTheme="majorBidi" w:hAnsiTheme="majorBidi" w:cstheme="majorBidi"/>
        </w:rPr>
        <w:t xml:space="preserve">titled </w:t>
      </w:r>
      <w:r w:rsidR="007840BE" w:rsidRPr="007840BE">
        <w:rPr>
          <w:rFonts w:asciiTheme="majorBidi" w:hAnsiTheme="majorBidi" w:cstheme="majorBidi"/>
        </w:rPr>
        <w:t>“</w:t>
      </w:r>
      <w:r w:rsidR="007840BE" w:rsidRPr="007840BE">
        <w:rPr>
          <w:rFonts w:asciiTheme="majorBidi" w:hAnsiTheme="majorBidi" w:cstheme="majorBidi"/>
          <w:i/>
          <w:iCs/>
        </w:rPr>
        <w:t>Example of a slow-moving vehicle plate</w:t>
      </w:r>
      <w:r w:rsidR="007840BE" w:rsidRPr="007840BE">
        <w:rPr>
          <w:rFonts w:asciiTheme="majorBidi" w:hAnsiTheme="majorBidi" w:cstheme="majorBidi"/>
        </w:rPr>
        <w:t>”</w:t>
      </w:r>
      <w:r w:rsidR="007840BE">
        <w:rPr>
          <w:rFonts w:asciiTheme="majorBidi" w:hAnsiTheme="majorBidi" w:cstheme="majorBidi"/>
        </w:rPr>
        <w:t xml:space="preserve"> has been renumbered as Figure A5-VII.</w:t>
      </w:r>
    </w:p>
    <w:p w14:paraId="5E7C1D21" w14:textId="3A438EF7" w:rsidR="007840BE" w:rsidRDefault="006155D3" w:rsidP="008D42DE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/>
        </w:rPr>
        <w:tab/>
      </w:r>
      <w:r w:rsidR="007840BE">
        <w:rPr>
          <w:rFonts w:asciiTheme="majorBidi" w:hAnsiTheme="majorBidi" w:cstheme="majorBidi"/>
        </w:rPr>
        <w:t xml:space="preserve">During the </w:t>
      </w:r>
      <w:r w:rsidR="00D258BE">
        <w:rPr>
          <w:rFonts w:asciiTheme="majorBidi" w:hAnsiTheme="majorBidi" w:cstheme="majorBidi"/>
        </w:rPr>
        <w:t>simplification process, t</w:t>
      </w:r>
      <w:r w:rsidR="007840BE" w:rsidRPr="007840BE">
        <w:rPr>
          <w:rFonts w:asciiTheme="majorBidi" w:hAnsiTheme="majorBidi" w:cstheme="majorBidi"/>
        </w:rPr>
        <w:t>he value “r = 5 – 18 mm” (</w:t>
      </w:r>
      <w:r w:rsidR="00D258BE">
        <w:rPr>
          <w:rFonts w:asciiTheme="majorBidi" w:hAnsiTheme="majorBidi" w:cstheme="majorBidi"/>
        </w:rPr>
        <w:t>as in</w:t>
      </w:r>
      <w:r>
        <w:rPr>
          <w:rFonts w:asciiTheme="majorBidi" w:hAnsiTheme="majorBidi" w:cstheme="majorBidi"/>
        </w:rPr>
        <w:t xml:space="preserve"> the 02 series of amendments to</w:t>
      </w:r>
      <w:r w:rsidR="00D258BE">
        <w:rPr>
          <w:rFonts w:asciiTheme="majorBidi" w:hAnsiTheme="majorBidi" w:cstheme="majorBidi"/>
        </w:rPr>
        <w:t xml:space="preserve"> </w:t>
      </w:r>
      <w:r w:rsidR="007840BE">
        <w:rPr>
          <w:rFonts w:asciiTheme="majorBidi" w:hAnsiTheme="majorBidi" w:cstheme="majorBidi"/>
        </w:rPr>
        <w:t xml:space="preserve">UN </w:t>
      </w:r>
      <w:r w:rsidR="007840BE" w:rsidRPr="007840BE">
        <w:rPr>
          <w:rFonts w:asciiTheme="majorBidi" w:hAnsiTheme="majorBidi" w:cstheme="majorBidi"/>
        </w:rPr>
        <w:t>Reg</w:t>
      </w:r>
      <w:r w:rsidR="007840BE">
        <w:rPr>
          <w:rFonts w:asciiTheme="majorBidi" w:hAnsiTheme="majorBidi" w:cstheme="majorBidi"/>
        </w:rPr>
        <w:t>ulation No.</w:t>
      </w:r>
      <w:r w:rsidR="007840BE" w:rsidRPr="007840BE">
        <w:rPr>
          <w:rFonts w:asciiTheme="majorBidi" w:hAnsiTheme="majorBidi" w:cstheme="majorBidi"/>
        </w:rPr>
        <w:t xml:space="preserve"> 69, Annex 12), </w:t>
      </w:r>
      <w:r w:rsidR="00D258BE" w:rsidRPr="007840BE">
        <w:rPr>
          <w:rFonts w:asciiTheme="majorBidi" w:hAnsiTheme="majorBidi" w:cstheme="majorBidi"/>
        </w:rPr>
        <w:t>inadvertently</w:t>
      </w:r>
      <w:r w:rsidR="00D258BE">
        <w:rPr>
          <w:rFonts w:asciiTheme="majorBidi" w:hAnsiTheme="majorBidi" w:cstheme="majorBidi"/>
        </w:rPr>
        <w:t xml:space="preserve"> became </w:t>
      </w:r>
      <w:r w:rsidR="007840BE" w:rsidRPr="007840BE">
        <w:rPr>
          <w:rFonts w:asciiTheme="majorBidi" w:hAnsiTheme="majorBidi" w:cstheme="majorBidi"/>
        </w:rPr>
        <w:t>“r = 15 – 18 mm”. Th</w:t>
      </w:r>
      <w:r w:rsidR="00DF3AD5">
        <w:rPr>
          <w:rFonts w:asciiTheme="majorBidi" w:hAnsiTheme="majorBidi" w:cstheme="majorBidi"/>
        </w:rPr>
        <w:t>e</w:t>
      </w:r>
      <w:r w:rsidR="007840BE" w:rsidRPr="007840BE">
        <w:rPr>
          <w:rFonts w:asciiTheme="majorBidi" w:hAnsiTheme="majorBidi" w:cstheme="majorBidi"/>
        </w:rPr>
        <w:t xml:space="preserve"> proposal correct</w:t>
      </w:r>
      <w:r w:rsidR="00DF3AD5">
        <w:rPr>
          <w:rFonts w:asciiTheme="majorBidi" w:hAnsiTheme="majorBidi" w:cstheme="majorBidi"/>
        </w:rPr>
        <w:t>s</w:t>
      </w:r>
      <w:r w:rsidR="007840BE" w:rsidRPr="007840BE">
        <w:rPr>
          <w:rFonts w:asciiTheme="majorBidi" w:hAnsiTheme="majorBidi" w:cstheme="majorBidi"/>
        </w:rPr>
        <w:t xml:space="preserve"> this error</w:t>
      </w:r>
      <w:r w:rsidR="00D258BE">
        <w:rPr>
          <w:rFonts w:asciiTheme="majorBidi" w:hAnsiTheme="majorBidi" w:cstheme="majorBidi"/>
        </w:rPr>
        <w:t>.</w:t>
      </w:r>
    </w:p>
    <w:p w14:paraId="77ECAA2F" w14:textId="487332E1" w:rsidR="004C5B8C" w:rsidRPr="00BB193C" w:rsidRDefault="00322F04" w:rsidP="00DF3AD5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>01 series of amendments</w:t>
      </w:r>
      <w:r w:rsidR="00DF3AD5">
        <w:rPr>
          <w:rFonts w:asciiTheme="majorBidi" w:hAnsiTheme="majorBidi" w:cstheme="majorBidi"/>
          <w:i/>
          <w:iCs/>
        </w:rPr>
        <w:t>, t</w:t>
      </w:r>
      <w:r w:rsidR="004C5B8C" w:rsidRPr="00BB193C">
        <w:rPr>
          <w:rFonts w:asciiTheme="majorBidi" w:hAnsiTheme="majorBidi" w:cstheme="majorBidi"/>
          <w:i/>
          <w:iCs/>
        </w:rPr>
        <w:t>able 6</w:t>
      </w:r>
    </w:p>
    <w:p w14:paraId="3221FD8C" w14:textId="5A3CD209" w:rsidR="00896F42" w:rsidRDefault="00DF3AD5" w:rsidP="004C5B8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/>
        </w:rPr>
        <w:tab/>
      </w:r>
      <w:r w:rsidR="004C5B8C" w:rsidRPr="004C5B8C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>s</w:t>
      </w:r>
      <w:r w:rsidR="004C5B8C" w:rsidRPr="004C5B8C">
        <w:rPr>
          <w:rFonts w:asciiTheme="majorBidi" w:hAnsiTheme="majorBidi" w:cstheme="majorBidi"/>
        </w:rPr>
        <w:t>low-</w:t>
      </w:r>
      <w:r w:rsidR="005E3A83">
        <w:rPr>
          <w:rFonts w:asciiTheme="majorBidi" w:hAnsiTheme="majorBidi" w:cstheme="majorBidi"/>
        </w:rPr>
        <w:t>m</w:t>
      </w:r>
      <w:r w:rsidR="004C5B8C" w:rsidRPr="004C5B8C">
        <w:rPr>
          <w:rFonts w:asciiTheme="majorBidi" w:hAnsiTheme="majorBidi" w:cstheme="majorBidi"/>
        </w:rPr>
        <w:t xml:space="preserve">oving </w:t>
      </w:r>
      <w:r w:rsidR="005E3A83">
        <w:rPr>
          <w:rFonts w:asciiTheme="majorBidi" w:hAnsiTheme="majorBidi" w:cstheme="majorBidi"/>
        </w:rPr>
        <w:t>v</w:t>
      </w:r>
      <w:r w:rsidR="004C5B8C" w:rsidRPr="004C5B8C">
        <w:rPr>
          <w:rFonts w:asciiTheme="majorBidi" w:hAnsiTheme="majorBidi" w:cstheme="majorBidi"/>
        </w:rPr>
        <w:t xml:space="preserve">ehicle (SMV) </w:t>
      </w:r>
      <w:r w:rsidR="005E3A83">
        <w:rPr>
          <w:rFonts w:asciiTheme="majorBidi" w:hAnsiTheme="majorBidi" w:cstheme="majorBidi"/>
        </w:rPr>
        <w:t>p</w:t>
      </w:r>
      <w:r w:rsidR="004C5B8C" w:rsidRPr="004C5B8C">
        <w:rPr>
          <w:rFonts w:asciiTheme="majorBidi" w:hAnsiTheme="majorBidi" w:cstheme="majorBidi"/>
        </w:rPr>
        <w:t>lates</w:t>
      </w:r>
      <w:r w:rsidR="005E3A83">
        <w:rPr>
          <w:rFonts w:asciiTheme="majorBidi" w:hAnsiTheme="majorBidi" w:cstheme="majorBidi"/>
        </w:rPr>
        <w:t>,</w:t>
      </w:r>
      <w:r w:rsidR="004C5B8C" w:rsidRPr="004C5B8C">
        <w:rPr>
          <w:rFonts w:asciiTheme="majorBidi" w:hAnsiTheme="majorBidi" w:cstheme="majorBidi"/>
        </w:rPr>
        <w:t xml:space="preserve"> specific coefficient</w:t>
      </w:r>
      <w:r w:rsidR="005E3A83">
        <w:rPr>
          <w:rFonts w:asciiTheme="majorBidi" w:hAnsiTheme="majorBidi" w:cstheme="majorBidi"/>
        </w:rPr>
        <w:t>s</w:t>
      </w:r>
      <w:r w:rsidR="004C5B8C" w:rsidRPr="004C5B8C">
        <w:rPr>
          <w:rFonts w:asciiTheme="majorBidi" w:hAnsiTheme="majorBidi" w:cstheme="majorBidi"/>
        </w:rPr>
        <w:t xml:space="preserve"> of retro-reflection ha</w:t>
      </w:r>
      <w:r w:rsidR="005E3A83">
        <w:rPr>
          <w:rFonts w:asciiTheme="majorBidi" w:hAnsiTheme="majorBidi" w:cstheme="majorBidi"/>
        </w:rPr>
        <w:t>ve</w:t>
      </w:r>
      <w:r w:rsidR="004C5B8C" w:rsidRPr="004C5B8C">
        <w:rPr>
          <w:rFonts w:asciiTheme="majorBidi" w:hAnsiTheme="majorBidi" w:cstheme="majorBidi"/>
        </w:rPr>
        <w:t xml:space="preserve"> been </w:t>
      </w:r>
      <w:r w:rsidR="0033643A">
        <w:rPr>
          <w:rFonts w:asciiTheme="majorBidi" w:hAnsiTheme="majorBidi" w:cstheme="majorBidi"/>
        </w:rPr>
        <w:t xml:space="preserve">defined </w:t>
      </w:r>
      <w:r w:rsidR="004C5B8C" w:rsidRPr="004C5B8C">
        <w:rPr>
          <w:rFonts w:asciiTheme="majorBidi" w:hAnsiTheme="majorBidi" w:cstheme="majorBidi"/>
        </w:rPr>
        <w:t xml:space="preserve">for the entrance angles 5°, 20°, 30° and 40° in the original series of amendments to UN Regulation No. 150. When merging separate tables </w:t>
      </w:r>
      <w:r w:rsidR="003C60D2">
        <w:rPr>
          <w:rFonts w:asciiTheme="majorBidi" w:hAnsiTheme="majorBidi" w:cstheme="majorBidi"/>
        </w:rPr>
        <w:t xml:space="preserve">with the </w:t>
      </w:r>
      <w:r w:rsidR="004C5B8C" w:rsidRPr="004C5B8C">
        <w:rPr>
          <w:rFonts w:asciiTheme="majorBidi" w:hAnsiTheme="majorBidi" w:cstheme="majorBidi"/>
        </w:rPr>
        <w:t>requirements</w:t>
      </w:r>
      <w:r w:rsidR="00862BFA">
        <w:rPr>
          <w:rFonts w:asciiTheme="majorBidi" w:hAnsiTheme="majorBidi" w:cstheme="majorBidi"/>
        </w:rPr>
        <w:t xml:space="preserve"> </w:t>
      </w:r>
      <w:r w:rsidR="003C60D2">
        <w:rPr>
          <w:rFonts w:asciiTheme="majorBidi" w:hAnsiTheme="majorBidi" w:cstheme="majorBidi"/>
        </w:rPr>
        <w:t xml:space="preserve">for </w:t>
      </w:r>
      <w:r w:rsidR="004C5B8C" w:rsidRPr="004C5B8C">
        <w:rPr>
          <w:rFonts w:asciiTheme="majorBidi" w:hAnsiTheme="majorBidi" w:cstheme="majorBidi"/>
        </w:rPr>
        <w:t>specific coefficient</w:t>
      </w:r>
      <w:r w:rsidR="0033643A">
        <w:rPr>
          <w:rFonts w:asciiTheme="majorBidi" w:hAnsiTheme="majorBidi" w:cstheme="majorBidi"/>
        </w:rPr>
        <w:t>s</w:t>
      </w:r>
      <w:r w:rsidR="004C5B8C" w:rsidRPr="004C5B8C">
        <w:rPr>
          <w:rFonts w:asciiTheme="majorBidi" w:hAnsiTheme="majorBidi" w:cstheme="majorBidi"/>
        </w:rPr>
        <w:t xml:space="preserve"> of retro-reflection for the different retro</w:t>
      </w:r>
      <w:r w:rsidR="00222570">
        <w:rPr>
          <w:rFonts w:asciiTheme="majorBidi" w:hAnsiTheme="majorBidi" w:cstheme="majorBidi"/>
        </w:rPr>
        <w:t>-</w:t>
      </w:r>
      <w:r w:rsidR="004C5B8C" w:rsidRPr="004C5B8C">
        <w:rPr>
          <w:rFonts w:asciiTheme="majorBidi" w:hAnsiTheme="majorBidi" w:cstheme="majorBidi"/>
        </w:rPr>
        <w:t>reflective devices in the 01 series of UN Regulation No. 150, the values were unintentionally inserted in wrong columns, i.e. 5°, 30°, 40° and 60°. The values have now been shifted to the correct columns, as in the original series.</w:t>
      </w:r>
    </w:p>
    <w:p w14:paraId="040E018A" w14:textId="46EF2E39" w:rsidR="004C5B8C" w:rsidRPr="00BB193C" w:rsidRDefault="004C5B8C" w:rsidP="004C5B8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>Annex 1</w:t>
      </w:r>
    </w:p>
    <w:p w14:paraId="2E7E4D20" w14:textId="214EDA71" w:rsidR="004C5B8C" w:rsidRDefault="008D246B" w:rsidP="004C5B8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>
        <w:rPr>
          <w:rFonts w:asciiTheme="majorBidi" w:hAnsiTheme="majorBidi" w:cstheme="majorBidi"/>
        </w:rPr>
        <w:tab/>
      </w:r>
      <w:r w:rsidR="004C5B8C">
        <w:rPr>
          <w:rFonts w:asciiTheme="majorBidi" w:hAnsiTheme="majorBidi" w:cstheme="majorBidi"/>
        </w:rPr>
        <w:t>I</w:t>
      </w:r>
      <w:r w:rsidR="004C5B8C" w:rsidRPr="004C5B8C">
        <w:rPr>
          <w:rFonts w:asciiTheme="majorBidi" w:hAnsiTheme="majorBidi" w:cstheme="majorBidi"/>
        </w:rPr>
        <w:t xml:space="preserve">n the original series of amendment to UN Regulation No. 150 the </w:t>
      </w:r>
      <w:r w:rsidR="004C5B8C">
        <w:rPr>
          <w:rFonts w:asciiTheme="majorBidi" w:hAnsiTheme="majorBidi" w:cstheme="majorBidi"/>
        </w:rPr>
        <w:t>“</w:t>
      </w:r>
      <w:r w:rsidR="004C5B8C" w:rsidRPr="004C5B8C">
        <w:rPr>
          <w:rFonts w:asciiTheme="majorBidi" w:hAnsiTheme="majorBidi" w:cstheme="majorBidi"/>
        </w:rPr>
        <w:t>concise description</w:t>
      </w:r>
      <w:r w:rsidR="004C5B8C">
        <w:rPr>
          <w:rFonts w:asciiTheme="majorBidi" w:hAnsiTheme="majorBidi" w:cstheme="majorBidi"/>
        </w:rPr>
        <w:t>”</w:t>
      </w:r>
      <w:r w:rsidR="004C5B8C" w:rsidRPr="004C5B8C">
        <w:rPr>
          <w:rFonts w:asciiTheme="majorBidi" w:hAnsiTheme="majorBidi" w:cstheme="majorBidi"/>
        </w:rPr>
        <w:t xml:space="preserve"> of the </w:t>
      </w:r>
      <w:r w:rsidR="00F22C66" w:rsidRPr="004C5B8C">
        <w:rPr>
          <w:rFonts w:asciiTheme="majorBidi" w:hAnsiTheme="majorBidi" w:cstheme="majorBidi"/>
        </w:rPr>
        <w:t>retro</w:t>
      </w:r>
      <w:r w:rsidR="00F22C66">
        <w:rPr>
          <w:rFonts w:asciiTheme="majorBidi" w:hAnsiTheme="majorBidi" w:cstheme="majorBidi"/>
        </w:rPr>
        <w:t>reflector</w:t>
      </w:r>
      <w:r w:rsidR="004C5B8C" w:rsidRPr="004C5B8C">
        <w:rPr>
          <w:rFonts w:asciiTheme="majorBidi" w:hAnsiTheme="majorBidi" w:cstheme="majorBidi"/>
        </w:rPr>
        <w:t xml:space="preserve"> is required and </w:t>
      </w:r>
      <w:r w:rsidR="004C5B8C">
        <w:rPr>
          <w:rFonts w:asciiTheme="majorBidi" w:hAnsiTheme="majorBidi" w:cstheme="majorBidi"/>
        </w:rPr>
        <w:t xml:space="preserve">it shall be the same in </w:t>
      </w:r>
      <w:r w:rsidR="004C5B8C" w:rsidRPr="004C5B8C">
        <w:rPr>
          <w:rFonts w:asciiTheme="majorBidi" w:hAnsiTheme="majorBidi" w:cstheme="majorBidi"/>
        </w:rPr>
        <w:t>the 01 series as well.</w:t>
      </w:r>
      <w:r w:rsidR="00756A7F">
        <w:rPr>
          <w:rFonts w:asciiTheme="majorBidi" w:hAnsiTheme="majorBidi" w:cstheme="majorBidi"/>
        </w:rPr>
        <w:t xml:space="preserve"> </w:t>
      </w:r>
      <w:r w:rsidR="00756A7F" w:rsidRPr="007840BE">
        <w:rPr>
          <w:rFonts w:asciiTheme="majorBidi" w:hAnsiTheme="majorBidi" w:cstheme="majorBidi"/>
        </w:rPr>
        <w:t xml:space="preserve">This proposal intends to </w:t>
      </w:r>
      <w:r w:rsidR="00756A7F">
        <w:rPr>
          <w:rFonts w:asciiTheme="majorBidi" w:hAnsiTheme="majorBidi" w:cstheme="majorBidi"/>
        </w:rPr>
        <w:t>reintroduce it.</w:t>
      </w:r>
    </w:p>
    <w:p w14:paraId="12CCC046" w14:textId="2905CD02" w:rsidR="00D9072F" w:rsidRPr="00BB193C" w:rsidRDefault="00D9072F" w:rsidP="00D9072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 xml:space="preserve">Annex 5, </w:t>
      </w:r>
      <w:r w:rsidR="00912F56">
        <w:rPr>
          <w:rFonts w:asciiTheme="majorBidi" w:hAnsiTheme="majorBidi" w:cstheme="majorBidi"/>
          <w:i/>
          <w:iCs/>
        </w:rPr>
        <w:t>p</w:t>
      </w:r>
      <w:r w:rsidRPr="00BB193C">
        <w:rPr>
          <w:rFonts w:asciiTheme="majorBidi" w:hAnsiTheme="majorBidi" w:cstheme="majorBidi"/>
          <w:i/>
          <w:iCs/>
        </w:rPr>
        <w:t>ar</w:t>
      </w:r>
      <w:r w:rsidR="00912F56">
        <w:rPr>
          <w:rFonts w:asciiTheme="majorBidi" w:hAnsiTheme="majorBidi" w:cstheme="majorBidi"/>
          <w:i/>
          <w:iCs/>
        </w:rPr>
        <w:t xml:space="preserve">agraph </w:t>
      </w:r>
      <w:r w:rsidRPr="00BB193C">
        <w:rPr>
          <w:rFonts w:asciiTheme="majorBidi" w:hAnsiTheme="majorBidi" w:cstheme="majorBidi"/>
          <w:i/>
          <w:iCs/>
        </w:rPr>
        <w:t>7.3</w:t>
      </w:r>
      <w:r w:rsidR="00912F56">
        <w:rPr>
          <w:rFonts w:asciiTheme="majorBidi" w:hAnsiTheme="majorBidi" w:cstheme="majorBidi"/>
          <w:i/>
          <w:iCs/>
        </w:rPr>
        <w:t>.</w:t>
      </w:r>
    </w:p>
    <w:p w14:paraId="53F9074F" w14:textId="5EFEC3D5" w:rsidR="00D9072F" w:rsidRDefault="00912F56" w:rsidP="00D9072F">
      <w:pPr>
        <w:snapToGrid w:val="0"/>
        <w:spacing w:after="120"/>
        <w:ind w:left="1134" w:right="1134"/>
        <w:jc w:val="both"/>
      </w:pPr>
      <w:r>
        <w:t xml:space="preserve">6. </w:t>
      </w:r>
      <w:r>
        <w:tab/>
        <w:t xml:space="preserve">A </w:t>
      </w:r>
      <w:r w:rsidR="00D9072F">
        <w:t xml:space="preserve">wrong </w:t>
      </w:r>
      <w:r>
        <w:t>f</w:t>
      </w:r>
      <w:r w:rsidR="00D9072F">
        <w:t>igure reference number</w:t>
      </w:r>
      <w:r>
        <w:t xml:space="preserve"> is corrected</w:t>
      </w:r>
      <w:r w:rsidR="00D9072F">
        <w:t>.</w:t>
      </w:r>
    </w:p>
    <w:p w14:paraId="139A4DA8" w14:textId="78A9E5DD" w:rsidR="00D9072F" w:rsidRPr="00BB193C" w:rsidRDefault="00D9072F" w:rsidP="00D9072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>Figure A5-VII</w:t>
      </w:r>
    </w:p>
    <w:p w14:paraId="58D76542" w14:textId="3CDF7633" w:rsidR="00D9072F" w:rsidRDefault="00912F56" w:rsidP="00D9072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</w:t>
      </w:r>
      <w:r>
        <w:rPr>
          <w:rFonts w:asciiTheme="majorBidi" w:hAnsiTheme="majorBidi" w:cstheme="majorBidi"/>
        </w:rPr>
        <w:tab/>
      </w:r>
      <w:r w:rsidR="00D9072F">
        <w:rPr>
          <w:rFonts w:asciiTheme="majorBidi" w:hAnsiTheme="majorBidi" w:cstheme="majorBidi"/>
        </w:rPr>
        <w:t>During the simplification process, t</w:t>
      </w:r>
      <w:r w:rsidR="00D9072F" w:rsidRPr="007840BE">
        <w:rPr>
          <w:rFonts w:asciiTheme="majorBidi" w:hAnsiTheme="majorBidi" w:cstheme="majorBidi"/>
        </w:rPr>
        <w:t>he value “r = 5 – 18 mm”</w:t>
      </w:r>
      <w:r w:rsidR="00BD10C8" w:rsidRPr="00BD10C8">
        <w:rPr>
          <w:rFonts w:asciiTheme="majorBidi" w:hAnsiTheme="majorBidi" w:cstheme="majorBidi"/>
        </w:rPr>
        <w:t xml:space="preserve"> (as in the 02 series of amendments to UN Regulation No. 69, Annex 12)</w:t>
      </w:r>
      <w:r w:rsidR="00D9072F" w:rsidRPr="007840BE">
        <w:rPr>
          <w:rFonts w:asciiTheme="majorBidi" w:hAnsiTheme="majorBidi" w:cstheme="majorBidi"/>
        </w:rPr>
        <w:t>, inadvertently</w:t>
      </w:r>
      <w:r w:rsidR="00D9072F">
        <w:rPr>
          <w:rFonts w:asciiTheme="majorBidi" w:hAnsiTheme="majorBidi" w:cstheme="majorBidi"/>
        </w:rPr>
        <w:t xml:space="preserve"> became </w:t>
      </w:r>
      <w:r w:rsidR="00D9072F" w:rsidRPr="007840BE">
        <w:rPr>
          <w:rFonts w:asciiTheme="majorBidi" w:hAnsiTheme="majorBidi" w:cstheme="majorBidi"/>
        </w:rPr>
        <w:t>“r = 15 – 18 mm”. Th</w:t>
      </w:r>
      <w:r w:rsidR="00BD10C8">
        <w:rPr>
          <w:rFonts w:asciiTheme="majorBidi" w:hAnsiTheme="majorBidi" w:cstheme="majorBidi"/>
        </w:rPr>
        <w:t xml:space="preserve">e </w:t>
      </w:r>
      <w:r w:rsidR="00D9072F" w:rsidRPr="007840BE">
        <w:rPr>
          <w:rFonts w:asciiTheme="majorBidi" w:hAnsiTheme="majorBidi" w:cstheme="majorBidi"/>
        </w:rPr>
        <w:t>proposal correct</w:t>
      </w:r>
      <w:r w:rsidR="00BD10C8">
        <w:rPr>
          <w:rFonts w:asciiTheme="majorBidi" w:hAnsiTheme="majorBidi" w:cstheme="majorBidi"/>
        </w:rPr>
        <w:t>s</w:t>
      </w:r>
      <w:r w:rsidR="00D9072F" w:rsidRPr="007840BE">
        <w:rPr>
          <w:rFonts w:asciiTheme="majorBidi" w:hAnsiTheme="majorBidi" w:cstheme="majorBidi"/>
        </w:rPr>
        <w:t xml:space="preserve"> this error</w:t>
      </w:r>
      <w:r w:rsidR="00D9072F">
        <w:rPr>
          <w:rFonts w:asciiTheme="majorBidi" w:hAnsiTheme="majorBidi" w:cstheme="majorBidi"/>
        </w:rPr>
        <w:t>.</w:t>
      </w:r>
    </w:p>
    <w:p w14:paraId="5ADB7C27" w14:textId="1EBF0666" w:rsidR="00D9072F" w:rsidRPr="00BB193C" w:rsidRDefault="00D9072F" w:rsidP="00D9072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 xml:space="preserve">Annex 6, Part 1 </w:t>
      </w:r>
    </w:p>
    <w:p w14:paraId="17696A40" w14:textId="27757AF8" w:rsidR="00D9072F" w:rsidRDefault="00BD10C8" w:rsidP="00D9072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8.</w:t>
      </w:r>
      <w:r>
        <w:rPr>
          <w:rFonts w:asciiTheme="majorBidi" w:hAnsiTheme="majorBidi" w:cstheme="majorBidi"/>
        </w:rPr>
        <w:tab/>
      </w:r>
      <w:r w:rsidR="00D9072F" w:rsidRPr="00D9072F">
        <w:rPr>
          <w:rFonts w:asciiTheme="majorBidi" w:hAnsiTheme="majorBidi" w:cstheme="majorBidi"/>
        </w:rPr>
        <w:t xml:space="preserve">The reference to the “Advance warning triangle” </w:t>
      </w:r>
      <w:r w:rsidR="00756A7F">
        <w:rPr>
          <w:rFonts w:asciiTheme="majorBidi" w:hAnsiTheme="majorBidi" w:cstheme="majorBidi"/>
        </w:rPr>
        <w:t xml:space="preserve">in paragraphs 1. and 2. </w:t>
      </w:r>
      <w:r w:rsidR="00D9072F" w:rsidRPr="00D9072F">
        <w:rPr>
          <w:rFonts w:asciiTheme="majorBidi" w:hAnsiTheme="majorBidi" w:cstheme="majorBidi"/>
        </w:rPr>
        <w:t xml:space="preserve">was unintentionally omitted during the drafting of the 01 series of amendments. The proposed amendment intends to </w:t>
      </w:r>
      <w:r w:rsidR="00756A7F">
        <w:rPr>
          <w:rFonts w:asciiTheme="majorBidi" w:hAnsiTheme="majorBidi" w:cstheme="majorBidi"/>
        </w:rPr>
        <w:t>re</w:t>
      </w:r>
      <w:r w:rsidR="00D9072F" w:rsidRPr="00D9072F">
        <w:rPr>
          <w:rFonts w:asciiTheme="majorBidi" w:hAnsiTheme="majorBidi" w:cstheme="majorBidi"/>
        </w:rPr>
        <w:t>insert it as appropriate.</w:t>
      </w:r>
    </w:p>
    <w:p w14:paraId="4D5E5ABD" w14:textId="77777777" w:rsidR="00222570" w:rsidRPr="00BB193C" w:rsidRDefault="00222570" w:rsidP="00D9072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BB193C">
        <w:rPr>
          <w:rFonts w:asciiTheme="majorBidi" w:hAnsiTheme="majorBidi" w:cstheme="majorBidi"/>
          <w:i/>
          <w:iCs/>
        </w:rPr>
        <w:t>Annex 6, Part 6, paragraph 3</w:t>
      </w:r>
    </w:p>
    <w:p w14:paraId="0E5D0A4E" w14:textId="4278CEAB" w:rsidR="00BF310C" w:rsidRDefault="00E47CFD" w:rsidP="00BC3611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</w:t>
      </w:r>
      <w:r>
        <w:rPr>
          <w:rFonts w:asciiTheme="majorBidi" w:hAnsiTheme="majorBidi" w:cstheme="majorBidi"/>
        </w:rPr>
        <w:tab/>
      </w:r>
      <w:r w:rsidR="00222570">
        <w:rPr>
          <w:rFonts w:asciiTheme="majorBidi" w:hAnsiTheme="majorBidi" w:cstheme="majorBidi"/>
        </w:rPr>
        <w:t>T</w:t>
      </w:r>
      <w:r w:rsidR="00222570" w:rsidRPr="00222570">
        <w:rPr>
          <w:rFonts w:asciiTheme="majorBidi" w:hAnsiTheme="majorBidi" w:cstheme="majorBidi"/>
        </w:rPr>
        <w:t>he requirements for fluorescent material were unintentionally omitted during the drafting of the 01 series of amendments. The proposed amendment intends to clarify which requirements apply to fluorescent material and which</w:t>
      </w:r>
      <w:r>
        <w:rPr>
          <w:rFonts w:asciiTheme="majorBidi" w:hAnsiTheme="majorBidi" w:cstheme="majorBidi"/>
        </w:rPr>
        <w:t xml:space="preserve"> ones</w:t>
      </w:r>
      <w:r w:rsidR="00222570" w:rsidRPr="00222570">
        <w:rPr>
          <w:rFonts w:asciiTheme="majorBidi" w:hAnsiTheme="majorBidi" w:cstheme="majorBidi"/>
        </w:rPr>
        <w:t xml:space="preserve"> to retro-reflective devices.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CB1A" w14:textId="77777777" w:rsidR="00A609B8" w:rsidRDefault="00A609B8"/>
  </w:endnote>
  <w:endnote w:type="continuationSeparator" w:id="0">
    <w:p w14:paraId="4B054C42" w14:textId="77777777" w:rsidR="00A609B8" w:rsidRDefault="00A609B8"/>
  </w:endnote>
  <w:endnote w:type="continuationNotice" w:id="1">
    <w:p w14:paraId="58A18300" w14:textId="77777777" w:rsidR="00A609B8" w:rsidRDefault="00A60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charset w:val="00"/>
    <w:family w:val="modern"/>
    <w:pitch w:val="fixed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03FE" w14:textId="1C489D2A" w:rsidR="00C654FA" w:rsidRDefault="00C654FA" w:rsidP="00C654FA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7E5BB00" wp14:editId="4343D4D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20710" w14:textId="2E8B09AB" w:rsidR="00C654FA" w:rsidRPr="00C654FA" w:rsidRDefault="00C654FA" w:rsidP="00C654FA">
    <w:pPr>
      <w:pStyle w:val="Footer"/>
      <w:ind w:right="1134"/>
      <w:rPr>
        <w:sz w:val="20"/>
      </w:rPr>
    </w:pPr>
    <w:r>
      <w:rPr>
        <w:sz w:val="20"/>
      </w:rPr>
      <w:t>GE.23-15316(E)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DFFC837" wp14:editId="239B004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D741" w14:textId="77777777" w:rsidR="00A609B8" w:rsidRPr="000B175B" w:rsidRDefault="00A609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379979" w14:textId="77777777" w:rsidR="00A609B8" w:rsidRPr="00FC68B7" w:rsidRDefault="00A609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2860D8" w14:textId="77777777" w:rsidR="00A609B8" w:rsidRDefault="00A609B8"/>
  </w:footnote>
  <w:footnote w:id="2">
    <w:p w14:paraId="26469265" w14:textId="506C9088" w:rsidR="00E317C2" w:rsidRPr="004876E3" w:rsidRDefault="00E317C2" w:rsidP="00297676">
      <w:pPr>
        <w:pStyle w:val="FootnoteText"/>
      </w:pPr>
      <w:r w:rsidRPr="00A90EA8">
        <w:tab/>
      </w:r>
      <w:r w:rsidR="006C3F3F" w:rsidRPr="00FA2F4E">
        <w:rPr>
          <w:rStyle w:val="FootnoteReference"/>
          <w:sz w:val="20"/>
          <w:lang w:val="en-US"/>
        </w:rPr>
        <w:t>*</w:t>
      </w:r>
      <w:r w:rsidR="006C3F3F" w:rsidRPr="00FA2F4E">
        <w:rPr>
          <w:sz w:val="20"/>
          <w:lang w:val="en-US"/>
        </w:rPr>
        <w:tab/>
      </w:r>
      <w:r w:rsidR="00723A10" w:rsidRPr="00AB708F">
        <w:rPr>
          <w:szCs w:val="18"/>
          <w:lang w:val="en-US"/>
        </w:rPr>
        <w:t>In accordance with the programme of work of</w:t>
      </w:r>
      <w:r w:rsidR="00723A10">
        <w:rPr>
          <w:szCs w:val="18"/>
          <w:lang w:val="en-US"/>
        </w:rPr>
        <w:t xml:space="preserve"> the</w:t>
      </w:r>
      <w:r w:rsidR="00723A10" w:rsidRPr="00AB708F">
        <w:rPr>
          <w:szCs w:val="18"/>
          <w:lang w:val="en-US"/>
        </w:rPr>
        <w:t xml:space="preserve"> </w:t>
      </w:r>
      <w:r w:rsidR="00723A10" w:rsidRPr="00C14763">
        <w:rPr>
          <w:szCs w:val="18"/>
          <w:lang w:val="en-US"/>
        </w:rPr>
        <w:t>Inland Transport Committee for 202</w:t>
      </w:r>
      <w:r w:rsidR="00723A10">
        <w:rPr>
          <w:szCs w:val="18"/>
          <w:lang w:val="en-US"/>
        </w:rPr>
        <w:t>3</w:t>
      </w:r>
      <w:r w:rsidR="00723A10" w:rsidRPr="00C14763">
        <w:rPr>
          <w:szCs w:val="18"/>
          <w:lang w:val="en-US"/>
        </w:rPr>
        <w:t xml:space="preserve"> as outlined in proposed programme budget for 202</w:t>
      </w:r>
      <w:r w:rsidR="00723A10">
        <w:rPr>
          <w:szCs w:val="18"/>
          <w:lang w:val="en-US"/>
        </w:rPr>
        <w:t>3</w:t>
      </w:r>
      <w:r w:rsidR="00723A10" w:rsidRPr="00C14763">
        <w:rPr>
          <w:szCs w:val="18"/>
          <w:lang w:val="en-US"/>
        </w:rPr>
        <w:t xml:space="preserve"> (</w:t>
      </w:r>
      <w:r w:rsidR="00723A10" w:rsidRPr="00CC1F43">
        <w:rPr>
          <w:szCs w:val="18"/>
          <w:lang w:val="en-US"/>
        </w:rPr>
        <w:t>A/77/6 (Sect. 20), table 20.6</w:t>
      </w:r>
      <w:r w:rsidR="00723A10" w:rsidRPr="00C14763">
        <w:rPr>
          <w:szCs w:val="18"/>
          <w:lang w:val="en-US"/>
        </w:rPr>
        <w:t xml:space="preserve">), </w:t>
      </w:r>
      <w:r w:rsidR="00723A10"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1B4470F0" w:rsidR="00C740F6" w:rsidRPr="006C395D" w:rsidRDefault="00C740F6" w:rsidP="005726B5">
    <w:pPr>
      <w:pStyle w:val="Header"/>
    </w:pPr>
    <w:r w:rsidRPr="00323888">
      <w:t>ECE/TRANS/WP.29/GRE/20</w:t>
    </w:r>
    <w:r w:rsidR="006D181F" w:rsidRPr="00323888">
      <w:t>2</w:t>
    </w:r>
    <w:r w:rsidR="00722D86" w:rsidRPr="00323888">
      <w:t>3</w:t>
    </w:r>
    <w:r w:rsidRPr="00323888">
      <w:t>/</w:t>
    </w:r>
    <w:r w:rsidR="00323888" w:rsidRPr="00323888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23CB6D54" w:rsidR="00C740F6" w:rsidRPr="006C395D" w:rsidRDefault="00C740F6" w:rsidP="00DA725B">
    <w:pPr>
      <w:pStyle w:val="Header"/>
      <w:jc w:val="right"/>
    </w:pPr>
    <w:r w:rsidRPr="00323888">
      <w:t>ECE/TRANS/WP.29/GRE/20</w:t>
    </w:r>
    <w:r w:rsidR="004223FF" w:rsidRPr="00323888">
      <w:t>2</w:t>
    </w:r>
    <w:r w:rsidR="00722D86" w:rsidRPr="00323888">
      <w:t>3</w:t>
    </w:r>
    <w:r w:rsidRPr="00323888">
      <w:t>/</w:t>
    </w:r>
    <w:r w:rsidR="00323888" w:rsidRPr="00323888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78931585">
    <w:abstractNumId w:val="1"/>
  </w:num>
  <w:num w:numId="2" w16cid:durableId="288586057">
    <w:abstractNumId w:val="15"/>
  </w:num>
  <w:num w:numId="3" w16cid:durableId="1109007342">
    <w:abstractNumId w:val="9"/>
  </w:num>
  <w:num w:numId="4" w16cid:durableId="357194575">
    <w:abstractNumId w:val="13"/>
  </w:num>
  <w:num w:numId="5" w16cid:durableId="1849055607">
    <w:abstractNumId w:val="14"/>
  </w:num>
  <w:num w:numId="6" w16cid:durableId="1358772054">
    <w:abstractNumId w:val="3"/>
  </w:num>
  <w:num w:numId="7" w16cid:durableId="536233649">
    <w:abstractNumId w:val="2"/>
  </w:num>
  <w:num w:numId="8" w16cid:durableId="696156073">
    <w:abstractNumId w:val="12"/>
  </w:num>
  <w:num w:numId="9" w16cid:durableId="1897550181">
    <w:abstractNumId w:val="7"/>
  </w:num>
  <w:num w:numId="10" w16cid:durableId="1038047943">
    <w:abstractNumId w:val="8"/>
  </w:num>
  <w:num w:numId="11" w16cid:durableId="1459495399">
    <w:abstractNumId w:val="6"/>
  </w:num>
  <w:num w:numId="12" w16cid:durableId="1889224104">
    <w:abstractNumId w:val="0"/>
  </w:num>
  <w:num w:numId="13" w16cid:durableId="1564099198">
    <w:abstractNumId w:val="16"/>
  </w:num>
  <w:num w:numId="14" w16cid:durableId="2077360162">
    <w:abstractNumId w:val="5"/>
  </w:num>
  <w:num w:numId="15" w16cid:durableId="1272736710">
    <w:abstractNumId w:val="11"/>
  </w:num>
  <w:num w:numId="16" w16cid:durableId="1585844503">
    <w:abstractNumId w:val="4"/>
  </w:num>
  <w:num w:numId="17" w16cid:durableId="1935166618">
    <w:abstractNumId w:val="17"/>
  </w:num>
  <w:num w:numId="18" w16cid:durableId="598349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413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4C92"/>
    <w:rsid w:val="00165286"/>
    <w:rsid w:val="00165420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2D4C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570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A48"/>
    <w:rsid w:val="00277D81"/>
    <w:rsid w:val="00277F3A"/>
    <w:rsid w:val="002800E1"/>
    <w:rsid w:val="00280433"/>
    <w:rsid w:val="00280D2F"/>
    <w:rsid w:val="002810BF"/>
    <w:rsid w:val="002813E0"/>
    <w:rsid w:val="002815B1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1DFB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6AE0"/>
    <w:rsid w:val="003177C5"/>
    <w:rsid w:val="0032104C"/>
    <w:rsid w:val="00321A70"/>
    <w:rsid w:val="00322417"/>
    <w:rsid w:val="003229D8"/>
    <w:rsid w:val="00322F04"/>
    <w:rsid w:val="0032319B"/>
    <w:rsid w:val="00323377"/>
    <w:rsid w:val="00323888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1C61"/>
    <w:rsid w:val="0033203B"/>
    <w:rsid w:val="00333363"/>
    <w:rsid w:val="0033433C"/>
    <w:rsid w:val="00335E51"/>
    <w:rsid w:val="0033643A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60D2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4220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5E17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705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5B8C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1C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3A83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5D3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03C0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09E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4C0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2D86"/>
    <w:rsid w:val="00723A10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5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99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6A7F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40BE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29E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E81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AAC"/>
    <w:rsid w:val="008541AC"/>
    <w:rsid w:val="0085492F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BFA"/>
    <w:rsid w:val="00862C74"/>
    <w:rsid w:val="00862E93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3F5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6F42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46B"/>
    <w:rsid w:val="008D3187"/>
    <w:rsid w:val="008D3EEC"/>
    <w:rsid w:val="008D42DE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5E5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4F4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2F56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2F50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928"/>
    <w:rsid w:val="00A609B8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A6B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3E2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D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99D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93C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6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0C8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25B3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4FA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72A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8BE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072F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D4B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3AD5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1FA3"/>
    <w:rsid w:val="00E02A65"/>
    <w:rsid w:val="00E02C81"/>
    <w:rsid w:val="00E033AB"/>
    <w:rsid w:val="00E035EC"/>
    <w:rsid w:val="00E039A3"/>
    <w:rsid w:val="00E03B22"/>
    <w:rsid w:val="00E03BDA"/>
    <w:rsid w:val="00E03FC9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811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CFD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313A"/>
    <w:rsid w:val="00F1444E"/>
    <w:rsid w:val="00F14754"/>
    <w:rsid w:val="00F147D7"/>
    <w:rsid w:val="00F14EF0"/>
    <w:rsid w:val="00F14F3D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2C66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46CA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6603C0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6603C0"/>
    <w:rPr>
      <w:rFonts w:eastAsiaTheme="minorEastAsia"/>
      <w:lang w:eastAsia="en-US"/>
    </w:rPr>
  </w:style>
  <w:style w:type="paragraph" w:customStyle="1" w:styleId="2para2ndlevel">
    <w:name w:val="2.para 2nd level"/>
    <w:basedOn w:val="Normal"/>
    <w:link w:val="2para2ndlevelCar"/>
    <w:qFormat/>
    <w:rsid w:val="00164C92"/>
    <w:pPr>
      <w:spacing w:after="120"/>
      <w:ind w:left="2268" w:right="1134" w:hanging="1134"/>
      <w:jc w:val="both"/>
      <w:outlineLvl w:val="1"/>
    </w:pPr>
    <w:rPr>
      <w:rFonts w:eastAsia="SimSun"/>
    </w:rPr>
  </w:style>
  <w:style w:type="character" w:customStyle="1" w:styleId="2para2ndlevelCar">
    <w:name w:val="2.para 2nd level Car"/>
    <w:basedOn w:val="DefaultParagraphFont"/>
    <w:link w:val="2para2ndlevel"/>
    <w:rsid w:val="00164C92"/>
    <w:rPr>
      <w:rFonts w:eastAsia="SimSun"/>
      <w:lang w:eastAsia="en-US"/>
    </w:rPr>
  </w:style>
  <w:style w:type="character" w:customStyle="1" w:styleId="fontstyle21">
    <w:name w:val="fontstyle21"/>
    <w:basedOn w:val="DefaultParagraphFont"/>
    <w:rsid w:val="009054F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9054F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9E2F50"/>
    <w:pPr>
      <w:suppressAutoHyphens/>
    </w:pPr>
    <w:rPr>
      <w:lang w:eastAsia="en-US"/>
    </w:rPr>
  </w:style>
  <w:style w:type="paragraph" w:customStyle="1" w:styleId="Annex1">
    <w:name w:val="Annex1"/>
    <w:basedOn w:val="Normal"/>
    <w:qFormat/>
    <w:rsid w:val="00495705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E4EB5-CEFC-4E34-B2E1-3B508389F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5614</Characters>
  <Application>Microsoft Office Word</Application>
  <DocSecurity>0</DocSecurity>
  <Lines>216</Lines>
  <Paragraphs>154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ECE/TRANS/WP.29/GRE/2020/9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6583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ECE/TRANS/WP.29/GRE/2023/16</dc:title>
  <dc:subject>2315316</dc:subject>
  <dc:creator>AFTER JUNE</dc:creator>
  <cp:keywords/>
  <dc:description/>
  <cp:lastModifiedBy>Anni Vi Tirol</cp:lastModifiedBy>
  <cp:revision>2</cp:revision>
  <cp:lastPrinted>2019-01-31T15:08:00Z</cp:lastPrinted>
  <dcterms:created xsi:type="dcterms:W3CDTF">2023-08-08T07:12:00Z</dcterms:created>
  <dcterms:modified xsi:type="dcterms:W3CDTF">2023-08-08T07:12:00Z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