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A4004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B44B28" w14:textId="77777777" w:rsidR="002D5AAC" w:rsidRDefault="002D5AAC" w:rsidP="001907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B3F74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232088" w14:textId="309AD097" w:rsidR="002D5AAC" w:rsidRDefault="001907DA" w:rsidP="001907DA">
            <w:pPr>
              <w:jc w:val="right"/>
            </w:pPr>
            <w:r w:rsidRPr="001907DA">
              <w:rPr>
                <w:sz w:val="40"/>
              </w:rPr>
              <w:t>ECE</w:t>
            </w:r>
            <w:r>
              <w:t>/TRANS/WP.29/GRE/2023/15</w:t>
            </w:r>
          </w:p>
        </w:tc>
      </w:tr>
      <w:tr w:rsidR="002D5AAC" w:rsidRPr="001907DA" w14:paraId="395C8E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AAD1B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DE0ABF" wp14:editId="774EEC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3D6A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C84EBF" w14:textId="5E5925F2" w:rsidR="002D5AAC" w:rsidRDefault="001907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1907DA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69F52CE4" w14:textId="0936116B" w:rsidR="001907DA" w:rsidRDefault="001907DA" w:rsidP="001907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26D5">
              <w:rPr>
                <w:lang w:val="en-US"/>
              </w:rPr>
              <w:t xml:space="preserve"> August 2023</w:t>
            </w:r>
          </w:p>
          <w:p w14:paraId="6930085C" w14:textId="77777777" w:rsidR="001907DA" w:rsidRDefault="001907DA" w:rsidP="001907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1FE9E3" w14:textId="130699C8" w:rsidR="001907DA" w:rsidRPr="008D53B6" w:rsidRDefault="001907DA" w:rsidP="001907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3E26D5">
              <w:t>English</w:t>
            </w:r>
          </w:p>
        </w:tc>
      </w:tr>
    </w:tbl>
    <w:p w14:paraId="2ED8257B" w14:textId="77777777" w:rsidR="008A37C8" w:rsidRDefault="008A37C8" w:rsidP="001907D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AC9A08E" w14:textId="77777777" w:rsidR="001907DA" w:rsidRPr="001907DA" w:rsidRDefault="001907DA" w:rsidP="001907DA">
      <w:pPr>
        <w:spacing w:before="120"/>
        <w:rPr>
          <w:sz w:val="28"/>
          <w:szCs w:val="28"/>
        </w:rPr>
      </w:pPr>
      <w:r w:rsidRPr="001907DA">
        <w:rPr>
          <w:sz w:val="28"/>
          <w:szCs w:val="28"/>
        </w:rPr>
        <w:t>Комитет по внутреннему транспорту</w:t>
      </w:r>
    </w:p>
    <w:p w14:paraId="24216CA9" w14:textId="0C2A6C99" w:rsidR="001907DA" w:rsidRPr="001907DA" w:rsidRDefault="001907DA" w:rsidP="001907DA">
      <w:pPr>
        <w:spacing w:before="120"/>
        <w:rPr>
          <w:b/>
          <w:bCs/>
          <w:sz w:val="24"/>
          <w:szCs w:val="24"/>
        </w:rPr>
      </w:pPr>
      <w:r w:rsidRPr="001907DA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1907DA">
        <w:rPr>
          <w:b/>
          <w:bCs/>
          <w:sz w:val="24"/>
          <w:szCs w:val="24"/>
        </w:rPr>
        <w:t>в области транспортных средств</w:t>
      </w:r>
    </w:p>
    <w:p w14:paraId="315259A6" w14:textId="340E18D4" w:rsidR="001907DA" w:rsidRPr="006D27BD" w:rsidRDefault="001907DA" w:rsidP="001907DA">
      <w:pPr>
        <w:spacing w:before="120"/>
        <w:rPr>
          <w:b/>
          <w:bCs/>
        </w:rPr>
      </w:pPr>
      <w:r w:rsidRPr="006D27BD">
        <w:rPr>
          <w:b/>
          <w:bCs/>
        </w:rPr>
        <w:t>Рабочая группа по вопросам освещения</w:t>
      </w:r>
      <w:r>
        <w:rPr>
          <w:b/>
          <w:bCs/>
        </w:rPr>
        <w:br/>
      </w:r>
      <w:r w:rsidRPr="006D27BD">
        <w:rPr>
          <w:b/>
          <w:bCs/>
        </w:rPr>
        <w:t>и световой сигнализации</w:t>
      </w:r>
    </w:p>
    <w:p w14:paraId="0FC45FEF" w14:textId="7241D9CA" w:rsidR="001907DA" w:rsidRPr="007C6BAD" w:rsidRDefault="001907DA" w:rsidP="001907DA">
      <w:pPr>
        <w:spacing w:before="120"/>
        <w:ind w:right="1134"/>
        <w:rPr>
          <w:b/>
          <w:bCs/>
        </w:rPr>
      </w:pPr>
      <w:r>
        <w:rPr>
          <w:b/>
          <w:bCs/>
        </w:rPr>
        <w:t>Восемьдесят девятая сессия</w:t>
      </w:r>
      <w:r>
        <w:rPr>
          <w:b/>
          <w:bCs/>
        </w:rPr>
        <w:br/>
      </w:r>
      <w:r>
        <w:t>Женева, 24</w:t>
      </w:r>
      <w:r w:rsidRPr="001907DA">
        <w:t>–</w:t>
      </w:r>
      <w:r>
        <w:t>27 октября 2023 года</w:t>
      </w:r>
      <w:r>
        <w:br/>
      </w:r>
      <w:r>
        <w:t>Пункт 4 предварительной повестки дня</w:t>
      </w:r>
      <w:r>
        <w:br/>
      </w:r>
      <w:r>
        <w:rPr>
          <w:b/>
          <w:bCs/>
        </w:rPr>
        <w:t>Упрощение правил ООН, касающихся освещения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7BA11502" w14:textId="3C5DFA29" w:rsidR="001907DA" w:rsidRPr="007C6BAD" w:rsidRDefault="001907DA" w:rsidP="001907DA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</w:t>
      </w:r>
      <w:r w:rsidR="00334C7F">
        <w:rPr>
          <w:bCs/>
        </w:rPr>
        <w:t>й</w:t>
      </w:r>
      <w:r>
        <w:rPr>
          <w:bCs/>
        </w:rPr>
        <w:t xml:space="preserve"> 00 и 01 к Правилам № 149 ООН</w:t>
      </w:r>
    </w:p>
    <w:p w14:paraId="6DAFEEFA" w14:textId="77777777" w:rsidR="001907DA" w:rsidRPr="007C6BAD" w:rsidRDefault="001907DA" w:rsidP="001907DA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>
        <w:t xml:space="preserve"> </w:t>
      </w:r>
    </w:p>
    <w:p w14:paraId="3A8359B6" w14:textId="25C14A1F" w:rsidR="00E12C5F" w:rsidRDefault="001907DA" w:rsidP="001907DA">
      <w:pPr>
        <w:pStyle w:val="SingleTxtG"/>
      </w:pPr>
      <w:r>
        <w:tab/>
      </w:r>
      <w:r>
        <w:footnoteReference w:customMarkFollows="1" w:id="1"/>
        <w:t>Воспроизведенный ниже текст был подготовлен неофициальной</w:t>
      </w:r>
      <w:r>
        <w:br/>
      </w:r>
      <w:r>
        <w:t>рабочей группой по упрощению правил, касающихся освещения и световой сигнализации (НРГ по УПОС), в целях внесения уточнений и исправлений в текст проекта поправок серий 00 и 01 к Правилам № 149 ООН. Предлагаемые изменения к нынешним текстам правил ООН выделены жирным шрифтом в случае новых элементов или зачеркиванием в случае исключенных элементов.</w:t>
      </w:r>
    </w:p>
    <w:p w14:paraId="76EDA0BB" w14:textId="77777777" w:rsidR="001907DA" w:rsidRPr="007C6BAD" w:rsidRDefault="001907DA" w:rsidP="001907DA">
      <w:pPr>
        <w:pStyle w:val="HChG"/>
        <w:pageBreakBefore/>
      </w:pPr>
      <w:r>
        <w:lastRenderedPageBreak/>
        <w:tab/>
        <w:t>I.</w:t>
      </w:r>
      <w:r>
        <w:tab/>
      </w:r>
      <w:r w:rsidRPr="001907DA">
        <w:t>Предложение</w:t>
      </w:r>
    </w:p>
    <w:p w14:paraId="153C1EF2" w14:textId="3E0C8B9A" w:rsidR="001907DA" w:rsidRPr="007C6BAD" w:rsidRDefault="001907DA" w:rsidP="001907DA">
      <w:pPr>
        <w:pStyle w:val="H1G"/>
      </w:pPr>
      <w:r>
        <w:tab/>
      </w:r>
      <w:r>
        <w:t>A.</w:t>
      </w:r>
      <w:r>
        <w:tab/>
        <w:t>Предложение по дополнению к поправкам серии 00</w:t>
      </w:r>
      <w:r>
        <w:br/>
        <w:t>к Правилам № 149 ООН</w:t>
      </w:r>
    </w:p>
    <w:p w14:paraId="3E7BEAE1" w14:textId="77777777" w:rsidR="001907DA" w:rsidRPr="007C6BAD" w:rsidRDefault="001907DA" w:rsidP="001907DA">
      <w:pPr>
        <w:spacing w:after="120"/>
        <w:ind w:left="2268" w:right="1134" w:hanging="1134"/>
      </w:pPr>
      <w:r>
        <w:rPr>
          <w:i/>
          <w:iCs/>
        </w:rPr>
        <w:t>Пункт 3.2.2</w:t>
      </w:r>
      <w:r>
        <w:t xml:space="preserve"> изменить следующим образом:</w:t>
      </w:r>
    </w:p>
    <w:p w14:paraId="32EE7FB9" w14:textId="12E4262C" w:rsidR="001907DA" w:rsidRPr="006D27BD" w:rsidRDefault="001907DA" w:rsidP="001907DA">
      <w:pPr>
        <w:spacing w:after="120"/>
        <w:ind w:left="2268" w:right="1134" w:hanging="1134"/>
        <w:jc w:val="both"/>
      </w:pPr>
      <w:r>
        <w:t>«</w:t>
      </w:r>
      <w:r>
        <w:t>3.2.2</w:t>
      </w:r>
      <w:r>
        <w:tab/>
        <w:t>Номер официального утверждения присваивается каждому официально утвержденному типу и указывается на устройстве в соответствии</w:t>
      </w:r>
      <w:r>
        <w:br/>
      </w:r>
      <w:r>
        <w:t>с требованиями пункта 3.3. Одна и та же Договаривающаяся сторона</w:t>
      </w:r>
      <w:r>
        <w:br/>
      </w:r>
      <w:r>
        <w:t>не может присвоить этот номер другому типу устройства, подпадающего под действие настоящих Правил</w:t>
      </w:r>
      <w:r>
        <w:rPr>
          <w:b/>
          <w:bCs/>
        </w:rPr>
        <w:t>, за исключением случаев распространения официального утверждения на переднюю противотуманную фару, которая отличается только по цвету испускаемого фарой света</w:t>
      </w:r>
      <w:r>
        <w:t>»</w:t>
      </w:r>
      <w:r>
        <w:t>.</w:t>
      </w:r>
    </w:p>
    <w:p w14:paraId="02A6A8B6" w14:textId="05BC3E0C" w:rsidR="001907DA" w:rsidRPr="007C6BAD" w:rsidRDefault="001907DA" w:rsidP="001907DA">
      <w:pPr>
        <w:pStyle w:val="H1G"/>
      </w:pPr>
      <w:r>
        <w:tab/>
      </w:r>
      <w:r>
        <w:t>B.</w:t>
      </w:r>
      <w:r>
        <w:tab/>
        <w:t>Предложение по дополнению к поправкам серии 01</w:t>
      </w:r>
      <w:r>
        <w:br/>
        <w:t xml:space="preserve">к Правилам № </w:t>
      </w:r>
      <w:r w:rsidRPr="001907DA">
        <w:t>149</w:t>
      </w:r>
      <w:r>
        <w:t xml:space="preserve"> ООН</w:t>
      </w:r>
    </w:p>
    <w:p w14:paraId="4EA3130D" w14:textId="77777777" w:rsidR="001907DA" w:rsidRPr="007C6BAD" w:rsidRDefault="001907DA" w:rsidP="001907DA">
      <w:pPr>
        <w:spacing w:after="120"/>
        <w:ind w:left="2268" w:right="1134" w:hanging="1134"/>
      </w:pPr>
      <w:r>
        <w:rPr>
          <w:i/>
          <w:iCs/>
        </w:rPr>
        <w:t>Пункт 3.2</w:t>
      </w:r>
      <w:r>
        <w:t xml:space="preserve"> изменить следующим образом:</w:t>
      </w:r>
    </w:p>
    <w:p w14:paraId="611EB7C2" w14:textId="20BC2ED9" w:rsidR="001907DA" w:rsidRPr="007C6BAD" w:rsidRDefault="001907DA" w:rsidP="001907DA">
      <w:pPr>
        <w:pStyle w:val="2para2ndlevel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3.2</w:t>
      </w:r>
      <w:r>
        <w:rPr>
          <w:lang w:val="ru-RU"/>
        </w:rPr>
        <w:tab/>
        <w:t>Официальное утверждение</w:t>
      </w:r>
    </w:p>
    <w:p w14:paraId="727C7CBE" w14:textId="77777777" w:rsidR="001907DA" w:rsidRPr="007C6BAD" w:rsidRDefault="001907DA" w:rsidP="001907DA">
      <w:pPr>
        <w:spacing w:after="120"/>
        <w:ind w:left="2268" w:right="1134"/>
        <w:jc w:val="both"/>
      </w:pPr>
      <w:r>
        <w:t xml:space="preserve">Для каждого огня </w:t>
      </w:r>
      <w:r>
        <w:rPr>
          <w:strike/>
        </w:rPr>
        <w:t>(каждой функции)</w:t>
      </w:r>
      <w:r>
        <w:t>, указанного</w:t>
      </w:r>
      <w:r>
        <w:rPr>
          <w:strike/>
        </w:rPr>
        <w:t>(ой)</w:t>
      </w:r>
      <w:r>
        <w:t xml:space="preserve"> в </w:t>
      </w:r>
      <w:r>
        <w:rPr>
          <w:strike/>
        </w:rPr>
        <w:t>таблице</w:t>
      </w:r>
      <w:r>
        <w:t xml:space="preserve"> </w:t>
      </w:r>
      <w:r>
        <w:rPr>
          <w:b/>
          <w:bCs/>
        </w:rPr>
        <w:t xml:space="preserve">пункте </w:t>
      </w:r>
      <w:r>
        <w:t>1, требуется отдельное официальное утверждение.</w:t>
      </w:r>
    </w:p>
    <w:p w14:paraId="2CCA7B1D" w14:textId="71ABCC3A" w:rsidR="001907DA" w:rsidRPr="007C6BAD" w:rsidRDefault="001907DA" w:rsidP="001907DA">
      <w:pPr>
        <w:spacing w:after="120"/>
        <w:ind w:left="2268" w:right="1134"/>
        <w:jc w:val="both"/>
      </w:pPr>
      <w:r>
        <w:t>Если два или более огней являются частью одного и того же устройства сгруппированных, комбинированных или совмещенных огней,</w:t>
      </w:r>
      <w:r>
        <w:br/>
      </w:r>
      <w:r>
        <w:t>то официальное утверждение предоставляется только в том случае,</w:t>
      </w:r>
      <w:r>
        <w:br/>
      </w:r>
      <w:r>
        <w:t>если каждый из этих огней отвечает предписаниям настоящих Правил или других Правил. В сгруппированные, комбинированные или совмещенные огни не должны входить огни, не отвечающие положениям каких-либо из этих Правил</w:t>
      </w:r>
      <w:r>
        <w:t>»</w:t>
      </w:r>
      <w:r>
        <w:t>.</w:t>
      </w:r>
    </w:p>
    <w:p w14:paraId="6EE1C533" w14:textId="77777777" w:rsidR="001907DA" w:rsidRPr="007C6BAD" w:rsidRDefault="001907DA" w:rsidP="001907DA">
      <w:pPr>
        <w:spacing w:after="120"/>
        <w:ind w:left="2268" w:right="1134" w:hanging="1134"/>
      </w:pPr>
      <w:r>
        <w:rPr>
          <w:i/>
          <w:iCs/>
        </w:rPr>
        <w:t>Пункт 5.3.3.4</w:t>
      </w:r>
      <w:r>
        <w:t xml:space="preserve"> изменить следующим образом:</w:t>
      </w:r>
    </w:p>
    <w:p w14:paraId="6657222C" w14:textId="4DF3DD57" w:rsidR="001907DA" w:rsidRPr="007C6BAD" w:rsidRDefault="001907DA" w:rsidP="001907DA">
      <w:pPr>
        <w:pStyle w:val="4Para4thlevel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5.3.3.4</w:t>
      </w:r>
      <w:r>
        <w:rPr>
          <w:lang w:val="ru-RU"/>
        </w:rPr>
        <w:tab/>
        <w:t>Система должна быть изготовлена таким образом, чтобы световой(</w:t>
      </w:r>
      <w:proofErr w:type="spellStart"/>
      <w:r>
        <w:rPr>
          <w:lang w:val="ru-RU"/>
        </w:rPr>
        <w:t>ые</w:t>
      </w:r>
      <w:proofErr w:type="spellEnd"/>
      <w:r>
        <w:rPr>
          <w:lang w:val="ru-RU"/>
        </w:rPr>
        <w:t xml:space="preserve">) модуль(и) с правой и с левой стороны обеспечивал(и) не менее </w:t>
      </w:r>
      <w:r>
        <w:rPr>
          <w:strike/>
          <w:lang w:val="ru-RU"/>
        </w:rPr>
        <w:t>1,62</w:t>
      </w:r>
      <w:r>
        <w:rPr>
          <w:b/>
          <w:bCs/>
          <w:lang w:val="ru-RU"/>
        </w:rPr>
        <w:t>1,60</w:t>
      </w:r>
      <w:r>
        <w:rPr>
          <w:lang w:val="ru-RU"/>
        </w:rPr>
        <w:t>∙10</w:t>
      </w:r>
      <w:r>
        <w:rPr>
          <w:vertAlign w:val="superscript"/>
          <w:lang w:val="ru-RU"/>
        </w:rPr>
        <w:t>4</w:t>
      </w:r>
      <w:r>
        <w:rPr>
          <w:lang w:val="ru-RU"/>
        </w:rPr>
        <w:t xml:space="preserve"> кд в точке HV. В случае АДС для транспортных средств категории L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каждый встраиваемый модуль (все встраиваемые модули) должен (должны) обеспечивать не менее </w:t>
      </w:r>
      <w:r>
        <w:rPr>
          <w:strike/>
          <w:lang w:val="ru-RU"/>
        </w:rPr>
        <w:t>1,62</w:t>
      </w:r>
      <w:r>
        <w:rPr>
          <w:b/>
          <w:bCs/>
          <w:lang w:val="ru-RU"/>
        </w:rPr>
        <w:t>1,60</w:t>
      </w:r>
      <w:r>
        <w:rPr>
          <w:lang w:val="ru-RU"/>
        </w:rPr>
        <w:t>∙10</w:t>
      </w:r>
      <w:r>
        <w:rPr>
          <w:vertAlign w:val="superscript"/>
          <w:lang w:val="ru-RU"/>
        </w:rPr>
        <w:t>4</w:t>
      </w:r>
      <w:r>
        <w:rPr>
          <w:lang w:val="ru-RU"/>
        </w:rPr>
        <w:t xml:space="preserve"> кд в точке HV</w:t>
      </w:r>
      <w:r>
        <w:rPr>
          <w:lang w:val="ru-RU"/>
        </w:rPr>
        <w:t>»</w:t>
      </w:r>
      <w:r>
        <w:rPr>
          <w:lang w:val="ru-RU"/>
        </w:rPr>
        <w:t>.</w:t>
      </w:r>
    </w:p>
    <w:p w14:paraId="37C6DA83" w14:textId="77777777" w:rsidR="001907DA" w:rsidRPr="007C6BAD" w:rsidRDefault="001907DA" w:rsidP="001907DA">
      <w:pPr>
        <w:spacing w:after="120"/>
        <w:ind w:left="2268" w:right="1134" w:hanging="1134"/>
        <w:rPr>
          <w:iCs/>
        </w:rPr>
      </w:pPr>
      <w:r>
        <w:rPr>
          <w:i/>
          <w:iCs/>
        </w:rPr>
        <w:t>Таблица 36, часть B</w:t>
      </w:r>
      <w:r>
        <w:t xml:space="preserve"> изменить следующим образом:</w:t>
      </w:r>
    </w:p>
    <w:p w14:paraId="62B995F9" w14:textId="6566C3D1" w:rsidR="001907DA" w:rsidRPr="001907DA" w:rsidRDefault="001907DA" w:rsidP="001907DA">
      <w:pPr>
        <w:spacing w:after="120"/>
        <w:ind w:left="2268" w:right="1134" w:hanging="1134"/>
      </w:pPr>
      <w:r w:rsidRPr="001907DA">
        <w:t>«</w:t>
      </w:r>
      <w:r w:rsidRPr="001907DA">
        <w:t>…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350"/>
        <w:gridCol w:w="1301"/>
        <w:gridCol w:w="1302"/>
        <w:gridCol w:w="991"/>
        <w:gridCol w:w="991"/>
        <w:gridCol w:w="991"/>
      </w:tblGrid>
      <w:tr w:rsidR="001907DA" w:rsidRPr="007C6BAD" w14:paraId="72A567A4" w14:textId="77777777" w:rsidTr="0011321A">
        <w:trPr>
          <w:trHeight w:val="287"/>
          <w:tblHeader/>
        </w:trPr>
        <w:tc>
          <w:tcPr>
            <w:tcW w:w="286" w:type="dxa"/>
            <w:vMerge w:val="restart"/>
            <w:shd w:val="clear" w:color="auto" w:fill="auto"/>
            <w:textDirection w:val="btLr"/>
            <w:vAlign w:val="center"/>
          </w:tcPr>
          <w:p w14:paraId="04BB6F1E" w14:textId="77777777" w:rsidR="001907DA" w:rsidRPr="00B27B3B" w:rsidRDefault="001907DA" w:rsidP="00DD265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Часть B</w:t>
            </w:r>
          </w:p>
        </w:tc>
        <w:tc>
          <w:tcPr>
            <w:tcW w:w="2350" w:type="dxa"/>
            <w:vMerge w:val="restart"/>
            <w:shd w:val="clear" w:color="auto" w:fill="auto"/>
            <w:vAlign w:val="center"/>
          </w:tcPr>
          <w:p w14:paraId="25A27677" w14:textId="44C3F4A4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27B3B">
              <w:rPr>
                <w:b/>
                <w:bCs/>
                <w:i/>
                <w:iCs/>
                <w:sz w:val="16"/>
                <w:szCs w:val="16"/>
              </w:rPr>
              <w:t>Элемент</w:t>
            </w:r>
            <w:r w:rsidRPr="00B27B3B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603" w:type="dxa"/>
            <w:gridSpan w:val="2"/>
            <w:vMerge w:val="restart"/>
            <w:vAlign w:val="center"/>
          </w:tcPr>
          <w:p w14:paraId="08CAD503" w14:textId="415B9093" w:rsidR="001907DA" w:rsidRPr="00B27B3B" w:rsidRDefault="001907DA" w:rsidP="00B27B3B">
            <w:pPr>
              <w:spacing w:before="80" w:after="80" w:line="200" w:lineRule="exact"/>
              <w:jc w:val="center"/>
              <w:rPr>
                <w:rFonts w:eastAsia="HGSGothicM"/>
                <w:b/>
                <w:bCs/>
                <w:i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z w:val="16"/>
                <w:szCs w:val="16"/>
              </w:rPr>
              <w:t>Угловые координаты</w:t>
            </w:r>
            <w:r w:rsidR="00B27B3B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B27B3B">
              <w:rPr>
                <w:b/>
                <w:bCs/>
                <w:i/>
                <w:iCs/>
                <w:sz w:val="16"/>
                <w:szCs w:val="16"/>
              </w:rPr>
              <w:t>в град.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685A7E1F" w14:textId="77777777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trike/>
                <w:sz w:val="16"/>
                <w:szCs w:val="16"/>
              </w:rPr>
              <w:t>Максимальная</w:t>
            </w:r>
            <w:r w:rsidRPr="00B27B3B">
              <w:rPr>
                <w:b/>
                <w:bCs/>
                <w:i/>
                <w:iCs/>
                <w:sz w:val="16"/>
                <w:szCs w:val="16"/>
              </w:rPr>
              <w:t xml:space="preserve"> Минимальная сила </w:t>
            </w:r>
            <w:proofErr w:type="spellStart"/>
            <w:r w:rsidRPr="00B27B3B">
              <w:rPr>
                <w:b/>
                <w:bCs/>
                <w:i/>
                <w:iCs/>
                <w:sz w:val="16"/>
                <w:szCs w:val="16"/>
              </w:rPr>
              <w:t>света</w:t>
            </w:r>
            <w:r w:rsidRPr="00B27B3B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b</w:t>
            </w:r>
            <w:proofErr w:type="spellEnd"/>
            <w:r w:rsidRPr="00B27B3B">
              <w:rPr>
                <w:b/>
                <w:bCs/>
                <w:i/>
                <w:iCs/>
                <w:sz w:val="16"/>
                <w:szCs w:val="16"/>
              </w:rPr>
              <w:t xml:space="preserve"> в кд</w:t>
            </w:r>
          </w:p>
        </w:tc>
      </w:tr>
      <w:tr w:rsidR="001907DA" w14:paraId="2AE3836E" w14:textId="77777777" w:rsidTr="0011321A">
        <w:trPr>
          <w:trHeight w:val="270"/>
          <w:tblHeader/>
        </w:trPr>
        <w:tc>
          <w:tcPr>
            <w:tcW w:w="286" w:type="dxa"/>
            <w:vMerge/>
            <w:shd w:val="clear" w:color="auto" w:fill="auto"/>
            <w:textDirection w:val="btLr"/>
            <w:vAlign w:val="center"/>
          </w:tcPr>
          <w:p w14:paraId="4E85EC7F" w14:textId="77777777" w:rsidR="001907DA" w:rsidRPr="007C6BAD" w:rsidRDefault="001907DA" w:rsidP="00DD2654">
            <w:pPr>
              <w:spacing w:before="20" w:after="2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vMerge/>
            <w:shd w:val="clear" w:color="auto" w:fill="auto"/>
            <w:vAlign w:val="center"/>
          </w:tcPr>
          <w:p w14:paraId="02CEAFF6" w14:textId="77777777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413274" w14:textId="77777777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6396DED" w14:textId="77777777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z w:val="16"/>
                <w:szCs w:val="16"/>
              </w:rPr>
              <w:t>Колонка 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3AE926" w14:textId="77777777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z w:val="16"/>
                <w:szCs w:val="16"/>
              </w:rPr>
              <w:t>Колонка B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0F3EA7" w14:textId="77777777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z w:val="16"/>
                <w:szCs w:val="16"/>
              </w:rPr>
              <w:t>Колонка C</w:t>
            </w:r>
          </w:p>
        </w:tc>
      </w:tr>
      <w:tr w:rsidR="001907DA" w14:paraId="2DE01712" w14:textId="77777777" w:rsidTr="0011321A">
        <w:trPr>
          <w:trHeight w:val="20"/>
          <w:tblHeader/>
        </w:trPr>
        <w:tc>
          <w:tcPr>
            <w:tcW w:w="286" w:type="dxa"/>
            <w:vMerge/>
            <w:shd w:val="clear" w:color="auto" w:fill="auto"/>
          </w:tcPr>
          <w:p w14:paraId="7535E90D" w14:textId="77777777" w:rsidR="001907DA" w:rsidRDefault="001907DA" w:rsidP="00DD2654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03A8C9D" w14:textId="77777777" w:rsidR="001907DA" w:rsidRPr="00B27B3B" w:rsidRDefault="001907DA" w:rsidP="00B27B3B">
            <w:pPr>
              <w:spacing w:before="80" w:after="80" w:line="2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  <w:vAlign w:val="center"/>
          </w:tcPr>
          <w:p w14:paraId="5131244C" w14:textId="77777777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A5977" w14:textId="77777777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70C9C" w14:textId="13AD8320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z w:val="16"/>
                <w:szCs w:val="16"/>
              </w:rPr>
              <w:t>≙ 0</w:t>
            </w:r>
            <w:r w:rsidR="0011321A">
              <w:rPr>
                <w:b/>
                <w:bCs/>
                <w:i/>
                <w:iCs/>
                <w:sz w:val="16"/>
                <w:szCs w:val="16"/>
                <w:lang w:val="fr-CH"/>
              </w:rPr>
              <w:t> </w:t>
            </w:r>
            <w:r w:rsidRPr="00B27B3B">
              <w:rPr>
                <w:b/>
                <w:bCs/>
                <w:i/>
                <w:iCs/>
                <w:sz w:val="16"/>
                <w:szCs w:val="16"/>
              </w:rPr>
              <w:t>% СП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8BA977" w14:textId="028C2E15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z w:val="16"/>
                <w:szCs w:val="16"/>
              </w:rPr>
              <w:t>≙ 20</w:t>
            </w:r>
            <w:r w:rsidR="0011321A">
              <w:rPr>
                <w:b/>
                <w:bCs/>
                <w:i/>
                <w:iCs/>
                <w:sz w:val="16"/>
                <w:szCs w:val="16"/>
                <w:lang w:val="fr-CH"/>
              </w:rPr>
              <w:t> </w:t>
            </w:r>
            <w:r w:rsidRPr="00B27B3B">
              <w:rPr>
                <w:b/>
                <w:bCs/>
                <w:i/>
                <w:iCs/>
                <w:sz w:val="16"/>
                <w:szCs w:val="16"/>
              </w:rPr>
              <w:t>% СП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1308B" w14:textId="56D08BBB" w:rsidR="001907DA" w:rsidRPr="00B27B3B" w:rsidRDefault="001907DA" w:rsidP="00B27B3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27B3B">
              <w:rPr>
                <w:b/>
                <w:bCs/>
                <w:i/>
                <w:iCs/>
                <w:sz w:val="16"/>
                <w:szCs w:val="16"/>
              </w:rPr>
              <w:t>≙ 30</w:t>
            </w:r>
            <w:r w:rsidR="0011321A">
              <w:rPr>
                <w:b/>
                <w:bCs/>
                <w:i/>
                <w:iCs/>
                <w:sz w:val="16"/>
                <w:szCs w:val="16"/>
                <w:lang w:val="fr-CH"/>
              </w:rPr>
              <w:t> </w:t>
            </w:r>
            <w:r w:rsidRPr="00B27B3B">
              <w:rPr>
                <w:b/>
                <w:bCs/>
                <w:i/>
                <w:iCs/>
                <w:sz w:val="16"/>
                <w:szCs w:val="16"/>
              </w:rPr>
              <w:t>% СП</w:t>
            </w:r>
          </w:p>
        </w:tc>
      </w:tr>
      <w:tr w:rsidR="001907DA" w14:paraId="1C495620" w14:textId="77777777" w:rsidTr="0011321A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08E1C776" w14:textId="77777777" w:rsidR="001907DA" w:rsidRDefault="001907DA" w:rsidP="00DD2654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ADBD00" w14:textId="77777777" w:rsidR="001907DA" w:rsidRPr="00B27B3B" w:rsidRDefault="001907DA" w:rsidP="0011321A">
            <w:pPr>
              <w:spacing w:before="6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50L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14:paraId="1C389F9D" w14:textId="77777777" w:rsidR="001907DA" w:rsidRPr="00B27B3B" w:rsidRDefault="001907DA" w:rsidP="0011321A">
            <w:pPr>
              <w:spacing w:before="6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0,86°D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50121E" w14:textId="77777777" w:rsidR="001907DA" w:rsidRPr="00B27B3B" w:rsidRDefault="001907DA" w:rsidP="0011321A">
            <w:pPr>
              <w:spacing w:before="6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3,43°L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D3D8B2" w14:textId="77777777" w:rsidR="001907DA" w:rsidRPr="00B27B3B" w:rsidRDefault="001907DA" w:rsidP="0011321A">
            <w:pPr>
              <w:spacing w:before="6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2,55∙10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2D0FA9" w14:textId="77777777" w:rsidR="001907DA" w:rsidRPr="00B27B3B" w:rsidRDefault="001907DA" w:rsidP="0011321A">
            <w:pPr>
              <w:spacing w:before="6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2,04∙10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BEAEEB" w14:textId="77777777" w:rsidR="001907DA" w:rsidRPr="00B27B3B" w:rsidRDefault="001907DA" w:rsidP="0011321A">
            <w:pPr>
              <w:spacing w:before="6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1,79∙10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907DA" w14:paraId="3D11C973" w14:textId="77777777" w:rsidTr="0011321A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4479BA8E" w14:textId="77777777" w:rsidR="001907DA" w:rsidRDefault="001907DA" w:rsidP="00DD2654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0CF6A485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50V</w:t>
            </w:r>
          </w:p>
        </w:tc>
        <w:tc>
          <w:tcPr>
            <w:tcW w:w="1301" w:type="dxa"/>
            <w:vAlign w:val="center"/>
          </w:tcPr>
          <w:p w14:paraId="6D122801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0,86°D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C959636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0°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B08C87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5,10∙10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D0BFB13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4,08∙10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FABCE2F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3,57∙10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907DA" w14:paraId="62AE00A4" w14:textId="77777777" w:rsidTr="0011321A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6E6A1B97" w14:textId="77777777" w:rsidR="001907DA" w:rsidRDefault="001907DA" w:rsidP="00DD2654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77B14F63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50R</w:t>
            </w:r>
          </w:p>
        </w:tc>
        <w:tc>
          <w:tcPr>
            <w:tcW w:w="1301" w:type="dxa"/>
            <w:vAlign w:val="center"/>
          </w:tcPr>
          <w:p w14:paraId="683F7994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0,86°D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6282344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1,72°R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DDD540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5,10∙10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54AC127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4,08∙10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FE0EB42" w14:textId="77777777" w:rsidR="001907DA" w:rsidRPr="00B27B3B" w:rsidRDefault="001907DA" w:rsidP="0011321A">
            <w:pPr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3,57∙10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907DA" w14:paraId="745F0815" w14:textId="77777777" w:rsidTr="0011321A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485B8039" w14:textId="77777777" w:rsidR="001907DA" w:rsidRDefault="001907DA" w:rsidP="00DD2654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7952F314" w14:textId="77777777" w:rsidR="001907DA" w:rsidRPr="00B27B3B" w:rsidRDefault="001907DA" w:rsidP="0011321A">
            <w:pPr>
              <w:pageBreakBefore/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25LL</w:t>
            </w:r>
          </w:p>
        </w:tc>
        <w:tc>
          <w:tcPr>
            <w:tcW w:w="1301" w:type="dxa"/>
            <w:vAlign w:val="center"/>
          </w:tcPr>
          <w:p w14:paraId="7E444770" w14:textId="77777777" w:rsidR="001907DA" w:rsidRPr="00B27B3B" w:rsidRDefault="001907DA" w:rsidP="0011321A">
            <w:pPr>
              <w:pageBreakBefore/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1,72°D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C759996" w14:textId="77777777" w:rsidR="001907DA" w:rsidRPr="00B27B3B" w:rsidRDefault="001907DA" w:rsidP="0011321A">
            <w:pPr>
              <w:pageBreakBefore/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16°L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691D9BE" w14:textId="77777777" w:rsidR="001907DA" w:rsidRPr="00B27B3B" w:rsidRDefault="001907DA" w:rsidP="0011321A">
            <w:pPr>
              <w:pageBreakBefore/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1,18∙10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5B4E74" w14:textId="77777777" w:rsidR="001907DA" w:rsidRPr="00B27B3B" w:rsidRDefault="001907DA" w:rsidP="0011321A">
            <w:pPr>
              <w:pageBreakBefore/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9,44∙10</w:t>
            </w:r>
            <w:r w:rsidRPr="00B27B3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DD785B" w14:textId="77777777" w:rsidR="001907DA" w:rsidRPr="00B27B3B" w:rsidRDefault="001907DA" w:rsidP="0011321A">
            <w:pPr>
              <w:pageBreakBefore/>
              <w:spacing w:before="30" w:after="3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8,26∙10</w:t>
            </w:r>
            <w:r w:rsidRPr="00B27B3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907DA" w14:paraId="72DC7CB4" w14:textId="77777777" w:rsidTr="0011321A">
        <w:trPr>
          <w:trHeight w:val="20"/>
        </w:trPr>
        <w:tc>
          <w:tcPr>
            <w:tcW w:w="286" w:type="dxa"/>
            <w:vMerge/>
            <w:shd w:val="clear" w:color="auto" w:fill="AEAAAA"/>
          </w:tcPr>
          <w:p w14:paraId="7CC60356" w14:textId="77777777" w:rsidR="001907DA" w:rsidRDefault="001907DA" w:rsidP="00DD2654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537B083B" w14:textId="77777777" w:rsidR="001907DA" w:rsidRPr="00B27B3B" w:rsidRDefault="001907DA" w:rsidP="0011321A">
            <w:pPr>
              <w:spacing w:before="30" w:after="6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25RR</w:t>
            </w:r>
          </w:p>
        </w:tc>
        <w:tc>
          <w:tcPr>
            <w:tcW w:w="1301" w:type="dxa"/>
            <w:vAlign w:val="center"/>
          </w:tcPr>
          <w:p w14:paraId="31F7A15E" w14:textId="77777777" w:rsidR="001907DA" w:rsidRPr="00B27B3B" w:rsidRDefault="001907DA" w:rsidP="0011321A">
            <w:pPr>
              <w:spacing w:before="30" w:after="6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1,72°D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3F65623" w14:textId="77777777" w:rsidR="001907DA" w:rsidRPr="00B27B3B" w:rsidRDefault="001907DA" w:rsidP="0011321A">
            <w:pPr>
              <w:spacing w:before="30" w:after="6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11°R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C533F07" w14:textId="77777777" w:rsidR="001907DA" w:rsidRPr="00B27B3B" w:rsidRDefault="001907DA" w:rsidP="0011321A">
            <w:pPr>
              <w:spacing w:before="30" w:after="6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1,18∙10</w:t>
            </w:r>
            <w:r w:rsidRPr="00B27B3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A5BFDE" w14:textId="77777777" w:rsidR="001907DA" w:rsidRPr="00B27B3B" w:rsidRDefault="001907DA" w:rsidP="0011321A">
            <w:pPr>
              <w:spacing w:before="30" w:after="6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9,44∙10</w:t>
            </w:r>
            <w:r w:rsidRPr="00B27B3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BE76B3" w14:textId="77777777" w:rsidR="001907DA" w:rsidRPr="00B27B3B" w:rsidRDefault="001907DA" w:rsidP="0011321A">
            <w:pPr>
              <w:spacing w:before="30" w:after="60" w:line="220" w:lineRule="exact"/>
              <w:jc w:val="center"/>
              <w:rPr>
                <w:sz w:val="18"/>
                <w:szCs w:val="18"/>
              </w:rPr>
            </w:pPr>
            <w:r w:rsidRPr="00B27B3B">
              <w:rPr>
                <w:sz w:val="18"/>
                <w:szCs w:val="18"/>
              </w:rPr>
              <w:t>8,26∙10</w:t>
            </w:r>
            <w:r w:rsidRPr="00B27B3B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14:paraId="0FA8F0C4" w14:textId="466012D4" w:rsidR="001907DA" w:rsidRPr="00B27B3B" w:rsidRDefault="001907DA" w:rsidP="001907DA">
      <w:pPr>
        <w:spacing w:after="120"/>
        <w:ind w:left="2268" w:right="1134" w:hanging="1134"/>
        <w:rPr>
          <w:iCs/>
          <w:lang w:val="fr-CH"/>
        </w:rPr>
      </w:pPr>
      <w:r>
        <w:t>…</w:t>
      </w:r>
      <w:r>
        <w:t>»</w:t>
      </w:r>
    </w:p>
    <w:p w14:paraId="5F294DEB" w14:textId="77777777" w:rsidR="001907DA" w:rsidRDefault="001907DA" w:rsidP="001907DA">
      <w:pPr>
        <w:pageBreakBefore/>
        <w:spacing w:after="120"/>
        <w:ind w:left="2835" w:right="1134" w:hanging="1701"/>
      </w:pPr>
      <w:r>
        <w:rPr>
          <w:i/>
          <w:iCs/>
        </w:rPr>
        <w:lastRenderedPageBreak/>
        <w:t>Пункт 6.2.1.1.4.4</w:t>
      </w:r>
      <w:r>
        <w:t xml:space="preserve"> изменить следующим образом:</w:t>
      </w:r>
    </w:p>
    <w:p w14:paraId="4E9F0B7C" w14:textId="152BF68B" w:rsidR="001907DA" w:rsidRPr="007C6BAD" w:rsidRDefault="0011321A" w:rsidP="001907DA">
      <w:pPr>
        <w:spacing w:after="120"/>
        <w:ind w:left="2268" w:right="1134" w:hanging="1134"/>
        <w:jc w:val="both"/>
        <w:rPr>
          <w:iCs/>
        </w:rPr>
      </w:pPr>
      <w:r>
        <w:t>«</w:t>
      </w:r>
      <w:r w:rsidR="001907DA">
        <w:t>6.2.1.1.4.4</w:t>
      </w:r>
      <w:r w:rsidR="001907DA">
        <w:tab/>
        <w:t xml:space="preserve">В качестве альтернативы процедуре изменения регулировки, описанной в пункте 4.1 приложения 5, требование, указанное в колонках A, B или C таблиц </w:t>
      </w:r>
      <w:r w:rsidR="001907DA">
        <w:rPr>
          <w:strike/>
        </w:rPr>
        <w:t>23</w:t>
      </w:r>
      <w:r w:rsidRPr="0011321A">
        <w:rPr>
          <w:rFonts w:cs="Times New Roman"/>
          <w:strike/>
        </w:rPr>
        <w:t>‒</w:t>
      </w:r>
      <w:r w:rsidR="001907DA">
        <w:rPr>
          <w:strike/>
        </w:rPr>
        <w:t>38</w:t>
      </w:r>
      <w:r w:rsidR="001907DA">
        <w:t xml:space="preserve"> </w:t>
      </w:r>
      <w:r w:rsidR="001907DA">
        <w:rPr>
          <w:b/>
          <w:bCs/>
        </w:rPr>
        <w:t>21–36</w:t>
      </w:r>
      <w:r w:rsidR="001907DA">
        <w:t>, в отношении силы света в определенном направлении наблюдения считают выполненным, если оно соблюдается в направлении, отклоняющемся не более чем на 1/4 градуса от направления наблюдения</w:t>
      </w:r>
      <w:r>
        <w:t>»</w:t>
      </w:r>
      <w:r w:rsidR="001907DA">
        <w:t>.</w:t>
      </w:r>
    </w:p>
    <w:p w14:paraId="7A347769" w14:textId="3D236B3A" w:rsidR="001907DA" w:rsidRPr="007C6BAD" w:rsidRDefault="001907DA" w:rsidP="001907DA">
      <w:pPr>
        <w:spacing w:after="120"/>
        <w:ind w:left="2268" w:right="1134" w:hanging="1134"/>
        <w:rPr>
          <w:iCs/>
        </w:rPr>
      </w:pPr>
      <w:r>
        <w:rPr>
          <w:i/>
          <w:iCs/>
        </w:rPr>
        <w:t>Рис</w:t>
      </w:r>
      <w:r w:rsidR="0011321A">
        <w:rPr>
          <w:i/>
          <w:iCs/>
        </w:rPr>
        <w:t>.</w:t>
      </w:r>
      <w:r>
        <w:rPr>
          <w:i/>
          <w:iCs/>
        </w:rPr>
        <w:t xml:space="preserve"> A13-III, примеры маркировки 3-a и 3-b</w:t>
      </w:r>
      <w:r>
        <w:t xml:space="preserve"> заменить следующими примерами:</w:t>
      </w:r>
    </w:p>
    <w:p w14:paraId="49D5F21A" w14:textId="0966FCFC" w:rsidR="001907DA" w:rsidRDefault="0011321A" w:rsidP="0011321A">
      <w:pPr>
        <w:pStyle w:val="H23G"/>
        <w:rPr>
          <w:iCs/>
        </w:rPr>
      </w:pPr>
      <w:r>
        <w:tab/>
      </w:r>
      <w:r>
        <w:tab/>
      </w:r>
      <w:r w:rsidRPr="0011321A">
        <w:rPr>
          <w:b w:val="0"/>
          <w:bCs/>
        </w:rPr>
        <w:t>«</w:t>
      </w:r>
      <w:r w:rsidR="001907DA">
        <w:t>Пример маркировки 3-a</w:t>
      </w:r>
    </w:p>
    <w:p w14:paraId="2FB5AC22" w14:textId="77777777" w:rsidR="001907DA" w:rsidRDefault="001907DA" w:rsidP="001907DA">
      <w:pPr>
        <w:spacing w:after="120"/>
        <w:ind w:left="2268" w:right="1134" w:hanging="1134"/>
        <w:rPr>
          <w:iCs/>
        </w:rPr>
      </w:pPr>
      <w:r>
        <w:rPr>
          <w:iCs/>
          <w:noProof/>
          <w:lang w:val="de-DE" w:eastAsia="de-DE"/>
        </w:rPr>
        <w:drawing>
          <wp:inline distT="0" distB="0" distL="0" distR="0" wp14:anchorId="50ECBCE3" wp14:editId="2517408F">
            <wp:extent cx="4695731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45" cy="1571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96246" w14:textId="4F4466CA" w:rsidR="001907DA" w:rsidRDefault="0011321A" w:rsidP="0011321A">
      <w:pPr>
        <w:pStyle w:val="H23G"/>
        <w:rPr>
          <w:snapToGrid w:val="0"/>
        </w:rPr>
      </w:pPr>
      <w:r>
        <w:tab/>
      </w:r>
      <w:r>
        <w:tab/>
      </w:r>
      <w:r w:rsidR="001907DA">
        <w:t>Пример маркировки 3-b</w:t>
      </w:r>
    </w:p>
    <w:p w14:paraId="025C140A" w14:textId="77777777" w:rsidR="001907DA" w:rsidRDefault="001907DA" w:rsidP="001907DA">
      <w:pPr>
        <w:spacing w:after="120"/>
        <w:ind w:left="2268" w:right="1134" w:hanging="1134"/>
        <w:rPr>
          <w:iCs/>
        </w:rPr>
      </w:pPr>
      <w:r>
        <w:rPr>
          <w:iCs/>
          <w:noProof/>
          <w:lang w:val="de-DE" w:eastAsia="de-DE"/>
        </w:rPr>
        <w:drawing>
          <wp:inline distT="0" distB="0" distL="0" distR="0" wp14:anchorId="08147D9A" wp14:editId="152333A5">
            <wp:extent cx="4666434" cy="139065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52" cy="1397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979BC" w14:textId="782D96B5" w:rsidR="001907DA" w:rsidRPr="007C6BAD" w:rsidRDefault="0011321A" w:rsidP="0011321A">
      <w:pPr>
        <w:spacing w:after="120"/>
        <w:ind w:left="2268" w:right="1134" w:hanging="1134"/>
        <w:jc w:val="right"/>
        <w:rPr>
          <w:iCs/>
        </w:rPr>
      </w:pPr>
      <w:r>
        <w:t>»</w:t>
      </w:r>
    </w:p>
    <w:p w14:paraId="4C3FDA52" w14:textId="77777777" w:rsidR="001907DA" w:rsidRPr="007C6BAD" w:rsidRDefault="001907DA" w:rsidP="0011321A">
      <w:pPr>
        <w:spacing w:before="120" w:after="120"/>
        <w:ind w:left="2268" w:right="1134" w:hanging="1134"/>
        <w:rPr>
          <w:iCs/>
        </w:rPr>
      </w:pPr>
      <w:r>
        <w:rPr>
          <w:i/>
          <w:iCs/>
        </w:rPr>
        <w:t>Приложение 1, пункт 9.4.7</w:t>
      </w:r>
      <w:r>
        <w:t xml:space="preserve"> изменить следующим образом:</w:t>
      </w:r>
    </w:p>
    <w:p w14:paraId="48A74F09" w14:textId="6232846A" w:rsidR="001907DA" w:rsidRPr="007C6BAD" w:rsidRDefault="0011321A" w:rsidP="001907DA">
      <w:pPr>
        <w:ind w:left="2268" w:right="1134" w:hanging="1134"/>
        <w:jc w:val="both"/>
      </w:pPr>
      <w:r>
        <w:t>«</w:t>
      </w:r>
      <w:r w:rsidR="001907DA">
        <w:t>9.4.7</w:t>
      </w:r>
      <w:r w:rsidR="001907DA">
        <w:tab/>
        <w:t>Световой поток, излучаемый источником света (см. пункт 4.5.3.</w:t>
      </w:r>
      <w:r w:rsidR="001907DA">
        <w:rPr>
          <w:strike/>
        </w:rPr>
        <w:t>4</w:t>
      </w:r>
      <w:r w:rsidR="001907DA">
        <w:rPr>
          <w:b/>
          <w:bCs/>
        </w:rPr>
        <w:t>5</w:t>
      </w:r>
      <w:r w:rsidR="001907DA">
        <w:t xml:space="preserve"> настоящих Правил) больше 2,00∙10</w:t>
      </w:r>
      <w:r w:rsidR="001907DA">
        <w:rPr>
          <w:vertAlign w:val="superscript"/>
        </w:rPr>
        <w:t>3</w:t>
      </w:r>
      <w:r w:rsidR="001907DA">
        <w:t xml:space="preserve"> люменов: да/нет</w:t>
      </w:r>
      <w:r w:rsidR="001907DA" w:rsidRPr="0011321A">
        <w:rPr>
          <w:sz w:val="18"/>
          <w:szCs w:val="18"/>
          <w:vertAlign w:val="superscript"/>
        </w:rPr>
        <w:t>2</w:t>
      </w:r>
      <w:r>
        <w:t>»</w:t>
      </w:r>
      <w:r w:rsidR="001907DA">
        <w:t>.</w:t>
      </w:r>
    </w:p>
    <w:p w14:paraId="558FDE8A" w14:textId="77777777" w:rsidR="001907DA" w:rsidRPr="007C6BAD" w:rsidRDefault="001907DA" w:rsidP="001907DA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0B593EE9" w14:textId="0F4BF57B" w:rsidR="001907DA" w:rsidRPr="007C6BAD" w:rsidRDefault="0011321A" w:rsidP="0011321A">
      <w:pPr>
        <w:pStyle w:val="H4G"/>
        <w:rPr>
          <w:rFonts w:asciiTheme="majorBidi" w:hAnsiTheme="majorBidi" w:cstheme="majorBidi"/>
        </w:rPr>
      </w:pPr>
      <w:r>
        <w:tab/>
      </w:r>
      <w:r>
        <w:tab/>
      </w:r>
      <w:r w:rsidR="001907DA">
        <w:t>Серия поправок 00, пункт 3.2.2</w:t>
      </w:r>
    </w:p>
    <w:p w14:paraId="79CF1DE6" w14:textId="12C96C9A" w:rsidR="001907DA" w:rsidRPr="007C6BAD" w:rsidRDefault="001907DA" w:rsidP="001907D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>1.</w:t>
      </w:r>
      <w:r>
        <w:tab/>
        <w:t>В процессе упрощения правил, касающихся освещения, введение данного изъятия в новые Правила № 149 ООН было упущено, возможно</w:t>
      </w:r>
      <w:r w:rsidR="0011321A">
        <w:t>,</w:t>
      </w:r>
      <w:r>
        <w:t xml:space="preserve"> ввиду того, что данное положение относится только к передним противотуманным фарам. С тем чтобы учесть решение GRE о том, что поправки серии 00 к новым правилам ООН № 148, 149 и 150 должны отражать положения, которые содержатся в старых, </w:t>
      </w:r>
      <w:r w:rsidR="0011321A">
        <w:t>«</w:t>
      </w:r>
      <w:r>
        <w:t>замороженных</w:t>
      </w:r>
      <w:r w:rsidR="0011321A">
        <w:t>»</w:t>
      </w:r>
      <w:r>
        <w:t>, правилах, касающихся освещения и световой сигнализации, в их самом последнем варианте, предлагается вновь включить данное положение, касающееся изъятия передних противотуманных фар, в пункт 3.2.2 Правил № 149 ООН.</w:t>
      </w:r>
    </w:p>
    <w:p w14:paraId="19BAF5AC" w14:textId="6317D4B3" w:rsidR="001907DA" w:rsidRPr="007C6BAD" w:rsidRDefault="0011321A" w:rsidP="0011321A">
      <w:pPr>
        <w:pStyle w:val="H4G"/>
        <w:rPr>
          <w:rFonts w:asciiTheme="majorBidi" w:hAnsiTheme="majorBidi" w:cstheme="majorBidi"/>
        </w:rPr>
      </w:pPr>
      <w:r>
        <w:tab/>
      </w:r>
      <w:r>
        <w:tab/>
      </w:r>
      <w:r w:rsidR="001907DA">
        <w:t>Серия поправок 01, пункт 3.2</w:t>
      </w:r>
    </w:p>
    <w:p w14:paraId="346F775D" w14:textId="38A35F3D" w:rsidR="001907DA" w:rsidRPr="007C6BAD" w:rsidRDefault="001907DA" w:rsidP="001907D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>2.</w:t>
      </w:r>
      <w:r>
        <w:tab/>
        <w:t>Предлагаемое исправление направлено на приведение данного пункта</w:t>
      </w:r>
      <w:r w:rsidR="0011321A">
        <w:br/>
      </w:r>
      <w:r>
        <w:t>в соответствие с соответствующим текстом в пункте 3.2 поправок серии 01</w:t>
      </w:r>
      <w:r w:rsidR="0011321A">
        <w:br/>
      </w:r>
      <w:r>
        <w:t xml:space="preserve">к Правилам № 148 ООН. Благодаря данному исправлению текст позволит предоставлять единое официальное утверждение в отношении фары, которая </w:t>
      </w:r>
      <w:r>
        <w:lastRenderedPageBreak/>
        <w:t>обеспечивает работу и луча ближнего света и луча дальнего света, либо в отношении адаптивной системы переднего освещения (АСПО) разных классов. Официальные утверждения подобного типа обычно выдаются и принимаются в отношении устройств освещения дороги в соответствии со старыми Правилами ООН и поправками серии 00 к Правилам № 149 ООН.</w:t>
      </w:r>
    </w:p>
    <w:p w14:paraId="3343073F" w14:textId="0E12D498" w:rsidR="001907DA" w:rsidRPr="007C6BAD" w:rsidRDefault="0011321A" w:rsidP="0011321A">
      <w:pPr>
        <w:pStyle w:val="H4G"/>
        <w:rPr>
          <w:rFonts w:asciiTheme="majorBidi" w:hAnsiTheme="majorBidi" w:cstheme="majorBidi"/>
        </w:rPr>
      </w:pPr>
      <w:r>
        <w:tab/>
      </w:r>
      <w:r>
        <w:tab/>
      </w:r>
      <w:r w:rsidR="001907DA">
        <w:t>Пункт 5.3.3.4</w:t>
      </w:r>
    </w:p>
    <w:p w14:paraId="2D79DB46" w14:textId="3748BD93" w:rsidR="001907DA" w:rsidRPr="007C6BAD" w:rsidRDefault="001907DA" w:rsidP="0011321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>3.</w:t>
      </w:r>
      <w:r>
        <w:tab/>
        <w:t xml:space="preserve">При переходе на экспоненциальную запись минимальное значение, требуемое для огня дальнего света класса </w:t>
      </w:r>
      <w:r w:rsidR="0011321A">
        <w:t>«</w:t>
      </w:r>
      <w:r>
        <w:t>В</w:t>
      </w:r>
      <w:r w:rsidR="0011321A">
        <w:t>»</w:t>
      </w:r>
      <w:r>
        <w:t>, для простоты было округлено с 40</w:t>
      </w:r>
      <w:r w:rsidR="0011321A">
        <w:t> </w:t>
      </w:r>
      <w:r>
        <w:t>500 кд</w:t>
      </w:r>
      <w:r w:rsidR="0011321A">
        <w:br/>
      </w:r>
      <w:r>
        <w:t>до 4,00∙10</w:t>
      </w:r>
      <w:r>
        <w:rPr>
          <w:vertAlign w:val="superscript"/>
        </w:rPr>
        <w:t>4</w:t>
      </w:r>
      <w:r>
        <w:t> кд (см. таблицу 5). Если применять этот принцип, то в пункте 5.3.3.4 значение, составляющее 40</w:t>
      </w:r>
      <w:r w:rsidR="0011321A">
        <w:t> </w:t>
      </w:r>
      <w:r>
        <w:t>% от 4,00∙10</w:t>
      </w:r>
      <w:r>
        <w:rPr>
          <w:vertAlign w:val="superscript"/>
        </w:rPr>
        <w:t>4</w:t>
      </w:r>
      <w:r>
        <w:t>, должно быть равно 1,60∙10</w:t>
      </w:r>
      <w:r>
        <w:rPr>
          <w:vertAlign w:val="superscript"/>
        </w:rPr>
        <w:t>4</w:t>
      </w:r>
      <w:r>
        <w:t xml:space="preserve"> (а не 1,62∙10</w:t>
      </w:r>
      <w:r>
        <w:rPr>
          <w:vertAlign w:val="superscript"/>
        </w:rPr>
        <w:t>4</w:t>
      </w:r>
      <w:r>
        <w:t>).</w:t>
      </w:r>
    </w:p>
    <w:p w14:paraId="36DDC8AC" w14:textId="0C49B6AB" w:rsidR="001907DA" w:rsidRPr="007C6BAD" w:rsidRDefault="0011321A" w:rsidP="0011321A">
      <w:pPr>
        <w:pStyle w:val="H4G"/>
        <w:rPr>
          <w:rFonts w:asciiTheme="majorBidi" w:hAnsiTheme="majorBidi" w:cstheme="majorBidi"/>
        </w:rPr>
      </w:pPr>
      <w:r>
        <w:tab/>
      </w:r>
      <w:r>
        <w:tab/>
      </w:r>
      <w:r w:rsidR="001907DA">
        <w:t>Таблица 36, часть B</w:t>
      </w:r>
    </w:p>
    <w:p w14:paraId="756849D2" w14:textId="2498EE92" w:rsidR="001907DA" w:rsidRPr="007C6BAD" w:rsidRDefault="001907DA" w:rsidP="001907D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>4.</w:t>
      </w:r>
      <w:r>
        <w:tab/>
        <w:t>В части B таблицы 36 описаны требования к соответствию производства для адаптивного дальнего света (АДС). Она должна содержать ссылку на требования</w:t>
      </w:r>
      <w:r w:rsidR="0011321A">
        <w:br/>
      </w:r>
      <w:r>
        <w:t>к минимальной силе света, как это сделано в части В таблицы 13.</w:t>
      </w:r>
    </w:p>
    <w:p w14:paraId="3CE4E73D" w14:textId="092C4F3E" w:rsidR="001907DA" w:rsidRPr="007C6BAD" w:rsidRDefault="0011321A" w:rsidP="0011321A">
      <w:pPr>
        <w:pStyle w:val="H4G"/>
        <w:rPr>
          <w:rFonts w:asciiTheme="majorBidi" w:hAnsiTheme="majorBidi" w:cstheme="majorBidi"/>
        </w:rPr>
      </w:pPr>
      <w:r>
        <w:tab/>
      </w:r>
      <w:r>
        <w:tab/>
      </w:r>
      <w:r w:rsidR="001907DA">
        <w:t>Пункт 6.2.1.1.4.4</w:t>
      </w:r>
    </w:p>
    <w:p w14:paraId="3487E302" w14:textId="2967F497" w:rsidR="001907DA" w:rsidRPr="007C6BAD" w:rsidRDefault="001907DA" w:rsidP="001907D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>5.</w:t>
      </w:r>
      <w:r>
        <w:tab/>
        <w:t xml:space="preserve">Значения, касающиеся </w:t>
      </w:r>
      <w:r w:rsidR="0011321A">
        <w:t>соответствия</w:t>
      </w:r>
      <w:r>
        <w:t xml:space="preserve"> производства, приведены</w:t>
      </w:r>
      <w:r w:rsidR="0011321A">
        <w:br/>
      </w:r>
      <w:r>
        <w:t>в таблицах 21–36, а не 23–38.</w:t>
      </w:r>
    </w:p>
    <w:p w14:paraId="5C1C8104" w14:textId="53D01F71" w:rsidR="001907DA" w:rsidRPr="007C6BAD" w:rsidRDefault="0011321A" w:rsidP="0011321A">
      <w:pPr>
        <w:pStyle w:val="H4G"/>
        <w:rPr>
          <w:rFonts w:asciiTheme="majorBidi" w:hAnsiTheme="majorBidi" w:cstheme="majorBidi"/>
        </w:rPr>
      </w:pPr>
      <w:r>
        <w:tab/>
      </w:r>
      <w:r>
        <w:tab/>
      </w:r>
      <w:r w:rsidR="001907DA">
        <w:t>Рис. A13-III</w:t>
      </w:r>
    </w:p>
    <w:p w14:paraId="4C8E669F" w14:textId="7E783AA4" w:rsidR="001907DA" w:rsidRPr="007C6BAD" w:rsidRDefault="001907DA" w:rsidP="001907D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>6.</w:t>
      </w:r>
      <w:r>
        <w:tab/>
        <w:t xml:space="preserve">В текущих примерах маркировки 3-a и 3-b имеется стрелка в обе стороны, которая указывает на то, что огонь ближнего света официально утвержден как для правостороннего, так и для левостороннего движения. Однако в тексте под рисунком (в </w:t>
      </w:r>
      <w:r w:rsidR="0011321A">
        <w:t>«</w:t>
      </w:r>
      <w:r>
        <w:t>примечании b)</w:t>
      </w:r>
      <w:r w:rsidR="0011321A">
        <w:t>»</w:t>
      </w:r>
      <w:r>
        <w:t xml:space="preserve">) речь идет только об </w:t>
      </w:r>
      <w:r w:rsidR="0011321A">
        <w:t>«</w:t>
      </w:r>
      <w:r>
        <w:t>огне ближнего света, предназначенном только для правостороннего движения</w:t>
      </w:r>
      <w:r w:rsidR="0011321A">
        <w:t>»</w:t>
      </w:r>
      <w:r>
        <w:t xml:space="preserve">. Поскольку пример маркировки со стрелкой в обе стороны уже приведен на рис. A13-I, то предлагается исключить эту стрелку из обоих примеров 3-a и 3-b на рис. A13-III. Весь текст </w:t>
      </w:r>
      <w:r w:rsidR="0011321A">
        <w:t>«</w:t>
      </w:r>
      <w:r w:rsidR="008C3A1B">
        <w:t>п</w:t>
      </w:r>
      <w:r>
        <w:t>римечаний</w:t>
      </w:r>
      <w:r w:rsidR="0011321A">
        <w:t>»</w:t>
      </w:r>
      <w:r>
        <w:t xml:space="preserve"> под этими двумя примерами остается без изменений.</w:t>
      </w:r>
    </w:p>
    <w:p w14:paraId="0E03B862" w14:textId="404B3CF9" w:rsidR="001907DA" w:rsidRPr="007C6BAD" w:rsidRDefault="0011321A" w:rsidP="0011321A">
      <w:pPr>
        <w:pStyle w:val="H4G"/>
        <w:rPr>
          <w:rFonts w:asciiTheme="majorBidi" w:hAnsiTheme="majorBidi" w:cstheme="majorBidi"/>
        </w:rPr>
      </w:pPr>
      <w:r>
        <w:tab/>
      </w:r>
      <w:r>
        <w:tab/>
      </w:r>
      <w:r w:rsidR="001907DA">
        <w:t>Приложение 1, пункт 9.4.7</w:t>
      </w:r>
    </w:p>
    <w:p w14:paraId="3FC53A2E" w14:textId="77777777" w:rsidR="001907DA" w:rsidRPr="007C6BAD" w:rsidRDefault="001907DA" w:rsidP="001907D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>7.</w:t>
      </w:r>
      <w:r>
        <w:tab/>
        <w:t>Исправлен неверный номер пункта в ссылке.</w:t>
      </w:r>
    </w:p>
    <w:p w14:paraId="0C55C17E" w14:textId="77777777" w:rsidR="001907DA" w:rsidRPr="007C6BAD" w:rsidRDefault="001907DA" w:rsidP="001907DA">
      <w:pPr>
        <w:spacing w:before="240"/>
        <w:jc w:val="center"/>
        <w:rPr>
          <w:u w:val="single"/>
        </w:rPr>
      </w:pPr>
      <w:r w:rsidRPr="007C6BAD">
        <w:rPr>
          <w:u w:val="single"/>
        </w:rPr>
        <w:tab/>
      </w:r>
      <w:r w:rsidRPr="007C6BAD">
        <w:rPr>
          <w:u w:val="single"/>
        </w:rPr>
        <w:tab/>
      </w:r>
      <w:r w:rsidRPr="007C6BAD">
        <w:rPr>
          <w:u w:val="single"/>
        </w:rPr>
        <w:tab/>
      </w:r>
    </w:p>
    <w:sectPr w:rsidR="001907DA" w:rsidRPr="007C6BAD" w:rsidSect="001907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ADC0" w14:textId="77777777" w:rsidR="00E312D8" w:rsidRPr="00A312BC" w:rsidRDefault="00E312D8" w:rsidP="00A312BC"/>
  </w:endnote>
  <w:endnote w:type="continuationSeparator" w:id="0">
    <w:p w14:paraId="4EBC712E" w14:textId="77777777" w:rsidR="00E312D8" w:rsidRPr="00A312BC" w:rsidRDefault="00E312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996F" w14:textId="01221335" w:rsidR="001907DA" w:rsidRPr="001907DA" w:rsidRDefault="001907DA">
    <w:pPr>
      <w:pStyle w:val="a8"/>
    </w:pPr>
    <w:r w:rsidRPr="001907DA">
      <w:rPr>
        <w:b/>
        <w:sz w:val="18"/>
      </w:rPr>
      <w:fldChar w:fldCharType="begin"/>
    </w:r>
    <w:r w:rsidRPr="001907DA">
      <w:rPr>
        <w:b/>
        <w:sz w:val="18"/>
      </w:rPr>
      <w:instrText xml:space="preserve"> PAGE  \* MERGEFORMAT </w:instrText>
    </w:r>
    <w:r w:rsidRPr="001907DA">
      <w:rPr>
        <w:b/>
        <w:sz w:val="18"/>
      </w:rPr>
      <w:fldChar w:fldCharType="separate"/>
    </w:r>
    <w:r w:rsidRPr="001907DA">
      <w:rPr>
        <w:b/>
        <w:noProof/>
        <w:sz w:val="18"/>
      </w:rPr>
      <w:t>2</w:t>
    </w:r>
    <w:r w:rsidRPr="001907DA">
      <w:rPr>
        <w:b/>
        <w:sz w:val="18"/>
      </w:rPr>
      <w:fldChar w:fldCharType="end"/>
    </w:r>
    <w:r>
      <w:rPr>
        <w:b/>
        <w:sz w:val="18"/>
      </w:rPr>
      <w:tab/>
    </w:r>
    <w:r>
      <w:t>GE.23-15235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7CFD" w14:textId="596626A5" w:rsidR="001907DA" w:rsidRPr="001907DA" w:rsidRDefault="001907DA" w:rsidP="001907DA">
    <w:pPr>
      <w:pStyle w:val="a8"/>
      <w:tabs>
        <w:tab w:val="clear" w:pos="9639"/>
        <w:tab w:val="right" w:pos="9638"/>
      </w:tabs>
      <w:rPr>
        <w:b/>
        <w:sz w:val="18"/>
      </w:rPr>
    </w:pPr>
    <w:r>
      <w:t>GE.23-15235</w:t>
    </w:r>
    <w:r>
      <w:tab/>
    </w:r>
    <w:r w:rsidRPr="001907DA">
      <w:rPr>
        <w:b/>
        <w:sz w:val="18"/>
      </w:rPr>
      <w:fldChar w:fldCharType="begin"/>
    </w:r>
    <w:r w:rsidRPr="001907DA">
      <w:rPr>
        <w:b/>
        <w:sz w:val="18"/>
      </w:rPr>
      <w:instrText xml:space="preserve"> PAGE  \* MERGEFORMAT </w:instrText>
    </w:r>
    <w:r w:rsidRPr="001907DA">
      <w:rPr>
        <w:b/>
        <w:sz w:val="18"/>
      </w:rPr>
      <w:fldChar w:fldCharType="separate"/>
    </w:r>
    <w:r w:rsidRPr="001907DA">
      <w:rPr>
        <w:b/>
        <w:noProof/>
        <w:sz w:val="18"/>
      </w:rPr>
      <w:t>3</w:t>
    </w:r>
    <w:r w:rsidRPr="001907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F64B" w14:textId="020AF6BB" w:rsidR="00042B72" w:rsidRPr="001907DA" w:rsidRDefault="001907DA" w:rsidP="001907D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519D44" wp14:editId="2CDC66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23-15235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961B25" wp14:editId="0834733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cs="Times New Roman"/>
        <w:lang w:val="fr-CH"/>
      </w:rPr>
      <w:t>220823  300823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4317" w14:textId="77777777" w:rsidR="00E312D8" w:rsidRPr="001075E9" w:rsidRDefault="00E312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4DE411" w14:textId="77777777" w:rsidR="00E312D8" w:rsidRDefault="00E312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0DBD29" w14:textId="77777777" w:rsidR="001907DA" w:rsidRPr="006D27BD" w:rsidRDefault="001907DA" w:rsidP="001907DA">
      <w:pPr>
        <w:pStyle w:val="ad"/>
        <w:spacing w:after="120"/>
      </w:pPr>
      <w:r>
        <w:tab/>
      </w:r>
      <w:r w:rsidRPr="001907DA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9C98" w14:textId="0A755DBD" w:rsidR="001907DA" w:rsidRPr="001907DA" w:rsidRDefault="001907DA">
    <w:pPr>
      <w:pStyle w:val="a5"/>
    </w:pPr>
    <w:fldSimple w:instr=" TITLE  \* MERGEFORMAT ">
      <w:r w:rsidR="00B47A55">
        <w:t>ECE/TRANS/WP.29/GRE/2023/15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C593" w14:textId="4E504786" w:rsidR="001907DA" w:rsidRPr="001907DA" w:rsidRDefault="001907DA" w:rsidP="001907DA">
    <w:pPr>
      <w:pStyle w:val="a5"/>
      <w:jc w:val="right"/>
    </w:pPr>
    <w:fldSimple w:instr=" TITLE  \* MERGEFORMAT ">
      <w:r w:rsidR="00B47A55">
        <w:t>ECE/TRANS/WP.29/GRE/2023/15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D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21A"/>
    <w:rsid w:val="0014152F"/>
    <w:rsid w:val="00180183"/>
    <w:rsid w:val="0018024D"/>
    <w:rsid w:val="0018649F"/>
    <w:rsid w:val="001907DA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C7F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687C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6004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3A1B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1262"/>
    <w:rsid w:val="00A14DA8"/>
    <w:rsid w:val="00A312BC"/>
    <w:rsid w:val="00A84021"/>
    <w:rsid w:val="00A84D35"/>
    <w:rsid w:val="00A917B3"/>
    <w:rsid w:val="00AB4B51"/>
    <w:rsid w:val="00B10CC7"/>
    <w:rsid w:val="00B27B3B"/>
    <w:rsid w:val="00B36DF7"/>
    <w:rsid w:val="00B47A55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12D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26B96"/>
  <w15:docId w15:val="{9F0943D8-FDF2-44F5-AC83-A66C4AB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907D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907DA"/>
    <w:rPr>
      <w:b/>
      <w:sz w:val="24"/>
      <w:lang w:val="ru-RU" w:eastAsia="ru-RU"/>
    </w:rPr>
  </w:style>
  <w:style w:type="paragraph" w:customStyle="1" w:styleId="4Para4thlevel">
    <w:name w:val="4.Para 4th level"/>
    <w:basedOn w:val="a"/>
    <w:link w:val="4Para4thlevelCar"/>
    <w:qFormat/>
    <w:rsid w:val="001907DA"/>
    <w:pPr>
      <w:spacing w:after="120"/>
      <w:ind w:left="2268" w:right="1134" w:hanging="1134"/>
      <w:jc w:val="both"/>
      <w:outlineLvl w:val="3"/>
    </w:pPr>
    <w:rPr>
      <w:rFonts w:eastAsiaTheme="minorEastAsia" w:cs="Times New Roman"/>
      <w:szCs w:val="20"/>
      <w:lang w:val="en-GB"/>
    </w:rPr>
  </w:style>
  <w:style w:type="character" w:customStyle="1" w:styleId="4Para4thlevelCar">
    <w:name w:val="4.Para 4th level Car"/>
    <w:basedOn w:val="a0"/>
    <w:link w:val="4Para4thlevel"/>
    <w:rsid w:val="001907DA"/>
    <w:rPr>
      <w:rFonts w:eastAsiaTheme="minorEastAsia"/>
      <w:lang w:val="en-GB" w:eastAsia="en-US"/>
    </w:rPr>
  </w:style>
  <w:style w:type="paragraph" w:customStyle="1" w:styleId="2para2ndlevel">
    <w:name w:val="2.para 2nd level"/>
    <w:basedOn w:val="a"/>
    <w:link w:val="2para2ndlevelCar"/>
    <w:qFormat/>
    <w:rsid w:val="001907DA"/>
    <w:pPr>
      <w:spacing w:after="120"/>
      <w:ind w:left="2268" w:right="1134" w:hanging="1134"/>
      <w:jc w:val="both"/>
      <w:outlineLvl w:val="1"/>
    </w:pPr>
    <w:rPr>
      <w:rFonts w:eastAsia="SimSun" w:cs="Times New Roman"/>
      <w:szCs w:val="20"/>
      <w:lang w:val="en-GB"/>
    </w:rPr>
  </w:style>
  <w:style w:type="character" w:customStyle="1" w:styleId="2para2ndlevelCar">
    <w:name w:val="2.para 2nd level Car"/>
    <w:basedOn w:val="a0"/>
    <w:link w:val="2para2ndlevel"/>
    <w:rsid w:val="001907DA"/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1207D-0BD9-4A6C-9D76-20BA5EEE114E}"/>
</file>

<file path=customXml/itemProps2.xml><?xml version="1.0" encoding="utf-8"?>
<ds:datastoreItem xmlns:ds="http://schemas.openxmlformats.org/officeDocument/2006/customXml" ds:itemID="{91FD42AF-F7D8-48CA-A28E-6804208C52D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923</Words>
  <Characters>5588</Characters>
  <Application>Microsoft Office Word</Application>
  <DocSecurity>0</DocSecurity>
  <Lines>184</Lines>
  <Paragraphs>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ECE/TRANS/WP.29/GRE/2023/15</vt:lpstr>
      <vt:lpstr>A/</vt:lpstr>
      <vt:lpstr>A/</vt:lpstr>
    </vt:vector>
  </TitlesOfParts>
  <Company>DCM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ECE/TRANS/WP.29/GRE/2023/15</dc:title>
  <dc:subject/>
  <dc:creator>Anna KISSELEVA</dc:creator>
  <cp:keywords/>
  <cp:lastModifiedBy>Anna Kisseleva</cp:lastModifiedBy>
  <cp:revision>3</cp:revision>
  <cp:lastPrinted>2023-08-30T06:56:00Z</cp:lastPrinted>
  <dcterms:created xsi:type="dcterms:W3CDTF">2023-08-30T06:56:00Z</dcterms:created>
  <dcterms:modified xsi:type="dcterms:W3CDTF">2023-08-30T06:58:00Z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