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0EEC11D" w14:textId="77777777" w:rsidTr="00C97039">
        <w:trPr>
          <w:trHeight w:hRule="exact" w:val="851"/>
        </w:trPr>
        <w:tc>
          <w:tcPr>
            <w:tcW w:w="1276" w:type="dxa"/>
            <w:tcBorders>
              <w:bottom w:val="single" w:sz="4" w:space="0" w:color="auto"/>
            </w:tcBorders>
          </w:tcPr>
          <w:p w14:paraId="0B0B65BC" w14:textId="77777777" w:rsidR="00F35BAF" w:rsidRPr="00DB58B5" w:rsidRDefault="00F35BAF" w:rsidP="00260127"/>
        </w:tc>
        <w:tc>
          <w:tcPr>
            <w:tcW w:w="2268" w:type="dxa"/>
            <w:tcBorders>
              <w:bottom w:val="single" w:sz="4" w:space="0" w:color="auto"/>
            </w:tcBorders>
            <w:vAlign w:val="bottom"/>
          </w:tcPr>
          <w:p w14:paraId="4F4A8C2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9EE959E" w14:textId="421ECF78" w:rsidR="00F35BAF" w:rsidRPr="00DB58B5" w:rsidRDefault="00260127" w:rsidP="00260127">
            <w:pPr>
              <w:jc w:val="right"/>
            </w:pPr>
            <w:r w:rsidRPr="00260127">
              <w:rPr>
                <w:sz w:val="40"/>
              </w:rPr>
              <w:t>ECE</w:t>
            </w:r>
            <w:r>
              <w:t>/TRANS/WP.29/GRE/2023/14</w:t>
            </w:r>
          </w:p>
        </w:tc>
      </w:tr>
      <w:tr w:rsidR="00F35BAF" w:rsidRPr="00DB58B5" w14:paraId="32E591F3" w14:textId="77777777" w:rsidTr="00C97039">
        <w:trPr>
          <w:trHeight w:hRule="exact" w:val="2835"/>
        </w:trPr>
        <w:tc>
          <w:tcPr>
            <w:tcW w:w="1276" w:type="dxa"/>
            <w:tcBorders>
              <w:top w:val="single" w:sz="4" w:space="0" w:color="auto"/>
              <w:bottom w:val="single" w:sz="12" w:space="0" w:color="auto"/>
            </w:tcBorders>
          </w:tcPr>
          <w:p w14:paraId="727352F8" w14:textId="77777777" w:rsidR="00F35BAF" w:rsidRPr="00DB58B5" w:rsidRDefault="00F35BAF" w:rsidP="00C97039">
            <w:pPr>
              <w:spacing w:before="120"/>
              <w:jc w:val="center"/>
            </w:pPr>
            <w:r>
              <w:rPr>
                <w:noProof/>
                <w:lang w:eastAsia="fr-CH"/>
              </w:rPr>
              <w:drawing>
                <wp:inline distT="0" distB="0" distL="0" distR="0" wp14:anchorId="06A1427B" wp14:editId="7380264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42E15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0E9AC5E" w14:textId="77777777" w:rsidR="00F35BAF" w:rsidRDefault="00260127" w:rsidP="00C97039">
            <w:pPr>
              <w:spacing w:before="240"/>
            </w:pPr>
            <w:proofErr w:type="spellStart"/>
            <w:r>
              <w:t>Distr</w:t>
            </w:r>
            <w:proofErr w:type="spellEnd"/>
            <w:r>
              <w:t>. générale</w:t>
            </w:r>
          </w:p>
          <w:p w14:paraId="42291635" w14:textId="469620C6" w:rsidR="00260127" w:rsidRDefault="00260127" w:rsidP="00260127">
            <w:pPr>
              <w:spacing w:line="240" w:lineRule="exact"/>
            </w:pPr>
            <w:r>
              <w:t>7 août 2023</w:t>
            </w:r>
          </w:p>
          <w:p w14:paraId="0BDCDD1C" w14:textId="77777777" w:rsidR="00260127" w:rsidRDefault="00260127" w:rsidP="00260127">
            <w:pPr>
              <w:spacing w:line="240" w:lineRule="exact"/>
            </w:pPr>
            <w:r>
              <w:t>Français</w:t>
            </w:r>
          </w:p>
          <w:p w14:paraId="19CB9A27" w14:textId="25AC1050" w:rsidR="00260127" w:rsidRPr="00DB58B5" w:rsidRDefault="00260127" w:rsidP="00260127">
            <w:pPr>
              <w:spacing w:line="240" w:lineRule="exact"/>
            </w:pPr>
            <w:r>
              <w:t>Original</w:t>
            </w:r>
            <w:r w:rsidR="001509C8">
              <w:t> :</w:t>
            </w:r>
            <w:r>
              <w:t xml:space="preserve"> anglais</w:t>
            </w:r>
          </w:p>
        </w:tc>
      </w:tr>
    </w:tbl>
    <w:p w14:paraId="2C1CF191" w14:textId="77777777" w:rsidR="007F20FA" w:rsidRPr="000312C0" w:rsidRDefault="007F20FA" w:rsidP="007F20FA">
      <w:pPr>
        <w:spacing w:before="120"/>
        <w:rPr>
          <w:b/>
          <w:sz w:val="28"/>
          <w:szCs w:val="28"/>
        </w:rPr>
      </w:pPr>
      <w:r w:rsidRPr="000312C0">
        <w:rPr>
          <w:b/>
          <w:sz w:val="28"/>
          <w:szCs w:val="28"/>
        </w:rPr>
        <w:t>Commission économique pour l’Europe</w:t>
      </w:r>
    </w:p>
    <w:p w14:paraId="6D6C1CCB" w14:textId="77777777" w:rsidR="007F20FA" w:rsidRDefault="007F20FA" w:rsidP="007F20FA">
      <w:pPr>
        <w:spacing w:before="120"/>
        <w:rPr>
          <w:sz w:val="28"/>
          <w:szCs w:val="28"/>
        </w:rPr>
      </w:pPr>
      <w:r w:rsidRPr="00685843">
        <w:rPr>
          <w:sz w:val="28"/>
          <w:szCs w:val="28"/>
        </w:rPr>
        <w:t>Comité des transports intérieurs</w:t>
      </w:r>
    </w:p>
    <w:p w14:paraId="0402B943" w14:textId="0813278F" w:rsidR="00260127" w:rsidRPr="00F97023" w:rsidRDefault="00260127" w:rsidP="00260127">
      <w:pPr>
        <w:spacing w:before="120"/>
        <w:rPr>
          <w:b/>
          <w:sz w:val="24"/>
          <w:szCs w:val="24"/>
        </w:rPr>
      </w:pPr>
      <w:r w:rsidRPr="00F97023">
        <w:rPr>
          <w:b/>
          <w:bCs/>
          <w:sz w:val="24"/>
          <w:szCs w:val="24"/>
          <w:lang w:val="fr-FR"/>
        </w:rPr>
        <w:t>Forum mondial de l</w:t>
      </w:r>
      <w:r>
        <w:rPr>
          <w:b/>
          <w:bCs/>
          <w:sz w:val="24"/>
          <w:szCs w:val="24"/>
          <w:lang w:val="fr-FR"/>
        </w:rPr>
        <w:t>’</w:t>
      </w:r>
      <w:r w:rsidRPr="00F97023">
        <w:rPr>
          <w:b/>
          <w:bCs/>
          <w:sz w:val="24"/>
          <w:szCs w:val="24"/>
          <w:lang w:val="fr-FR"/>
        </w:rPr>
        <w:t xml:space="preserve">harmonisation </w:t>
      </w:r>
      <w:r>
        <w:rPr>
          <w:b/>
          <w:bCs/>
          <w:sz w:val="24"/>
          <w:szCs w:val="24"/>
          <w:lang w:val="fr-FR"/>
        </w:rPr>
        <w:br/>
      </w:r>
      <w:r w:rsidRPr="00F97023">
        <w:rPr>
          <w:b/>
          <w:bCs/>
          <w:sz w:val="24"/>
          <w:szCs w:val="24"/>
          <w:lang w:val="fr-FR"/>
        </w:rPr>
        <w:t>des Règlements concernant les véhicules</w:t>
      </w:r>
    </w:p>
    <w:p w14:paraId="7789E04E" w14:textId="4F2E0720" w:rsidR="00260127" w:rsidRPr="00260127" w:rsidRDefault="00260127" w:rsidP="00260127">
      <w:pPr>
        <w:spacing w:before="120" w:after="120"/>
        <w:rPr>
          <w:b/>
          <w:bCs/>
        </w:rPr>
      </w:pPr>
      <w:r w:rsidRPr="00260127">
        <w:rPr>
          <w:b/>
          <w:bCs/>
          <w:lang w:val="fr-FR"/>
        </w:rPr>
        <w:t xml:space="preserve">Groupe de travail de l’éclairage </w:t>
      </w:r>
      <w:r>
        <w:rPr>
          <w:b/>
          <w:bCs/>
          <w:lang w:val="fr-FR"/>
        </w:rPr>
        <w:br/>
      </w:r>
      <w:r w:rsidRPr="00260127">
        <w:rPr>
          <w:b/>
          <w:bCs/>
          <w:lang w:val="fr-FR"/>
        </w:rPr>
        <w:t>et de la signalisation lumineuse</w:t>
      </w:r>
    </w:p>
    <w:p w14:paraId="7F6F0D8A" w14:textId="77777777" w:rsidR="00260127" w:rsidRPr="00A50CB0" w:rsidRDefault="00260127" w:rsidP="00260127">
      <w:pPr>
        <w:ind w:right="1134"/>
        <w:rPr>
          <w:b/>
        </w:rPr>
      </w:pPr>
      <w:r w:rsidRPr="00A50CB0">
        <w:rPr>
          <w:b/>
          <w:bCs/>
          <w:lang w:val="fr-FR"/>
        </w:rPr>
        <w:t>Quatre-vingt-neuvième session</w:t>
      </w:r>
    </w:p>
    <w:p w14:paraId="6267550D" w14:textId="7EC59AB7" w:rsidR="00260127" w:rsidRPr="00A50CB0" w:rsidRDefault="00260127" w:rsidP="00260127">
      <w:pPr>
        <w:ind w:right="1134"/>
      </w:pPr>
      <w:r w:rsidRPr="00A50CB0">
        <w:rPr>
          <w:lang w:val="fr-FR"/>
        </w:rPr>
        <w:t>Genève, 24</w:t>
      </w:r>
      <w:r w:rsidRPr="00A50CB0">
        <w:rPr>
          <w:lang w:val="fr-FR"/>
        </w:rPr>
        <w:noBreakHyphen/>
      </w:r>
      <w:r w:rsidRPr="00A50CB0">
        <w:rPr>
          <w:lang w:val="fr-FR"/>
        </w:rPr>
        <w:t>27</w:t>
      </w:r>
      <w:r w:rsidRPr="00A50CB0">
        <w:rPr>
          <w:lang w:val="fr-FR"/>
        </w:rPr>
        <w:t> </w:t>
      </w:r>
      <w:r w:rsidRPr="00A50CB0">
        <w:rPr>
          <w:lang w:val="fr-FR"/>
        </w:rPr>
        <w:t>octobre 2023</w:t>
      </w:r>
    </w:p>
    <w:p w14:paraId="3136BF8C" w14:textId="4A6894BD" w:rsidR="00260127" w:rsidRPr="00A50CB0" w:rsidRDefault="00260127" w:rsidP="00260127">
      <w:pPr>
        <w:ind w:right="1134"/>
        <w:rPr>
          <w:bCs/>
        </w:rPr>
      </w:pPr>
      <w:r w:rsidRPr="00A50CB0">
        <w:rPr>
          <w:lang w:val="fr-FR"/>
        </w:rPr>
        <w:t>Point</w:t>
      </w:r>
      <w:r w:rsidRPr="00A50CB0">
        <w:rPr>
          <w:lang w:val="fr-FR"/>
        </w:rPr>
        <w:t> </w:t>
      </w:r>
      <w:r w:rsidRPr="00A50CB0">
        <w:rPr>
          <w:lang w:val="fr-FR"/>
        </w:rPr>
        <w:t>4 de l’ordre du jour provisoire</w:t>
      </w:r>
    </w:p>
    <w:p w14:paraId="1C5F1FF3" w14:textId="291EEC4E" w:rsidR="00260127" w:rsidRPr="00260127" w:rsidRDefault="00260127" w:rsidP="00260127">
      <w:pPr>
        <w:ind w:right="1467"/>
        <w:rPr>
          <w:b/>
          <w:bCs/>
        </w:rPr>
      </w:pPr>
      <w:r w:rsidRPr="00260127">
        <w:rPr>
          <w:b/>
          <w:bCs/>
          <w:lang w:val="fr-FR"/>
        </w:rPr>
        <w:t xml:space="preserve">Simplification des Règlements ONU relatifs </w:t>
      </w:r>
      <w:r w:rsidRPr="00260127">
        <w:rPr>
          <w:b/>
          <w:bCs/>
          <w:lang w:val="fr-FR"/>
        </w:rPr>
        <w:br/>
      </w:r>
      <w:r w:rsidRPr="00260127">
        <w:rPr>
          <w:b/>
          <w:bCs/>
          <w:lang w:val="fr-FR"/>
        </w:rPr>
        <w:t>à l’éclairage et à la signalisation lumineuse</w:t>
      </w:r>
    </w:p>
    <w:p w14:paraId="085968B3" w14:textId="1E30D01D" w:rsidR="00260127" w:rsidRPr="00F97023" w:rsidRDefault="00260127" w:rsidP="00260127">
      <w:pPr>
        <w:pStyle w:val="HChG"/>
      </w:pPr>
      <w:r w:rsidRPr="00F97023">
        <w:rPr>
          <w:lang w:val="fr-FR"/>
        </w:rPr>
        <w:tab/>
      </w:r>
      <w:r w:rsidRPr="00F97023">
        <w:rPr>
          <w:lang w:val="fr-FR"/>
        </w:rPr>
        <w:tab/>
        <w:t>Proposition de complément à la série</w:t>
      </w:r>
      <w:r>
        <w:rPr>
          <w:lang w:val="fr-FR"/>
        </w:rPr>
        <w:t> </w:t>
      </w:r>
      <w:r w:rsidRPr="00F97023">
        <w:rPr>
          <w:lang w:val="fr-FR"/>
        </w:rPr>
        <w:t>01 d</w:t>
      </w:r>
      <w:r>
        <w:rPr>
          <w:lang w:val="fr-FR"/>
        </w:rPr>
        <w:t>’</w:t>
      </w:r>
      <w:r w:rsidRPr="00F97023">
        <w:rPr>
          <w:lang w:val="fr-FR"/>
        </w:rPr>
        <w:t>amendements</w:t>
      </w:r>
      <w:r>
        <w:rPr>
          <w:lang w:val="fr-FR"/>
        </w:rPr>
        <w:br/>
      </w:r>
      <w:r w:rsidRPr="00F97023">
        <w:rPr>
          <w:lang w:val="fr-FR"/>
        </w:rPr>
        <w:t>au Règlement ONU n</w:t>
      </w:r>
      <w:r w:rsidRPr="00260127">
        <w:rPr>
          <w:vertAlign w:val="superscript"/>
          <w:lang w:val="fr-FR"/>
        </w:rPr>
        <w:t>o</w:t>
      </w:r>
      <w:r w:rsidRPr="00260127">
        <w:rPr>
          <w:lang w:val="fr-FR"/>
        </w:rPr>
        <w:t> </w:t>
      </w:r>
      <w:r w:rsidRPr="00F97023">
        <w:rPr>
          <w:lang w:val="fr-FR"/>
        </w:rPr>
        <w:t>148</w:t>
      </w:r>
    </w:p>
    <w:p w14:paraId="69125013" w14:textId="3ECF605E" w:rsidR="00260127" w:rsidRPr="00F97023" w:rsidRDefault="00260127" w:rsidP="00260127">
      <w:pPr>
        <w:pStyle w:val="H1G"/>
      </w:pPr>
      <w:r w:rsidRPr="00F97023">
        <w:rPr>
          <w:lang w:val="fr-FR"/>
        </w:rPr>
        <w:tab/>
      </w:r>
      <w:r w:rsidRPr="00F97023">
        <w:rPr>
          <w:lang w:val="fr-FR"/>
        </w:rPr>
        <w:tab/>
        <w:t xml:space="preserve">Communication du groupe de travail informel de la simplification </w:t>
      </w:r>
      <w:r>
        <w:rPr>
          <w:lang w:val="fr-FR"/>
        </w:rPr>
        <w:br/>
      </w:r>
      <w:r w:rsidRPr="00F97023">
        <w:rPr>
          <w:lang w:val="fr-FR"/>
        </w:rPr>
        <w:t>des Règlements relatifs à l</w:t>
      </w:r>
      <w:r>
        <w:rPr>
          <w:lang w:val="fr-FR"/>
        </w:rPr>
        <w:t>’</w:t>
      </w:r>
      <w:r w:rsidRPr="00F97023">
        <w:rPr>
          <w:lang w:val="fr-FR"/>
        </w:rPr>
        <w:t>éclairage et à la signalisation lumineus</w:t>
      </w:r>
      <w:r>
        <w:rPr>
          <w:lang w:val="fr-FR"/>
        </w:rPr>
        <w:t>e</w:t>
      </w:r>
      <w:r w:rsidRPr="00260127">
        <w:rPr>
          <w:rStyle w:val="Appelnotedebasdep"/>
          <w:b w:val="0"/>
          <w:bCs/>
          <w:sz w:val="20"/>
          <w:vertAlign w:val="baseline"/>
        </w:rPr>
        <w:footnoteReference w:customMarkFollows="1" w:id="2"/>
        <w:t>*</w:t>
      </w:r>
    </w:p>
    <w:p w14:paraId="32974D46" w14:textId="69B1022B" w:rsidR="00260127" w:rsidRDefault="00260127" w:rsidP="00F50368">
      <w:pPr>
        <w:pStyle w:val="SingleTxtG"/>
        <w:ind w:firstLine="567"/>
        <w:rPr>
          <w:lang w:val="fr-FR"/>
        </w:rPr>
      </w:pPr>
      <w:r w:rsidRPr="00F97023">
        <w:rPr>
          <w:lang w:val="fr-FR"/>
        </w:rPr>
        <w:footnoteReference w:customMarkFollows="1" w:id="3"/>
        <w:t>Le texte ci-après, établi par le groupe de travail informel de la simplification des Règlements relatifs à l</w:t>
      </w:r>
      <w:r>
        <w:rPr>
          <w:lang w:val="fr-FR"/>
        </w:rPr>
        <w:t>’</w:t>
      </w:r>
      <w:r w:rsidRPr="00F97023">
        <w:rPr>
          <w:lang w:val="fr-FR"/>
        </w:rPr>
        <w:t>éclairage et à la signalisation lumineuse, vise à apporter des précisions et des corrections au texte de la série</w:t>
      </w:r>
      <w:r w:rsidR="00A50CB0">
        <w:rPr>
          <w:lang w:val="fr-FR"/>
        </w:rPr>
        <w:t> </w:t>
      </w:r>
      <w:r w:rsidRPr="00F97023">
        <w:rPr>
          <w:lang w:val="fr-FR"/>
        </w:rPr>
        <w:t>01 d</w:t>
      </w:r>
      <w:r>
        <w:rPr>
          <w:lang w:val="fr-FR"/>
        </w:rPr>
        <w:t>’</w:t>
      </w:r>
      <w:r w:rsidRPr="00F97023">
        <w:rPr>
          <w:lang w:val="fr-FR"/>
        </w:rPr>
        <w:t>amendements au Règlement ONU n</w:t>
      </w:r>
      <w:r w:rsidRPr="00F97023">
        <w:rPr>
          <w:vertAlign w:val="superscript"/>
          <w:lang w:val="fr-FR"/>
        </w:rPr>
        <w:t>o</w:t>
      </w:r>
      <w:r w:rsidRPr="00260127">
        <w:rPr>
          <w:lang w:val="fr-FR"/>
        </w:rPr>
        <w:t> </w:t>
      </w:r>
      <w:r w:rsidRPr="00F97023">
        <w:rPr>
          <w:lang w:val="fr-FR"/>
        </w:rPr>
        <w:t>148. Les</w:t>
      </w:r>
      <w:r>
        <w:rPr>
          <w:lang w:val="fr-FR"/>
        </w:rPr>
        <w:t> </w:t>
      </w:r>
      <w:r w:rsidRPr="00F97023">
        <w:rPr>
          <w:lang w:val="fr-FR"/>
        </w:rPr>
        <w:t>modifications qu</w:t>
      </w:r>
      <w:r>
        <w:rPr>
          <w:lang w:val="fr-FR"/>
        </w:rPr>
        <w:t>’</w:t>
      </w:r>
      <w:r w:rsidRPr="00F97023">
        <w:rPr>
          <w:lang w:val="fr-FR"/>
        </w:rPr>
        <w:t>il est proposé d</w:t>
      </w:r>
      <w:r>
        <w:rPr>
          <w:lang w:val="fr-FR"/>
        </w:rPr>
        <w:t>’</w:t>
      </w:r>
      <w:r w:rsidRPr="00F97023">
        <w:rPr>
          <w:lang w:val="fr-FR"/>
        </w:rPr>
        <w:t>apporter au texte actuel du Règlement figurent en caractères gras pour les ajouts et biffés pour les suppressions.</w:t>
      </w:r>
      <w:bookmarkStart w:id="0" w:name="_Hlk78276087"/>
      <w:bookmarkEnd w:id="0"/>
    </w:p>
    <w:p w14:paraId="490939C6" w14:textId="77777777" w:rsidR="00260127" w:rsidRDefault="00260127">
      <w:pPr>
        <w:suppressAutoHyphens w:val="0"/>
        <w:kinsoku/>
        <w:overflowPunct/>
        <w:autoSpaceDE/>
        <w:autoSpaceDN/>
        <w:adjustRightInd/>
        <w:snapToGrid/>
        <w:spacing w:after="200" w:line="276" w:lineRule="auto"/>
        <w:rPr>
          <w:lang w:val="fr-FR"/>
        </w:rPr>
      </w:pPr>
      <w:r>
        <w:rPr>
          <w:lang w:val="fr-FR"/>
        </w:rPr>
        <w:br w:type="page"/>
      </w:r>
    </w:p>
    <w:p w14:paraId="36732087" w14:textId="717C4FAB" w:rsidR="00260127" w:rsidRPr="00F97023" w:rsidRDefault="00260127" w:rsidP="00F50368">
      <w:pPr>
        <w:pStyle w:val="HChG"/>
        <w:keepNext w:val="0"/>
      </w:pPr>
      <w:r w:rsidRPr="00F97023">
        <w:rPr>
          <w:lang w:val="fr-FR"/>
        </w:rPr>
        <w:lastRenderedPageBreak/>
        <w:tab/>
        <w:t>I.</w:t>
      </w:r>
      <w:r w:rsidRPr="00F97023">
        <w:rPr>
          <w:lang w:val="fr-FR"/>
        </w:rPr>
        <w:tab/>
        <w:t>Proposition</w:t>
      </w:r>
    </w:p>
    <w:p w14:paraId="79B3B794" w14:textId="3AA5DD50" w:rsidR="00260127" w:rsidRPr="00F97023" w:rsidRDefault="00260127" w:rsidP="00260127">
      <w:pPr>
        <w:pStyle w:val="SingleTxtG"/>
      </w:pPr>
      <w:r w:rsidRPr="00F97023">
        <w:rPr>
          <w:i/>
          <w:iCs/>
          <w:lang w:val="fr-FR"/>
        </w:rPr>
        <w:t>Le paragraphe</w:t>
      </w:r>
      <w:r w:rsidR="00A50CB0">
        <w:rPr>
          <w:i/>
          <w:iCs/>
          <w:lang w:val="fr-FR"/>
        </w:rPr>
        <w:t> </w:t>
      </w:r>
      <w:r w:rsidRPr="00F97023">
        <w:rPr>
          <w:i/>
          <w:iCs/>
          <w:lang w:val="fr-FR"/>
        </w:rPr>
        <w:t>3.3.1.2</w:t>
      </w:r>
      <w:r w:rsidRPr="00F97023">
        <w:rPr>
          <w:lang w:val="fr-FR"/>
        </w:rPr>
        <w:t xml:space="preserve"> devient le paragraphe 3.3.1.1.1</w:t>
      </w:r>
      <w:r>
        <w:rPr>
          <w:lang w:val="fr-FR"/>
        </w:rPr>
        <w:t>.</w:t>
      </w:r>
    </w:p>
    <w:p w14:paraId="7E968F1D" w14:textId="047F8810" w:rsidR="00260127" w:rsidRPr="00F97023" w:rsidRDefault="00260127" w:rsidP="00260127">
      <w:pPr>
        <w:pStyle w:val="SingleTxtG"/>
      </w:pPr>
      <w:r w:rsidRPr="00F97023">
        <w:rPr>
          <w:i/>
          <w:iCs/>
        </w:rPr>
        <w:t>Le paragraphe</w:t>
      </w:r>
      <w:r w:rsidR="00A50CB0">
        <w:rPr>
          <w:i/>
          <w:iCs/>
        </w:rPr>
        <w:t> </w:t>
      </w:r>
      <w:r w:rsidRPr="00F97023">
        <w:rPr>
          <w:i/>
          <w:iCs/>
        </w:rPr>
        <w:t>3.3.1.3</w:t>
      </w:r>
      <w:r w:rsidRPr="00F97023">
        <w:t xml:space="preserve"> devient le paragraphe 3.3.1.2</w:t>
      </w:r>
      <w:r>
        <w:t>.</w:t>
      </w:r>
    </w:p>
    <w:p w14:paraId="70FD5088" w14:textId="53CB5174" w:rsidR="00260127" w:rsidRPr="00BB7F52" w:rsidRDefault="00260127" w:rsidP="00260127">
      <w:pPr>
        <w:pStyle w:val="SingleTxtG"/>
      </w:pPr>
      <w:r w:rsidRPr="00F97023">
        <w:rPr>
          <w:i/>
          <w:iCs/>
          <w:lang w:val="fr-FR"/>
        </w:rPr>
        <w:t>Paragraphe</w:t>
      </w:r>
      <w:r w:rsidR="00A50CB0">
        <w:rPr>
          <w:i/>
          <w:iCs/>
          <w:lang w:val="fr-FR"/>
        </w:rPr>
        <w:t> </w:t>
      </w:r>
      <w:r w:rsidRPr="00F97023">
        <w:rPr>
          <w:i/>
          <w:iCs/>
          <w:lang w:val="fr-FR"/>
        </w:rPr>
        <w:t>3.3.4.4,</w:t>
      </w:r>
      <w:r w:rsidRPr="00F97023">
        <w:rPr>
          <w:lang w:val="fr-FR"/>
        </w:rPr>
        <w:t xml:space="preserve"> </w:t>
      </w:r>
      <w:r>
        <w:rPr>
          <w:lang w:val="fr-FR"/>
        </w:rPr>
        <w:t>modification sans objet en français.</w:t>
      </w:r>
    </w:p>
    <w:p w14:paraId="41075B21" w14:textId="2CCDF584" w:rsidR="00260127" w:rsidRPr="00F97023" w:rsidRDefault="00260127" w:rsidP="00260127">
      <w:pPr>
        <w:pStyle w:val="SingleTxtG"/>
      </w:pPr>
      <w:r w:rsidRPr="00F97023">
        <w:rPr>
          <w:i/>
          <w:iCs/>
          <w:lang w:val="fr-FR"/>
        </w:rPr>
        <w:t>Tableau</w:t>
      </w:r>
      <w:r w:rsidR="00E53C7C">
        <w:rPr>
          <w:i/>
          <w:iCs/>
          <w:lang w:val="fr-FR"/>
        </w:rPr>
        <w:t> </w:t>
      </w:r>
      <w:r w:rsidRPr="00F97023">
        <w:rPr>
          <w:i/>
          <w:iCs/>
          <w:lang w:val="fr-FR"/>
        </w:rPr>
        <w:t>8</w:t>
      </w:r>
      <w:r w:rsidRPr="00F97023">
        <w:rPr>
          <w:lang w:val="fr-FR"/>
        </w:rPr>
        <w:t>, lire</w:t>
      </w:r>
      <w:r w:rsidR="001509C8">
        <w:rPr>
          <w:lang w:val="fr-FR"/>
        </w:rPr>
        <w:t> :</w:t>
      </w:r>
    </w:p>
    <w:p w14:paraId="786FB507" w14:textId="579DAD3E" w:rsidR="00260127" w:rsidRPr="00E53C7C" w:rsidRDefault="00260127" w:rsidP="00F50368">
      <w:pPr>
        <w:pStyle w:val="H23G"/>
        <w:ind w:firstLine="0"/>
      </w:pPr>
      <w:r w:rsidRPr="00F97023">
        <w:rPr>
          <w:lang w:val="fr-FR"/>
        </w:rPr>
        <w:t>« </w:t>
      </w:r>
      <w:r w:rsidRPr="00E53C7C">
        <w:rPr>
          <w:b w:val="0"/>
          <w:bCs/>
        </w:rPr>
        <w:t>Tableau</w:t>
      </w:r>
      <w:r w:rsidR="005B3E95">
        <w:rPr>
          <w:b w:val="0"/>
          <w:bCs/>
        </w:rPr>
        <w:t> </w:t>
      </w:r>
      <w:r w:rsidRPr="00E53C7C">
        <w:rPr>
          <w:b w:val="0"/>
          <w:bCs/>
        </w:rPr>
        <w:t>8</w:t>
      </w:r>
      <w:r w:rsidR="00E53C7C">
        <w:br/>
      </w:r>
      <w:r w:rsidRPr="00E53C7C">
        <w:t>Intensité lumineuse des feux indicateurs de direction</w:t>
      </w:r>
    </w:p>
    <w:tbl>
      <w:tblPr>
        <w:tblW w:w="8504" w:type="dxa"/>
        <w:tblInd w:w="1134" w:type="dxa"/>
        <w:tblLayout w:type="fixed"/>
        <w:tblCellMar>
          <w:left w:w="0" w:type="dxa"/>
          <w:right w:w="0" w:type="dxa"/>
        </w:tblCellMar>
        <w:tblLook w:val="0000" w:firstRow="0" w:lastRow="0" w:firstColumn="0" w:lastColumn="0" w:noHBand="0" w:noVBand="0"/>
      </w:tblPr>
      <w:tblGrid>
        <w:gridCol w:w="1172"/>
        <w:gridCol w:w="1238"/>
        <w:gridCol w:w="996"/>
        <w:gridCol w:w="1137"/>
        <w:gridCol w:w="1277"/>
        <w:gridCol w:w="1408"/>
        <w:gridCol w:w="1276"/>
      </w:tblGrid>
      <w:tr w:rsidR="00000B61" w:rsidRPr="00000B61" w14:paraId="3C0C8DCD" w14:textId="77777777" w:rsidTr="009C4546">
        <w:trPr>
          <w:tblHeader/>
        </w:trPr>
        <w:tc>
          <w:tcPr>
            <w:tcW w:w="1326" w:type="dxa"/>
            <w:vMerge w:val="restart"/>
            <w:tcBorders>
              <w:top w:val="single" w:sz="4" w:space="0" w:color="auto"/>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tcPr>
          <w:p w14:paraId="7080C0B5" w14:textId="77777777" w:rsidR="00260127" w:rsidRPr="00000B61" w:rsidRDefault="00260127" w:rsidP="00000B61">
            <w:pPr>
              <w:suppressAutoHyphens w:val="0"/>
              <w:spacing w:before="80" w:after="80" w:line="200" w:lineRule="exact"/>
              <w:ind w:left="57"/>
              <w:rPr>
                <w:i/>
                <w:sz w:val="16"/>
              </w:rPr>
            </w:pPr>
            <w:r w:rsidRPr="00000B61">
              <w:rPr>
                <w:i/>
                <w:sz w:val="16"/>
                <w:lang w:val="fr-FR"/>
              </w:rPr>
              <w:t>Feux indicateurs de direction de la catégorie</w:t>
            </w:r>
          </w:p>
        </w:tc>
        <w:tc>
          <w:tcPr>
            <w:tcW w:w="1402" w:type="dxa"/>
            <w:vMerge w:val="restart"/>
            <w:tcBorders>
              <w:top w:val="single" w:sz="4" w:space="0" w:color="auto"/>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tcPr>
          <w:p w14:paraId="0B8401D0" w14:textId="516F596C" w:rsidR="00260127" w:rsidRPr="00AF268A" w:rsidRDefault="00260127" w:rsidP="00AE11A2">
            <w:pPr>
              <w:suppressAutoHyphens w:val="0"/>
              <w:spacing w:before="80" w:after="80" w:line="200" w:lineRule="auto"/>
              <w:ind w:left="57" w:right="57"/>
              <w:rPr>
                <w:i/>
                <w:w w:val="103"/>
                <w:kern w:val="14"/>
                <w:sz w:val="16"/>
              </w:rPr>
            </w:pPr>
            <w:r w:rsidRPr="00AF268A">
              <w:rPr>
                <w:i/>
                <w:w w:val="103"/>
                <w:kern w:val="14"/>
                <w:sz w:val="16"/>
                <w:lang w:val="fr-FR"/>
              </w:rPr>
              <w:t>Intensité lumineuse minimale en cd</w:t>
            </w:r>
            <w:r w:rsidR="005B3E95" w:rsidRPr="00AF268A">
              <w:rPr>
                <w:i/>
                <w:w w:val="103"/>
                <w:kern w:val="14"/>
                <w:sz w:val="16"/>
                <w:lang w:val="fr-FR"/>
              </w:rPr>
              <w:br/>
            </w:r>
            <w:r w:rsidRPr="00AF268A">
              <w:rPr>
                <w:i/>
                <w:w w:val="103"/>
                <w:kern w:val="14"/>
                <w:sz w:val="16"/>
                <w:lang w:val="fr-FR"/>
              </w:rPr>
              <w:t>(par.</w:t>
            </w:r>
            <w:r w:rsidR="005B3E95" w:rsidRPr="00AF268A">
              <w:rPr>
                <w:i/>
                <w:w w:val="103"/>
                <w:kern w:val="14"/>
                <w:sz w:val="16"/>
                <w:lang w:val="fr-FR"/>
              </w:rPr>
              <w:t> </w:t>
            </w:r>
            <w:r w:rsidRPr="00AF268A">
              <w:rPr>
                <w:i/>
                <w:w w:val="103"/>
                <w:kern w:val="14"/>
                <w:sz w:val="16"/>
                <w:lang w:val="fr-FR"/>
              </w:rPr>
              <w:t>4.8.3.1</w:t>
            </w:r>
            <w:r w:rsidR="005B3E95" w:rsidRPr="00AF268A">
              <w:rPr>
                <w:i/>
                <w:w w:val="103"/>
                <w:kern w:val="14"/>
                <w:sz w:val="16"/>
                <w:lang w:val="fr-FR"/>
              </w:rPr>
              <w:t> </w:t>
            </w:r>
            <w:r w:rsidRPr="00AF268A">
              <w:rPr>
                <w:i/>
                <w:w w:val="103"/>
                <w:kern w:val="14"/>
                <w:sz w:val="16"/>
                <w:lang w:val="fr-FR"/>
              </w:rPr>
              <w:t xml:space="preserve">a)) </w:t>
            </w: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62463ECF" w14:textId="5E2D15A2" w:rsidR="00260127" w:rsidRPr="004955F8" w:rsidRDefault="00260127" w:rsidP="00AE11A2">
            <w:pPr>
              <w:suppressAutoHyphens w:val="0"/>
              <w:spacing w:before="80" w:after="80" w:line="200" w:lineRule="auto"/>
              <w:ind w:left="57" w:right="57"/>
              <w:jc w:val="center"/>
              <w:rPr>
                <w:i/>
                <w:w w:val="103"/>
                <w:kern w:val="14"/>
                <w:sz w:val="16"/>
              </w:rPr>
            </w:pPr>
            <w:r w:rsidRPr="004955F8">
              <w:rPr>
                <w:i/>
                <w:w w:val="103"/>
                <w:kern w:val="14"/>
                <w:sz w:val="16"/>
                <w:lang w:val="fr-FR"/>
              </w:rPr>
              <w:t>Intensité lumineuse maximale(en cd) lorsque le feu est utilisé (par.</w:t>
            </w:r>
            <w:r w:rsidR="005B3E95" w:rsidRPr="004955F8">
              <w:rPr>
                <w:i/>
                <w:w w:val="103"/>
                <w:kern w:val="14"/>
                <w:sz w:val="16"/>
                <w:lang w:val="fr-FR"/>
              </w:rPr>
              <w:t> </w:t>
            </w:r>
            <w:r w:rsidRPr="004955F8">
              <w:rPr>
                <w:i/>
                <w:w w:val="103"/>
                <w:kern w:val="14"/>
                <w:sz w:val="16"/>
                <w:lang w:val="fr-FR"/>
              </w:rPr>
              <w:t>4.8.3.1 b))</w:t>
            </w:r>
          </w:p>
        </w:tc>
        <w:tc>
          <w:tcPr>
            <w:tcW w:w="1449" w:type="dxa"/>
            <w:vMerge w:val="restart"/>
            <w:tcBorders>
              <w:top w:val="single" w:sz="4" w:space="0" w:color="auto"/>
              <w:left w:val="single" w:sz="4" w:space="0" w:color="auto"/>
              <w:bottom w:val="single" w:sz="12" w:space="0" w:color="auto"/>
              <w:right w:val="single" w:sz="4" w:space="0" w:color="auto"/>
            </w:tcBorders>
            <w:shd w:val="clear" w:color="auto" w:fill="auto"/>
            <w:tcMar>
              <w:top w:w="0" w:type="dxa"/>
              <w:left w:w="5" w:type="dxa"/>
              <w:bottom w:w="0" w:type="dxa"/>
              <w:right w:w="5" w:type="dxa"/>
            </w:tcMar>
            <w:vAlign w:val="bottom"/>
          </w:tcPr>
          <w:p w14:paraId="46F060AE" w14:textId="77AA3FE3" w:rsidR="00260127" w:rsidRPr="00000B61" w:rsidRDefault="00260127" w:rsidP="00AE11A2">
            <w:pPr>
              <w:suppressAutoHyphens w:val="0"/>
              <w:spacing w:before="80" w:after="80" w:line="200" w:lineRule="auto"/>
              <w:ind w:left="57" w:right="57"/>
              <w:rPr>
                <w:i/>
                <w:spacing w:val="4"/>
                <w:w w:val="103"/>
                <w:kern w:val="14"/>
                <w:sz w:val="16"/>
              </w:rPr>
            </w:pPr>
            <w:r w:rsidRPr="00000B61">
              <w:rPr>
                <w:i/>
                <w:spacing w:val="4"/>
                <w:w w:val="103"/>
                <w:kern w:val="14"/>
                <w:sz w:val="16"/>
                <w:lang w:val="fr-FR"/>
              </w:rPr>
              <w:t>Répartition normalisée de</w:t>
            </w:r>
            <w:r w:rsidR="005B3E95" w:rsidRPr="00000B61">
              <w:rPr>
                <w:i/>
                <w:spacing w:val="4"/>
                <w:w w:val="103"/>
                <w:kern w:val="14"/>
                <w:sz w:val="16"/>
                <w:lang w:val="fr-FR"/>
              </w:rPr>
              <w:t> </w:t>
            </w:r>
            <w:r w:rsidRPr="00000B61">
              <w:rPr>
                <w:i/>
                <w:spacing w:val="4"/>
                <w:w w:val="103"/>
                <w:kern w:val="14"/>
                <w:sz w:val="16"/>
                <w:lang w:val="fr-FR"/>
              </w:rPr>
              <w:t>la</w:t>
            </w:r>
            <w:r w:rsidR="005B3E95" w:rsidRPr="00000B61">
              <w:rPr>
                <w:i/>
                <w:spacing w:val="4"/>
                <w:w w:val="103"/>
                <w:kern w:val="14"/>
                <w:sz w:val="16"/>
                <w:lang w:val="fr-FR"/>
              </w:rPr>
              <w:t> </w:t>
            </w:r>
            <w:r w:rsidRPr="00000B61">
              <w:rPr>
                <w:i/>
                <w:spacing w:val="4"/>
                <w:w w:val="103"/>
                <w:kern w:val="14"/>
                <w:sz w:val="16"/>
                <w:lang w:val="fr-FR"/>
              </w:rPr>
              <w:t>lumière</w:t>
            </w:r>
            <w:r w:rsidR="005B3E95" w:rsidRPr="00000B61">
              <w:rPr>
                <w:i/>
                <w:spacing w:val="4"/>
                <w:w w:val="103"/>
                <w:kern w:val="14"/>
                <w:sz w:val="16"/>
                <w:lang w:val="fr-FR"/>
              </w:rPr>
              <w:br/>
            </w:r>
            <w:r w:rsidRPr="00000B61">
              <w:rPr>
                <w:i/>
                <w:spacing w:val="4"/>
                <w:w w:val="103"/>
                <w:kern w:val="14"/>
                <w:sz w:val="16"/>
                <w:lang w:val="fr-FR"/>
              </w:rPr>
              <w:t>(par.</w:t>
            </w:r>
            <w:r w:rsidR="005B3E95" w:rsidRPr="00000B61">
              <w:rPr>
                <w:i/>
                <w:spacing w:val="4"/>
                <w:w w:val="103"/>
                <w:kern w:val="14"/>
                <w:sz w:val="16"/>
                <w:lang w:val="fr-FR"/>
              </w:rPr>
              <w:t> </w:t>
            </w:r>
            <w:r w:rsidRPr="00000B61">
              <w:rPr>
                <w:i/>
                <w:spacing w:val="4"/>
                <w:w w:val="103"/>
                <w:kern w:val="14"/>
                <w:sz w:val="16"/>
                <w:lang w:val="fr-FR"/>
              </w:rPr>
              <w:t>4.8.3.1</w:t>
            </w:r>
            <w:r w:rsidR="005B3E95" w:rsidRPr="00000B61">
              <w:rPr>
                <w:i/>
                <w:spacing w:val="4"/>
                <w:w w:val="103"/>
                <w:kern w:val="14"/>
                <w:sz w:val="16"/>
                <w:lang w:val="fr-FR"/>
              </w:rPr>
              <w:t> </w:t>
            </w:r>
            <w:r w:rsidRPr="00000B61">
              <w:rPr>
                <w:i/>
                <w:spacing w:val="4"/>
                <w:w w:val="103"/>
                <w:kern w:val="14"/>
                <w:sz w:val="16"/>
                <w:lang w:val="fr-FR"/>
              </w:rPr>
              <w:t>c))</w:t>
            </w:r>
          </w:p>
        </w:tc>
        <w:tc>
          <w:tcPr>
            <w:tcW w:w="304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5" w:type="dxa"/>
              <w:bottom w:w="0" w:type="dxa"/>
              <w:right w:w="5" w:type="dxa"/>
            </w:tcMar>
            <w:vAlign w:val="bottom"/>
          </w:tcPr>
          <w:p w14:paraId="09527985" w14:textId="51670150" w:rsidR="00260127" w:rsidRPr="00000B61" w:rsidRDefault="00260127" w:rsidP="00AE11A2">
            <w:pPr>
              <w:suppressAutoHyphens w:val="0"/>
              <w:spacing w:before="80" w:after="80" w:line="200" w:lineRule="auto"/>
              <w:ind w:left="57" w:right="57"/>
              <w:jc w:val="center"/>
              <w:rPr>
                <w:i/>
                <w:spacing w:val="4"/>
                <w:w w:val="103"/>
                <w:kern w:val="14"/>
                <w:sz w:val="16"/>
              </w:rPr>
            </w:pPr>
            <w:r w:rsidRPr="00000B61">
              <w:rPr>
                <w:i/>
                <w:spacing w:val="4"/>
                <w:w w:val="103"/>
                <w:kern w:val="14"/>
                <w:sz w:val="16"/>
                <w:lang w:val="fr-FR"/>
              </w:rPr>
              <w:t>Angles de visibilité géométrique</w:t>
            </w:r>
            <w:r w:rsidR="005B3E95" w:rsidRPr="00000B61">
              <w:rPr>
                <w:i/>
                <w:spacing w:val="4"/>
                <w:w w:val="103"/>
                <w:kern w:val="14"/>
                <w:sz w:val="16"/>
                <w:lang w:val="fr-FR"/>
              </w:rPr>
              <w:br/>
            </w:r>
            <w:r w:rsidRPr="00000B61">
              <w:rPr>
                <w:i/>
                <w:spacing w:val="4"/>
                <w:w w:val="103"/>
                <w:kern w:val="14"/>
                <w:sz w:val="16"/>
                <w:lang w:val="fr-FR"/>
              </w:rPr>
              <w:t>(par.</w:t>
            </w:r>
            <w:r w:rsidR="005B3E95" w:rsidRPr="00000B61">
              <w:rPr>
                <w:i/>
                <w:spacing w:val="4"/>
                <w:w w:val="103"/>
                <w:kern w:val="14"/>
                <w:sz w:val="16"/>
                <w:lang w:val="fr-FR"/>
              </w:rPr>
              <w:t> </w:t>
            </w:r>
            <w:r w:rsidRPr="00000B61">
              <w:rPr>
                <w:i/>
                <w:spacing w:val="4"/>
                <w:w w:val="103"/>
                <w:kern w:val="14"/>
                <w:sz w:val="16"/>
                <w:lang w:val="fr-FR"/>
              </w:rPr>
              <w:t>4.8.3.1</w:t>
            </w:r>
            <w:r w:rsidR="005B3E95" w:rsidRPr="00000B61">
              <w:rPr>
                <w:i/>
                <w:spacing w:val="4"/>
                <w:w w:val="103"/>
                <w:kern w:val="14"/>
                <w:sz w:val="16"/>
                <w:lang w:val="fr-FR"/>
              </w:rPr>
              <w:t> </w:t>
            </w:r>
            <w:r w:rsidRPr="00000B61">
              <w:rPr>
                <w:i/>
                <w:spacing w:val="4"/>
                <w:w w:val="103"/>
                <w:kern w:val="14"/>
                <w:sz w:val="16"/>
                <w:lang w:val="fr-FR"/>
              </w:rPr>
              <w:t>d))</w:t>
            </w:r>
          </w:p>
        </w:tc>
      </w:tr>
      <w:tr w:rsidR="00000B61" w:rsidRPr="00000B61" w14:paraId="67382A5A" w14:textId="77777777" w:rsidTr="009C4546">
        <w:trPr>
          <w:tblHeader/>
        </w:trPr>
        <w:tc>
          <w:tcPr>
            <w:tcW w:w="1326" w:type="dxa"/>
            <w:vMerge/>
            <w:tcBorders>
              <w:top w:val="single" w:sz="12" w:space="0" w:color="auto"/>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tcPr>
          <w:p w14:paraId="48A8CAF0" w14:textId="77777777" w:rsidR="00260127" w:rsidRPr="00000B61" w:rsidRDefault="00260127" w:rsidP="00000B61">
            <w:pPr>
              <w:suppressAutoHyphens w:val="0"/>
              <w:spacing w:before="40" w:after="40" w:line="220" w:lineRule="exact"/>
              <w:ind w:left="57"/>
              <w:rPr>
                <w:sz w:val="18"/>
              </w:rPr>
            </w:pPr>
          </w:p>
        </w:tc>
        <w:tc>
          <w:tcPr>
            <w:tcW w:w="1402" w:type="dxa"/>
            <w:vMerge/>
            <w:tcBorders>
              <w:top w:val="single" w:sz="12" w:space="0" w:color="auto"/>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tcPr>
          <w:p w14:paraId="0E7E2E62" w14:textId="77777777" w:rsidR="00260127" w:rsidRPr="00000B61" w:rsidRDefault="00260127" w:rsidP="00AE11A2">
            <w:pPr>
              <w:suppressAutoHyphens w:val="0"/>
              <w:spacing w:before="80" w:after="80" w:line="200" w:lineRule="auto"/>
              <w:ind w:left="57" w:right="57"/>
              <w:rPr>
                <w:i/>
                <w:spacing w:val="4"/>
                <w:w w:val="103"/>
                <w:kern w:val="14"/>
                <w:sz w:val="16"/>
              </w:rPr>
            </w:pPr>
          </w:p>
        </w:tc>
        <w:tc>
          <w:tcPr>
            <w:tcW w:w="1127" w:type="dxa"/>
            <w:tcBorders>
              <w:top w:val="single" w:sz="4" w:space="0" w:color="auto"/>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tcPr>
          <w:p w14:paraId="19C62D3C" w14:textId="77777777" w:rsidR="00260127" w:rsidRPr="00000B61" w:rsidRDefault="00260127" w:rsidP="00AE11A2">
            <w:pPr>
              <w:suppressAutoHyphens w:val="0"/>
              <w:spacing w:before="80" w:after="80" w:line="200" w:lineRule="auto"/>
              <w:ind w:left="57" w:right="57"/>
              <w:rPr>
                <w:i/>
                <w:spacing w:val="4"/>
                <w:w w:val="103"/>
                <w:kern w:val="14"/>
                <w:sz w:val="16"/>
              </w:rPr>
            </w:pPr>
            <w:r w:rsidRPr="00000B61">
              <w:rPr>
                <w:i/>
                <w:spacing w:val="4"/>
                <w:w w:val="103"/>
                <w:kern w:val="14"/>
                <w:sz w:val="16"/>
                <w:lang w:val="fr-FR"/>
              </w:rPr>
              <w:t>Comme feu simple</w:t>
            </w:r>
          </w:p>
        </w:tc>
        <w:tc>
          <w:tcPr>
            <w:tcW w:w="1287" w:type="dxa"/>
            <w:tcBorders>
              <w:top w:val="single" w:sz="4" w:space="0" w:color="auto"/>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tcPr>
          <w:p w14:paraId="62C22326" w14:textId="77124D3A" w:rsidR="00260127" w:rsidRPr="00AE11A2" w:rsidRDefault="00260127" w:rsidP="00AE11A2">
            <w:pPr>
              <w:suppressAutoHyphens w:val="0"/>
              <w:spacing w:before="80" w:after="80" w:line="200" w:lineRule="auto"/>
              <w:ind w:left="57" w:right="57"/>
              <w:rPr>
                <w:i/>
                <w:w w:val="103"/>
                <w:kern w:val="14"/>
                <w:sz w:val="16"/>
              </w:rPr>
            </w:pPr>
            <w:r w:rsidRPr="00AE11A2">
              <w:rPr>
                <w:i/>
                <w:w w:val="103"/>
                <w:kern w:val="14"/>
                <w:sz w:val="16"/>
                <w:lang w:val="fr-FR"/>
              </w:rPr>
              <w:t xml:space="preserve">Comme feu portant la marque </w:t>
            </w:r>
            <w:r w:rsidR="005B3E95" w:rsidRPr="00AE11A2">
              <w:rPr>
                <w:i/>
                <w:w w:val="103"/>
                <w:kern w:val="14"/>
                <w:sz w:val="16"/>
                <w:lang w:val="fr-FR"/>
              </w:rPr>
              <w:t>« </w:t>
            </w:r>
            <w:r w:rsidRPr="00AE11A2">
              <w:rPr>
                <w:i/>
                <w:w w:val="103"/>
                <w:kern w:val="14"/>
                <w:sz w:val="16"/>
                <w:lang w:val="fr-FR"/>
              </w:rPr>
              <w:t>D</w:t>
            </w:r>
            <w:r w:rsidR="005B3E95" w:rsidRPr="00AE11A2">
              <w:rPr>
                <w:i/>
                <w:w w:val="103"/>
                <w:kern w:val="14"/>
                <w:sz w:val="16"/>
                <w:lang w:val="fr-FR"/>
              </w:rPr>
              <w:t> »</w:t>
            </w:r>
            <w:r w:rsidRPr="00AE11A2">
              <w:rPr>
                <w:i/>
                <w:w w:val="103"/>
                <w:kern w:val="14"/>
                <w:sz w:val="16"/>
                <w:lang w:val="fr-FR"/>
              </w:rPr>
              <w:t xml:space="preserve"> (par.</w:t>
            </w:r>
            <w:r w:rsidR="005B3E95" w:rsidRPr="00AE11A2">
              <w:rPr>
                <w:i/>
                <w:w w:val="103"/>
                <w:kern w:val="14"/>
                <w:sz w:val="16"/>
                <w:lang w:val="fr-FR"/>
              </w:rPr>
              <w:t> </w:t>
            </w:r>
            <w:r w:rsidRPr="00AE11A2">
              <w:rPr>
                <w:i/>
                <w:w w:val="103"/>
                <w:kern w:val="14"/>
                <w:sz w:val="16"/>
                <w:lang w:val="fr-FR"/>
              </w:rPr>
              <w:t>3.3.2.5.2)</w:t>
            </w:r>
          </w:p>
        </w:tc>
        <w:tc>
          <w:tcPr>
            <w:tcW w:w="1449" w:type="dxa"/>
            <w:vMerge/>
            <w:tcBorders>
              <w:top w:val="single" w:sz="12" w:space="0" w:color="auto"/>
              <w:left w:val="single" w:sz="4" w:space="0" w:color="auto"/>
              <w:bottom w:val="single" w:sz="12" w:space="0" w:color="auto"/>
              <w:right w:val="single" w:sz="4" w:space="0" w:color="auto"/>
            </w:tcBorders>
            <w:shd w:val="clear" w:color="auto" w:fill="auto"/>
            <w:tcMar>
              <w:top w:w="0" w:type="dxa"/>
              <w:left w:w="5" w:type="dxa"/>
              <w:bottom w:w="0" w:type="dxa"/>
              <w:right w:w="5" w:type="dxa"/>
            </w:tcMar>
            <w:vAlign w:val="bottom"/>
          </w:tcPr>
          <w:p w14:paraId="4CCB462A" w14:textId="77777777" w:rsidR="00260127" w:rsidRPr="00000B61" w:rsidRDefault="00260127" w:rsidP="00AE11A2">
            <w:pPr>
              <w:suppressAutoHyphens w:val="0"/>
              <w:spacing w:before="80" w:after="80" w:line="200" w:lineRule="auto"/>
              <w:ind w:left="57" w:right="57"/>
              <w:rPr>
                <w:i/>
                <w:spacing w:val="4"/>
                <w:w w:val="103"/>
                <w:kern w:val="14"/>
                <w:sz w:val="16"/>
              </w:rPr>
            </w:pPr>
          </w:p>
        </w:tc>
        <w:tc>
          <w:tcPr>
            <w:tcW w:w="1598" w:type="dxa"/>
            <w:tcBorders>
              <w:top w:val="single" w:sz="4" w:space="0" w:color="auto"/>
              <w:left w:val="single" w:sz="4" w:space="0" w:color="auto"/>
              <w:bottom w:val="single" w:sz="12" w:space="0" w:color="auto"/>
              <w:right w:val="single" w:sz="4" w:space="0" w:color="auto"/>
            </w:tcBorders>
            <w:shd w:val="clear" w:color="auto" w:fill="auto"/>
            <w:tcMar>
              <w:top w:w="0" w:type="dxa"/>
              <w:left w:w="5" w:type="dxa"/>
              <w:bottom w:w="0" w:type="dxa"/>
              <w:right w:w="5" w:type="dxa"/>
            </w:tcMar>
            <w:vAlign w:val="bottom"/>
          </w:tcPr>
          <w:p w14:paraId="2D4F9F89" w14:textId="77777777" w:rsidR="00260127" w:rsidRPr="00000B61" w:rsidRDefault="00260127" w:rsidP="00AE11A2">
            <w:pPr>
              <w:suppressAutoHyphens w:val="0"/>
              <w:spacing w:before="80" w:after="80" w:line="200" w:lineRule="auto"/>
              <w:ind w:left="57" w:right="57"/>
              <w:rPr>
                <w:i/>
                <w:spacing w:val="4"/>
                <w:w w:val="103"/>
                <w:kern w:val="14"/>
                <w:sz w:val="16"/>
              </w:rPr>
            </w:pPr>
            <w:r w:rsidRPr="00000B61">
              <w:rPr>
                <w:i/>
                <w:spacing w:val="4"/>
                <w:w w:val="103"/>
                <w:kern w:val="14"/>
                <w:sz w:val="16"/>
                <w:lang w:val="fr-FR"/>
              </w:rPr>
              <w:t>Définition</w:t>
            </w:r>
          </w:p>
        </w:tc>
        <w:tc>
          <w:tcPr>
            <w:tcW w:w="1448" w:type="dxa"/>
            <w:tcBorders>
              <w:top w:val="single" w:sz="4" w:space="0" w:color="auto"/>
              <w:left w:val="single" w:sz="4" w:space="0" w:color="auto"/>
              <w:bottom w:val="single" w:sz="12" w:space="0" w:color="auto"/>
              <w:right w:val="single" w:sz="4" w:space="0" w:color="auto"/>
            </w:tcBorders>
            <w:shd w:val="clear" w:color="auto" w:fill="auto"/>
            <w:vAlign w:val="bottom"/>
          </w:tcPr>
          <w:p w14:paraId="62A82249" w14:textId="77777777" w:rsidR="00260127" w:rsidRPr="00000B61" w:rsidRDefault="00260127" w:rsidP="00AE11A2">
            <w:pPr>
              <w:suppressAutoHyphens w:val="0"/>
              <w:spacing w:before="80" w:after="80" w:line="200" w:lineRule="auto"/>
              <w:ind w:left="57" w:right="57"/>
              <w:rPr>
                <w:i/>
                <w:spacing w:val="4"/>
                <w:w w:val="103"/>
                <w:kern w:val="14"/>
                <w:sz w:val="16"/>
              </w:rPr>
            </w:pPr>
            <w:r w:rsidRPr="00000B61">
              <w:rPr>
                <w:i/>
                <w:spacing w:val="4"/>
                <w:w w:val="103"/>
                <w:kern w:val="14"/>
                <w:sz w:val="16"/>
                <w:lang w:val="fr-FR"/>
              </w:rPr>
              <w:t>Intensité lumineuse minimale en cd</w:t>
            </w:r>
          </w:p>
        </w:tc>
      </w:tr>
      <w:tr w:rsidR="00000B61" w:rsidRPr="00000B61" w14:paraId="64715504" w14:textId="77777777" w:rsidTr="009C4546">
        <w:tc>
          <w:tcPr>
            <w:tcW w:w="1326" w:type="dxa"/>
            <w:tcBorders>
              <w:top w:val="single" w:sz="12" w:space="0" w:color="auto"/>
              <w:left w:val="single" w:sz="4" w:space="0" w:color="auto"/>
              <w:right w:val="single" w:sz="4" w:space="0" w:color="auto"/>
            </w:tcBorders>
            <w:shd w:val="clear" w:color="auto" w:fill="auto"/>
            <w:tcMar>
              <w:top w:w="0" w:type="dxa"/>
              <w:left w:w="5" w:type="dxa"/>
              <w:bottom w:w="0" w:type="dxa"/>
              <w:right w:w="5" w:type="dxa"/>
            </w:tcMar>
          </w:tcPr>
          <w:p w14:paraId="70BDA4BF" w14:textId="77777777" w:rsidR="00260127" w:rsidRPr="00000B61" w:rsidRDefault="00260127" w:rsidP="00000B61">
            <w:pPr>
              <w:suppressAutoHyphens w:val="0"/>
              <w:spacing w:before="40" w:after="40" w:line="220" w:lineRule="exact"/>
              <w:ind w:left="57"/>
              <w:rPr>
                <w:sz w:val="18"/>
              </w:rPr>
            </w:pPr>
            <w:r w:rsidRPr="00000B61">
              <w:rPr>
                <w:sz w:val="18"/>
                <w:lang w:val="fr-FR"/>
              </w:rPr>
              <w:t>1</w:t>
            </w:r>
          </w:p>
        </w:tc>
        <w:tc>
          <w:tcPr>
            <w:tcW w:w="1402" w:type="dxa"/>
            <w:tcBorders>
              <w:top w:val="single" w:sz="12" w:space="0" w:color="auto"/>
              <w:left w:val="single" w:sz="4" w:space="0" w:color="auto"/>
              <w:right w:val="single" w:sz="4" w:space="0" w:color="auto"/>
            </w:tcBorders>
            <w:shd w:val="clear" w:color="auto" w:fill="auto"/>
            <w:tcMar>
              <w:top w:w="0" w:type="dxa"/>
              <w:left w:w="5" w:type="dxa"/>
              <w:bottom w:w="0" w:type="dxa"/>
              <w:right w:w="5" w:type="dxa"/>
            </w:tcMar>
            <w:vAlign w:val="bottom"/>
          </w:tcPr>
          <w:p w14:paraId="36661C5D"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1,75∙10</w:t>
            </w:r>
            <w:r w:rsidRPr="00000B61">
              <w:rPr>
                <w:sz w:val="18"/>
                <w:vertAlign w:val="superscript"/>
                <w:lang w:val="fr-FR"/>
              </w:rPr>
              <w:t>2</w:t>
            </w:r>
          </w:p>
        </w:tc>
        <w:tc>
          <w:tcPr>
            <w:tcW w:w="1127" w:type="dxa"/>
            <w:tcBorders>
              <w:top w:val="single" w:sz="12" w:space="0" w:color="auto"/>
              <w:left w:val="single" w:sz="4" w:space="0" w:color="auto"/>
              <w:right w:val="single" w:sz="4" w:space="0" w:color="auto"/>
            </w:tcBorders>
            <w:shd w:val="clear" w:color="auto" w:fill="auto"/>
            <w:tcMar>
              <w:top w:w="0" w:type="dxa"/>
              <w:left w:w="5" w:type="dxa"/>
              <w:bottom w:w="0" w:type="dxa"/>
              <w:right w:w="5" w:type="dxa"/>
            </w:tcMar>
            <w:vAlign w:val="bottom"/>
          </w:tcPr>
          <w:p w14:paraId="065AE1B2"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1,20∙10</w:t>
            </w:r>
            <w:r w:rsidRPr="00000B61">
              <w:rPr>
                <w:sz w:val="18"/>
                <w:vertAlign w:val="superscript"/>
                <w:lang w:val="fr-FR"/>
              </w:rPr>
              <w:t>3</w:t>
            </w:r>
          </w:p>
        </w:tc>
        <w:tc>
          <w:tcPr>
            <w:tcW w:w="1287" w:type="dxa"/>
            <w:tcBorders>
              <w:top w:val="single" w:sz="12" w:space="0" w:color="auto"/>
              <w:left w:val="single" w:sz="4" w:space="0" w:color="auto"/>
              <w:right w:val="single" w:sz="4" w:space="0" w:color="auto"/>
            </w:tcBorders>
            <w:shd w:val="clear" w:color="auto" w:fill="auto"/>
            <w:tcMar>
              <w:top w:w="0" w:type="dxa"/>
              <w:left w:w="5" w:type="dxa"/>
              <w:bottom w:w="0" w:type="dxa"/>
              <w:right w:w="5" w:type="dxa"/>
            </w:tcMar>
            <w:vAlign w:val="bottom"/>
          </w:tcPr>
          <w:p w14:paraId="67912F32"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6,00∙10</w:t>
            </w:r>
            <w:r w:rsidRPr="00000B61">
              <w:rPr>
                <w:sz w:val="18"/>
                <w:vertAlign w:val="superscript"/>
                <w:lang w:val="fr-FR"/>
              </w:rPr>
              <w:t>2</w:t>
            </w:r>
          </w:p>
        </w:tc>
        <w:tc>
          <w:tcPr>
            <w:tcW w:w="1449" w:type="dxa"/>
            <w:tcBorders>
              <w:top w:val="single" w:sz="12" w:space="0" w:color="auto"/>
              <w:left w:val="single" w:sz="4" w:space="0" w:color="auto"/>
              <w:right w:val="single" w:sz="4" w:space="0" w:color="auto"/>
            </w:tcBorders>
            <w:shd w:val="clear" w:color="auto" w:fill="auto"/>
            <w:tcMar>
              <w:top w:w="0" w:type="dxa"/>
              <w:left w:w="5" w:type="dxa"/>
              <w:bottom w:w="0" w:type="dxa"/>
              <w:right w:w="5" w:type="dxa"/>
            </w:tcMar>
            <w:vAlign w:val="bottom"/>
          </w:tcPr>
          <w:p w14:paraId="47CC8095" w14:textId="77777777" w:rsidR="00260127" w:rsidRPr="00000B61" w:rsidRDefault="00260127" w:rsidP="00AE11A2">
            <w:pPr>
              <w:suppressAutoHyphens w:val="0"/>
              <w:spacing w:before="40" w:after="40" w:line="220" w:lineRule="exact"/>
              <w:ind w:left="57" w:right="57"/>
              <w:jc w:val="right"/>
              <w:rPr>
                <w:sz w:val="18"/>
              </w:rPr>
            </w:pPr>
            <w:r w:rsidRPr="00000B61">
              <w:rPr>
                <w:sz w:val="18"/>
              </w:rPr>
              <w:t>Figure A3-I</w:t>
            </w:r>
          </w:p>
        </w:tc>
        <w:tc>
          <w:tcPr>
            <w:tcW w:w="1598" w:type="dxa"/>
            <w:tcBorders>
              <w:top w:val="single" w:sz="12" w:space="0" w:color="auto"/>
              <w:left w:val="single" w:sz="4" w:space="0" w:color="auto"/>
              <w:right w:val="single" w:sz="4" w:space="0" w:color="auto"/>
            </w:tcBorders>
            <w:shd w:val="clear" w:color="auto" w:fill="auto"/>
            <w:tcMar>
              <w:top w:w="0" w:type="dxa"/>
              <w:left w:w="5" w:type="dxa"/>
              <w:bottom w:w="0" w:type="dxa"/>
              <w:right w:w="5" w:type="dxa"/>
            </w:tcMar>
            <w:vAlign w:val="bottom"/>
          </w:tcPr>
          <w:p w14:paraId="0B6DB1CB"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Tableau A2-1</w:t>
            </w:r>
          </w:p>
        </w:tc>
        <w:tc>
          <w:tcPr>
            <w:tcW w:w="1448" w:type="dxa"/>
            <w:tcBorders>
              <w:top w:val="single" w:sz="12" w:space="0" w:color="auto"/>
              <w:left w:val="single" w:sz="4" w:space="0" w:color="auto"/>
              <w:right w:val="single" w:sz="4" w:space="0" w:color="auto"/>
            </w:tcBorders>
            <w:shd w:val="clear" w:color="auto" w:fill="auto"/>
            <w:tcMar>
              <w:top w:w="0" w:type="dxa"/>
              <w:left w:w="5" w:type="dxa"/>
              <w:bottom w:w="0" w:type="dxa"/>
              <w:right w:w="5" w:type="dxa"/>
            </w:tcMar>
            <w:vAlign w:val="bottom"/>
          </w:tcPr>
          <w:p w14:paraId="0A4A6E2C" w14:textId="77777777" w:rsidR="00260127" w:rsidRPr="00000B61" w:rsidRDefault="00260127" w:rsidP="00AE11A2">
            <w:pPr>
              <w:suppressAutoHyphens w:val="0"/>
              <w:spacing w:before="40" w:after="40" w:line="220" w:lineRule="exact"/>
              <w:ind w:left="57" w:right="57"/>
              <w:jc w:val="right"/>
              <w:rPr>
                <w:sz w:val="18"/>
              </w:rPr>
            </w:pPr>
            <w:r w:rsidRPr="00000B61">
              <w:rPr>
                <w:sz w:val="18"/>
              </w:rPr>
              <w:t>3∙10</w:t>
            </w:r>
            <w:r w:rsidRPr="00000B61">
              <w:rPr>
                <w:sz w:val="18"/>
                <w:vertAlign w:val="superscript"/>
              </w:rPr>
              <w:t>-1</w:t>
            </w:r>
          </w:p>
        </w:tc>
      </w:tr>
      <w:tr w:rsidR="00000B61" w:rsidRPr="00000B61" w14:paraId="0A4FB893" w14:textId="77777777" w:rsidTr="009C4546">
        <w:tc>
          <w:tcPr>
            <w:tcW w:w="1326" w:type="dxa"/>
            <w:tcBorders>
              <w:left w:val="single" w:sz="4" w:space="0" w:color="auto"/>
              <w:right w:val="single" w:sz="4" w:space="0" w:color="auto"/>
            </w:tcBorders>
            <w:shd w:val="clear" w:color="auto" w:fill="auto"/>
            <w:tcMar>
              <w:top w:w="0" w:type="dxa"/>
              <w:left w:w="5" w:type="dxa"/>
              <w:bottom w:w="0" w:type="dxa"/>
              <w:right w:w="5" w:type="dxa"/>
            </w:tcMar>
          </w:tcPr>
          <w:p w14:paraId="6AD75BC8" w14:textId="77777777" w:rsidR="00260127" w:rsidRPr="00000B61" w:rsidRDefault="00260127" w:rsidP="00000B61">
            <w:pPr>
              <w:suppressAutoHyphens w:val="0"/>
              <w:spacing w:before="40" w:after="40" w:line="220" w:lineRule="exact"/>
              <w:ind w:left="57"/>
              <w:rPr>
                <w:sz w:val="18"/>
              </w:rPr>
            </w:pPr>
            <w:r w:rsidRPr="00000B61">
              <w:rPr>
                <w:sz w:val="18"/>
              </w:rPr>
              <w:t>1a</w:t>
            </w:r>
          </w:p>
        </w:tc>
        <w:tc>
          <w:tcPr>
            <w:tcW w:w="1402"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62E905FC"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2,50∙10</w:t>
            </w:r>
            <w:r w:rsidRPr="00000B61">
              <w:rPr>
                <w:sz w:val="18"/>
                <w:vertAlign w:val="superscript"/>
                <w:lang w:val="fr-FR"/>
              </w:rPr>
              <w:t>2</w:t>
            </w:r>
          </w:p>
        </w:tc>
        <w:tc>
          <w:tcPr>
            <w:tcW w:w="1127"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209777FB"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1,20∙10</w:t>
            </w:r>
            <w:r w:rsidRPr="00000B61">
              <w:rPr>
                <w:sz w:val="18"/>
                <w:vertAlign w:val="superscript"/>
                <w:lang w:val="fr-FR"/>
              </w:rPr>
              <w:t>3</w:t>
            </w:r>
          </w:p>
        </w:tc>
        <w:tc>
          <w:tcPr>
            <w:tcW w:w="1287"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6DE28D15"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6,00∙10</w:t>
            </w:r>
            <w:r w:rsidRPr="00000B61">
              <w:rPr>
                <w:sz w:val="18"/>
                <w:vertAlign w:val="superscript"/>
                <w:lang w:val="fr-FR"/>
              </w:rPr>
              <w:t>2</w:t>
            </w:r>
          </w:p>
        </w:tc>
        <w:tc>
          <w:tcPr>
            <w:tcW w:w="1449"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274B419C" w14:textId="77777777" w:rsidR="00260127" w:rsidRPr="00000B61" w:rsidRDefault="00260127" w:rsidP="00AE11A2">
            <w:pPr>
              <w:suppressAutoHyphens w:val="0"/>
              <w:spacing w:before="40" w:after="40" w:line="220" w:lineRule="exact"/>
              <w:ind w:left="57" w:right="57"/>
              <w:jc w:val="right"/>
              <w:rPr>
                <w:sz w:val="18"/>
              </w:rPr>
            </w:pPr>
            <w:r w:rsidRPr="00000B61">
              <w:rPr>
                <w:sz w:val="18"/>
              </w:rPr>
              <w:t>Figure A3-I</w:t>
            </w:r>
          </w:p>
        </w:tc>
        <w:tc>
          <w:tcPr>
            <w:tcW w:w="1598"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0D20D591"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Tableau A2-1</w:t>
            </w:r>
          </w:p>
        </w:tc>
        <w:tc>
          <w:tcPr>
            <w:tcW w:w="1448"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3FADD1A0"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3∙10</w:t>
            </w:r>
            <w:r w:rsidRPr="00000B61">
              <w:rPr>
                <w:sz w:val="18"/>
                <w:vertAlign w:val="superscript"/>
                <w:lang w:val="fr-FR"/>
              </w:rPr>
              <w:t>-1</w:t>
            </w:r>
          </w:p>
        </w:tc>
      </w:tr>
      <w:tr w:rsidR="00000B61" w:rsidRPr="00000B61" w14:paraId="67CAD230" w14:textId="77777777" w:rsidTr="009C4546">
        <w:tc>
          <w:tcPr>
            <w:tcW w:w="1326" w:type="dxa"/>
            <w:tcBorders>
              <w:left w:val="single" w:sz="4" w:space="0" w:color="auto"/>
              <w:right w:val="single" w:sz="4" w:space="0" w:color="auto"/>
            </w:tcBorders>
            <w:shd w:val="clear" w:color="auto" w:fill="auto"/>
            <w:tcMar>
              <w:top w:w="0" w:type="dxa"/>
              <w:left w:w="5" w:type="dxa"/>
              <w:bottom w:w="0" w:type="dxa"/>
              <w:right w:w="5" w:type="dxa"/>
            </w:tcMar>
          </w:tcPr>
          <w:p w14:paraId="2F68A3E3" w14:textId="77777777" w:rsidR="00260127" w:rsidRPr="00000B61" w:rsidRDefault="00260127" w:rsidP="00000B61">
            <w:pPr>
              <w:suppressAutoHyphens w:val="0"/>
              <w:spacing w:before="40" w:after="40" w:line="220" w:lineRule="exact"/>
              <w:ind w:left="57"/>
              <w:rPr>
                <w:sz w:val="18"/>
              </w:rPr>
            </w:pPr>
            <w:r w:rsidRPr="00000B61">
              <w:rPr>
                <w:sz w:val="18"/>
                <w:lang w:val="fr-FR"/>
              </w:rPr>
              <w:t>1b</w:t>
            </w:r>
          </w:p>
        </w:tc>
        <w:tc>
          <w:tcPr>
            <w:tcW w:w="1402"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5C64160D"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4,00∙10</w:t>
            </w:r>
            <w:r w:rsidRPr="00000B61">
              <w:rPr>
                <w:sz w:val="18"/>
                <w:vertAlign w:val="superscript"/>
                <w:lang w:val="fr-FR"/>
              </w:rPr>
              <w:t>2</w:t>
            </w:r>
          </w:p>
        </w:tc>
        <w:tc>
          <w:tcPr>
            <w:tcW w:w="1127"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06AEE1B8"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1,20∙10</w:t>
            </w:r>
            <w:r w:rsidRPr="00000B61">
              <w:rPr>
                <w:sz w:val="18"/>
                <w:vertAlign w:val="superscript"/>
                <w:lang w:val="fr-FR"/>
              </w:rPr>
              <w:t>3</w:t>
            </w:r>
          </w:p>
        </w:tc>
        <w:tc>
          <w:tcPr>
            <w:tcW w:w="1287"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7E160005"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6,00∙10</w:t>
            </w:r>
            <w:r w:rsidRPr="00000B61">
              <w:rPr>
                <w:sz w:val="18"/>
                <w:vertAlign w:val="superscript"/>
                <w:lang w:val="fr-FR"/>
              </w:rPr>
              <w:t>2</w:t>
            </w:r>
          </w:p>
        </w:tc>
        <w:tc>
          <w:tcPr>
            <w:tcW w:w="1449"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2D0BB827" w14:textId="77777777" w:rsidR="00260127" w:rsidRPr="00000B61" w:rsidRDefault="00260127" w:rsidP="00AE11A2">
            <w:pPr>
              <w:suppressAutoHyphens w:val="0"/>
              <w:spacing w:before="40" w:after="40" w:line="220" w:lineRule="exact"/>
              <w:ind w:left="57" w:right="57"/>
              <w:jc w:val="right"/>
              <w:rPr>
                <w:sz w:val="18"/>
              </w:rPr>
            </w:pPr>
            <w:r w:rsidRPr="00000B61">
              <w:rPr>
                <w:sz w:val="18"/>
              </w:rPr>
              <w:t>Figure A3-I</w:t>
            </w:r>
          </w:p>
        </w:tc>
        <w:tc>
          <w:tcPr>
            <w:tcW w:w="1598"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35A47F38"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Tableau A2-1</w:t>
            </w:r>
          </w:p>
        </w:tc>
        <w:tc>
          <w:tcPr>
            <w:tcW w:w="1448"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02B15307"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7∙10</w:t>
            </w:r>
            <w:r w:rsidRPr="00000B61">
              <w:rPr>
                <w:sz w:val="18"/>
                <w:vertAlign w:val="superscript"/>
                <w:lang w:val="fr-FR"/>
              </w:rPr>
              <w:t>-1</w:t>
            </w:r>
          </w:p>
        </w:tc>
      </w:tr>
      <w:tr w:rsidR="00000B61" w:rsidRPr="00000B61" w14:paraId="0FBB103B" w14:textId="77777777" w:rsidTr="009C4546">
        <w:tc>
          <w:tcPr>
            <w:tcW w:w="1326" w:type="dxa"/>
            <w:tcBorders>
              <w:left w:val="single" w:sz="4" w:space="0" w:color="auto"/>
              <w:right w:val="single" w:sz="4" w:space="0" w:color="auto"/>
            </w:tcBorders>
            <w:shd w:val="clear" w:color="auto" w:fill="auto"/>
            <w:tcMar>
              <w:top w:w="0" w:type="dxa"/>
              <w:left w:w="5" w:type="dxa"/>
              <w:bottom w:w="0" w:type="dxa"/>
              <w:right w:w="5" w:type="dxa"/>
            </w:tcMar>
          </w:tcPr>
          <w:p w14:paraId="6AEE6071" w14:textId="77777777" w:rsidR="00260127" w:rsidRPr="00000B61" w:rsidRDefault="00260127" w:rsidP="00000B61">
            <w:pPr>
              <w:suppressAutoHyphens w:val="0"/>
              <w:spacing w:before="40" w:after="40" w:line="220" w:lineRule="exact"/>
              <w:ind w:left="57"/>
              <w:rPr>
                <w:sz w:val="18"/>
              </w:rPr>
            </w:pPr>
            <w:r w:rsidRPr="00000B61">
              <w:rPr>
                <w:sz w:val="18"/>
                <w:lang w:val="fr-FR"/>
              </w:rPr>
              <w:t>2a (intensité constante)</w:t>
            </w:r>
          </w:p>
        </w:tc>
        <w:tc>
          <w:tcPr>
            <w:tcW w:w="1402"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55F6BA32"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5,0∙10</w:t>
            </w:r>
            <w:r w:rsidRPr="00000B61">
              <w:rPr>
                <w:sz w:val="18"/>
                <w:vertAlign w:val="superscript"/>
                <w:lang w:val="fr-FR"/>
              </w:rPr>
              <w:t>1</w:t>
            </w:r>
          </w:p>
        </w:tc>
        <w:tc>
          <w:tcPr>
            <w:tcW w:w="1127"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755206C6"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5,00∙10</w:t>
            </w:r>
            <w:r w:rsidRPr="00000B61">
              <w:rPr>
                <w:sz w:val="18"/>
                <w:vertAlign w:val="superscript"/>
                <w:lang w:val="fr-FR"/>
              </w:rPr>
              <w:t>2</w:t>
            </w:r>
          </w:p>
        </w:tc>
        <w:tc>
          <w:tcPr>
            <w:tcW w:w="1287"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66DAC85F"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2,50∙10</w:t>
            </w:r>
            <w:r w:rsidRPr="00000B61">
              <w:rPr>
                <w:sz w:val="18"/>
                <w:vertAlign w:val="superscript"/>
                <w:lang w:val="fr-FR"/>
              </w:rPr>
              <w:t>2</w:t>
            </w:r>
          </w:p>
        </w:tc>
        <w:tc>
          <w:tcPr>
            <w:tcW w:w="1449"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7245DAD2" w14:textId="77777777" w:rsidR="00260127" w:rsidRPr="00000B61" w:rsidRDefault="00260127" w:rsidP="00AE11A2">
            <w:pPr>
              <w:suppressAutoHyphens w:val="0"/>
              <w:spacing w:before="40" w:after="40" w:line="220" w:lineRule="exact"/>
              <w:ind w:left="57" w:right="57"/>
              <w:jc w:val="right"/>
              <w:rPr>
                <w:sz w:val="18"/>
              </w:rPr>
            </w:pPr>
            <w:r w:rsidRPr="00000B61">
              <w:rPr>
                <w:sz w:val="18"/>
              </w:rPr>
              <w:t>Figure A3-I</w:t>
            </w:r>
          </w:p>
        </w:tc>
        <w:tc>
          <w:tcPr>
            <w:tcW w:w="1598"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7CE8A338"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Tableau A2-1</w:t>
            </w:r>
          </w:p>
        </w:tc>
        <w:tc>
          <w:tcPr>
            <w:tcW w:w="1448"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03CAA225"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3∙10</w:t>
            </w:r>
            <w:r w:rsidRPr="00000B61">
              <w:rPr>
                <w:sz w:val="18"/>
                <w:vertAlign w:val="superscript"/>
                <w:lang w:val="fr-FR"/>
              </w:rPr>
              <w:t>-1</w:t>
            </w:r>
          </w:p>
        </w:tc>
      </w:tr>
      <w:tr w:rsidR="00000B61" w:rsidRPr="00000B61" w14:paraId="49056059" w14:textId="77777777" w:rsidTr="009C4546">
        <w:tc>
          <w:tcPr>
            <w:tcW w:w="1326" w:type="dxa"/>
            <w:tcBorders>
              <w:left w:val="single" w:sz="4" w:space="0" w:color="auto"/>
              <w:right w:val="single" w:sz="4" w:space="0" w:color="auto"/>
            </w:tcBorders>
            <w:shd w:val="clear" w:color="auto" w:fill="auto"/>
            <w:tcMar>
              <w:top w:w="0" w:type="dxa"/>
              <w:left w:w="5" w:type="dxa"/>
              <w:bottom w:w="0" w:type="dxa"/>
              <w:right w:w="5" w:type="dxa"/>
            </w:tcMar>
          </w:tcPr>
          <w:p w14:paraId="166A500C" w14:textId="77777777" w:rsidR="00260127" w:rsidRPr="00000B61" w:rsidRDefault="00260127" w:rsidP="00000B61">
            <w:pPr>
              <w:suppressAutoHyphens w:val="0"/>
              <w:spacing w:before="40" w:after="40" w:line="220" w:lineRule="exact"/>
              <w:ind w:left="57"/>
              <w:rPr>
                <w:sz w:val="18"/>
              </w:rPr>
            </w:pPr>
            <w:r w:rsidRPr="00000B61">
              <w:rPr>
                <w:sz w:val="18"/>
                <w:lang w:val="fr-FR"/>
              </w:rPr>
              <w:t>2b (intensité variable)</w:t>
            </w:r>
          </w:p>
        </w:tc>
        <w:tc>
          <w:tcPr>
            <w:tcW w:w="1402"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078DA113"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5,0∙10</w:t>
            </w:r>
            <w:r w:rsidRPr="00000B61">
              <w:rPr>
                <w:sz w:val="18"/>
                <w:vertAlign w:val="superscript"/>
                <w:lang w:val="fr-FR"/>
              </w:rPr>
              <w:t>1</w:t>
            </w:r>
          </w:p>
        </w:tc>
        <w:tc>
          <w:tcPr>
            <w:tcW w:w="1127"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5F68F8AB"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1,00∙10</w:t>
            </w:r>
            <w:r w:rsidRPr="00000B61">
              <w:rPr>
                <w:sz w:val="18"/>
                <w:vertAlign w:val="superscript"/>
                <w:lang w:val="fr-FR"/>
              </w:rPr>
              <w:t>3</w:t>
            </w:r>
          </w:p>
        </w:tc>
        <w:tc>
          <w:tcPr>
            <w:tcW w:w="1287"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59189CC0"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5,00∙10</w:t>
            </w:r>
            <w:r w:rsidRPr="00000B61">
              <w:rPr>
                <w:sz w:val="18"/>
                <w:vertAlign w:val="superscript"/>
                <w:lang w:val="fr-FR"/>
              </w:rPr>
              <w:t>2</w:t>
            </w:r>
          </w:p>
        </w:tc>
        <w:tc>
          <w:tcPr>
            <w:tcW w:w="1449"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2042496B" w14:textId="77777777" w:rsidR="00260127" w:rsidRPr="00000B61" w:rsidRDefault="00260127" w:rsidP="00AE11A2">
            <w:pPr>
              <w:suppressAutoHyphens w:val="0"/>
              <w:spacing w:before="40" w:after="40" w:line="220" w:lineRule="exact"/>
              <w:ind w:left="57" w:right="57"/>
              <w:jc w:val="right"/>
              <w:rPr>
                <w:sz w:val="18"/>
              </w:rPr>
            </w:pPr>
            <w:r w:rsidRPr="00000B61">
              <w:rPr>
                <w:sz w:val="18"/>
              </w:rPr>
              <w:t>Figure A3-I</w:t>
            </w:r>
          </w:p>
        </w:tc>
        <w:tc>
          <w:tcPr>
            <w:tcW w:w="1598"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2A075548" w14:textId="77777777" w:rsidR="00260127" w:rsidRPr="00000B61" w:rsidRDefault="00260127" w:rsidP="00AE11A2">
            <w:pPr>
              <w:suppressAutoHyphens w:val="0"/>
              <w:spacing w:before="40" w:after="40" w:line="220" w:lineRule="exact"/>
              <w:ind w:left="57" w:right="57"/>
              <w:jc w:val="right"/>
              <w:rPr>
                <w:sz w:val="18"/>
              </w:rPr>
            </w:pPr>
            <w:r w:rsidRPr="00000B61">
              <w:rPr>
                <w:sz w:val="18"/>
              </w:rPr>
              <w:t>Tableau A2-1</w:t>
            </w:r>
          </w:p>
        </w:tc>
        <w:tc>
          <w:tcPr>
            <w:tcW w:w="1448"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765F629A"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3∙10</w:t>
            </w:r>
            <w:r w:rsidRPr="00000B61">
              <w:rPr>
                <w:sz w:val="18"/>
                <w:vertAlign w:val="superscript"/>
                <w:lang w:val="fr-FR"/>
              </w:rPr>
              <w:t>-1</w:t>
            </w:r>
            <w:r w:rsidRPr="00000B61">
              <w:rPr>
                <w:sz w:val="18"/>
                <w:lang w:val="fr-FR"/>
              </w:rPr>
              <w:t xml:space="preserve"> (jour)</w:t>
            </w:r>
          </w:p>
          <w:p w14:paraId="445697AB"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7∙10</w:t>
            </w:r>
            <w:r w:rsidRPr="00000B61">
              <w:rPr>
                <w:sz w:val="18"/>
                <w:vertAlign w:val="superscript"/>
                <w:lang w:val="fr-FR"/>
              </w:rPr>
              <w:t>-2</w:t>
            </w:r>
            <w:r w:rsidRPr="00000B61">
              <w:rPr>
                <w:sz w:val="18"/>
                <w:lang w:val="fr-FR"/>
              </w:rPr>
              <w:t xml:space="preserve"> (nuit)</w:t>
            </w:r>
          </w:p>
        </w:tc>
      </w:tr>
      <w:tr w:rsidR="00000B61" w:rsidRPr="00000B61" w14:paraId="5B6FF834" w14:textId="77777777" w:rsidTr="009C4546">
        <w:tc>
          <w:tcPr>
            <w:tcW w:w="1326" w:type="dxa"/>
            <w:tcBorders>
              <w:left w:val="single" w:sz="4" w:space="0" w:color="auto"/>
              <w:right w:val="single" w:sz="4" w:space="0" w:color="auto"/>
            </w:tcBorders>
            <w:shd w:val="clear" w:color="auto" w:fill="auto"/>
            <w:tcMar>
              <w:top w:w="0" w:type="dxa"/>
              <w:left w:w="5" w:type="dxa"/>
              <w:bottom w:w="0" w:type="dxa"/>
              <w:right w:w="5" w:type="dxa"/>
            </w:tcMar>
          </w:tcPr>
          <w:p w14:paraId="6E4E1F61" w14:textId="77777777" w:rsidR="00260127" w:rsidRPr="00000B61" w:rsidRDefault="00260127" w:rsidP="00000B61">
            <w:pPr>
              <w:suppressAutoHyphens w:val="0"/>
              <w:spacing w:before="40" w:after="40" w:line="220" w:lineRule="exact"/>
              <w:ind w:left="57"/>
              <w:rPr>
                <w:sz w:val="18"/>
              </w:rPr>
            </w:pPr>
            <w:r w:rsidRPr="00000B61">
              <w:rPr>
                <w:sz w:val="18"/>
                <w:lang w:val="fr-FR"/>
              </w:rPr>
              <w:t>5</w:t>
            </w:r>
          </w:p>
        </w:tc>
        <w:tc>
          <w:tcPr>
            <w:tcW w:w="1402"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4616BF67"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6,10</w:t>
            </w:r>
            <w:r w:rsidRPr="00000B61">
              <w:rPr>
                <w:sz w:val="18"/>
                <w:vertAlign w:val="superscript"/>
                <w:lang w:val="fr-FR"/>
              </w:rPr>
              <w:t>-1</w:t>
            </w:r>
          </w:p>
        </w:tc>
        <w:tc>
          <w:tcPr>
            <w:tcW w:w="1127"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71B9B34C"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2,80∙10</w:t>
            </w:r>
            <w:r w:rsidRPr="00000B61">
              <w:rPr>
                <w:sz w:val="18"/>
                <w:vertAlign w:val="superscript"/>
                <w:lang w:val="fr-FR"/>
              </w:rPr>
              <w:t>2</w:t>
            </w:r>
          </w:p>
        </w:tc>
        <w:tc>
          <w:tcPr>
            <w:tcW w:w="1287"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7C20657D"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1,40∙10</w:t>
            </w:r>
            <w:r w:rsidRPr="00000B61">
              <w:rPr>
                <w:sz w:val="18"/>
                <w:vertAlign w:val="superscript"/>
                <w:lang w:val="fr-FR"/>
              </w:rPr>
              <w:t>2</w:t>
            </w:r>
          </w:p>
        </w:tc>
        <w:tc>
          <w:tcPr>
            <w:tcW w:w="1449"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01E2686C"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Tableau A2-2</w:t>
            </w:r>
          </w:p>
        </w:tc>
        <w:tc>
          <w:tcPr>
            <w:tcW w:w="1598"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65CC9C06"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Tableau A2-2</w:t>
            </w:r>
          </w:p>
        </w:tc>
        <w:tc>
          <w:tcPr>
            <w:tcW w:w="1448"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758A7323"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6∙10</w:t>
            </w:r>
            <w:r w:rsidRPr="00000B61">
              <w:rPr>
                <w:sz w:val="18"/>
                <w:vertAlign w:val="superscript"/>
                <w:lang w:val="fr-FR"/>
              </w:rPr>
              <w:t>-1</w:t>
            </w:r>
          </w:p>
        </w:tc>
      </w:tr>
      <w:tr w:rsidR="00000B61" w:rsidRPr="00000B61" w14:paraId="13183448" w14:textId="77777777" w:rsidTr="009C4546">
        <w:tc>
          <w:tcPr>
            <w:tcW w:w="1326" w:type="dxa"/>
            <w:tcBorders>
              <w:left w:val="single" w:sz="4" w:space="0" w:color="auto"/>
              <w:right w:val="single" w:sz="4" w:space="0" w:color="auto"/>
            </w:tcBorders>
            <w:shd w:val="clear" w:color="auto" w:fill="auto"/>
            <w:tcMar>
              <w:top w:w="0" w:type="dxa"/>
              <w:left w:w="5" w:type="dxa"/>
              <w:bottom w:w="0" w:type="dxa"/>
              <w:right w:w="5" w:type="dxa"/>
            </w:tcMar>
          </w:tcPr>
          <w:p w14:paraId="7191D1B5" w14:textId="77777777" w:rsidR="00260127" w:rsidRPr="00000B61" w:rsidRDefault="00260127" w:rsidP="00000B61">
            <w:pPr>
              <w:suppressAutoHyphens w:val="0"/>
              <w:spacing w:before="40" w:after="40" w:line="220" w:lineRule="exact"/>
              <w:ind w:left="57"/>
              <w:rPr>
                <w:sz w:val="18"/>
              </w:rPr>
            </w:pPr>
            <w:r w:rsidRPr="00000B61">
              <w:rPr>
                <w:sz w:val="18"/>
                <w:lang w:val="fr-FR"/>
              </w:rPr>
              <w:t>6</w:t>
            </w:r>
          </w:p>
        </w:tc>
        <w:tc>
          <w:tcPr>
            <w:tcW w:w="1402"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0226FF66"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5,0∙10</w:t>
            </w:r>
            <w:r w:rsidRPr="00000B61">
              <w:rPr>
                <w:sz w:val="18"/>
                <w:vertAlign w:val="superscript"/>
                <w:lang w:val="fr-FR"/>
              </w:rPr>
              <w:t>1</w:t>
            </w:r>
          </w:p>
        </w:tc>
        <w:tc>
          <w:tcPr>
            <w:tcW w:w="1127"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2D209C3C"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2,80∙10</w:t>
            </w:r>
            <w:r w:rsidRPr="00000B61">
              <w:rPr>
                <w:sz w:val="18"/>
                <w:vertAlign w:val="superscript"/>
                <w:lang w:val="fr-FR"/>
              </w:rPr>
              <w:t>2</w:t>
            </w:r>
          </w:p>
        </w:tc>
        <w:tc>
          <w:tcPr>
            <w:tcW w:w="1287"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57167BC5"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1,40∙10</w:t>
            </w:r>
            <w:r w:rsidRPr="00000B61">
              <w:rPr>
                <w:sz w:val="18"/>
                <w:vertAlign w:val="superscript"/>
                <w:lang w:val="fr-FR"/>
              </w:rPr>
              <w:t>2</w:t>
            </w:r>
          </w:p>
        </w:tc>
        <w:tc>
          <w:tcPr>
            <w:tcW w:w="1449"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14971A79" w14:textId="77777777" w:rsidR="00260127" w:rsidRPr="00000B61" w:rsidRDefault="00260127" w:rsidP="00AE11A2">
            <w:pPr>
              <w:suppressAutoHyphens w:val="0"/>
              <w:spacing w:before="40" w:after="40" w:line="220" w:lineRule="exact"/>
              <w:ind w:left="57" w:right="57"/>
              <w:jc w:val="right"/>
              <w:rPr>
                <w:sz w:val="18"/>
              </w:rPr>
            </w:pPr>
            <w:r w:rsidRPr="00000B61">
              <w:rPr>
                <w:sz w:val="18"/>
              </w:rPr>
              <w:t>Figure A3-IV</w:t>
            </w:r>
          </w:p>
        </w:tc>
        <w:tc>
          <w:tcPr>
            <w:tcW w:w="1598"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03DF48A3" w14:textId="77777777" w:rsidR="00260127" w:rsidRPr="00000B61" w:rsidRDefault="00260127" w:rsidP="00AE11A2">
            <w:pPr>
              <w:suppressAutoHyphens w:val="0"/>
              <w:spacing w:before="40" w:after="40" w:line="220" w:lineRule="exact"/>
              <w:ind w:left="57" w:right="57"/>
              <w:jc w:val="right"/>
              <w:rPr>
                <w:sz w:val="18"/>
              </w:rPr>
            </w:pPr>
            <w:proofErr w:type="spellStart"/>
            <w:r w:rsidRPr="00000B61">
              <w:rPr>
                <w:sz w:val="18"/>
                <w:lang w:val="fr-FR"/>
              </w:rPr>
              <w:t>s.o</w:t>
            </w:r>
            <w:proofErr w:type="spellEnd"/>
          </w:p>
        </w:tc>
        <w:tc>
          <w:tcPr>
            <w:tcW w:w="1448"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27F23CEE" w14:textId="77777777" w:rsidR="00260127" w:rsidRPr="00000B61" w:rsidRDefault="00260127" w:rsidP="00AE11A2">
            <w:pPr>
              <w:suppressAutoHyphens w:val="0"/>
              <w:spacing w:before="40" w:after="40" w:line="220" w:lineRule="exact"/>
              <w:ind w:left="57" w:right="57"/>
              <w:jc w:val="right"/>
              <w:rPr>
                <w:sz w:val="18"/>
              </w:rPr>
            </w:pPr>
            <w:proofErr w:type="spellStart"/>
            <w:r w:rsidRPr="00000B61">
              <w:rPr>
                <w:sz w:val="18"/>
                <w:lang w:val="fr-FR"/>
              </w:rPr>
              <w:t>s.o</w:t>
            </w:r>
            <w:proofErr w:type="spellEnd"/>
          </w:p>
        </w:tc>
      </w:tr>
      <w:tr w:rsidR="00000B61" w:rsidRPr="00000B61" w14:paraId="1A238477" w14:textId="77777777" w:rsidTr="009C4546">
        <w:tc>
          <w:tcPr>
            <w:tcW w:w="1326" w:type="dxa"/>
            <w:tcBorders>
              <w:left w:val="single" w:sz="4" w:space="0" w:color="auto"/>
              <w:right w:val="single" w:sz="4" w:space="0" w:color="auto"/>
            </w:tcBorders>
            <w:shd w:val="clear" w:color="auto" w:fill="auto"/>
            <w:tcMar>
              <w:top w:w="0" w:type="dxa"/>
              <w:left w:w="5" w:type="dxa"/>
              <w:bottom w:w="0" w:type="dxa"/>
              <w:right w:w="5" w:type="dxa"/>
            </w:tcMar>
          </w:tcPr>
          <w:p w14:paraId="229A5C04" w14:textId="77777777" w:rsidR="00260127" w:rsidRPr="00000B61" w:rsidRDefault="00260127" w:rsidP="00000B61">
            <w:pPr>
              <w:suppressAutoHyphens w:val="0"/>
              <w:spacing w:before="40" w:after="40" w:line="220" w:lineRule="exact"/>
              <w:ind w:left="57"/>
              <w:rPr>
                <w:sz w:val="18"/>
              </w:rPr>
            </w:pPr>
            <w:r w:rsidRPr="00000B61">
              <w:rPr>
                <w:sz w:val="18"/>
                <w:lang w:val="fr-FR"/>
              </w:rPr>
              <w:t>11</w:t>
            </w:r>
          </w:p>
        </w:tc>
        <w:tc>
          <w:tcPr>
            <w:tcW w:w="1402"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16C8BF3A"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9,0∙10</w:t>
            </w:r>
            <w:r w:rsidRPr="00000B61">
              <w:rPr>
                <w:sz w:val="18"/>
                <w:vertAlign w:val="superscript"/>
                <w:lang w:val="fr-FR"/>
              </w:rPr>
              <w:t>1</w:t>
            </w:r>
          </w:p>
        </w:tc>
        <w:tc>
          <w:tcPr>
            <w:tcW w:w="1127"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2E5CC945"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1,20∙10</w:t>
            </w:r>
            <w:r w:rsidRPr="00000B61">
              <w:rPr>
                <w:sz w:val="18"/>
                <w:vertAlign w:val="superscript"/>
                <w:lang w:val="fr-FR"/>
              </w:rPr>
              <w:t>3</w:t>
            </w:r>
          </w:p>
        </w:tc>
        <w:tc>
          <w:tcPr>
            <w:tcW w:w="1287"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38A2348F"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6,00∙10</w:t>
            </w:r>
            <w:r w:rsidRPr="00000B61">
              <w:rPr>
                <w:sz w:val="18"/>
                <w:vertAlign w:val="superscript"/>
                <w:lang w:val="fr-FR"/>
              </w:rPr>
              <w:t>2</w:t>
            </w:r>
          </w:p>
        </w:tc>
        <w:tc>
          <w:tcPr>
            <w:tcW w:w="1449"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41C71948" w14:textId="77777777" w:rsidR="00260127" w:rsidRPr="00000B61" w:rsidRDefault="00260127" w:rsidP="00AE11A2">
            <w:pPr>
              <w:suppressAutoHyphens w:val="0"/>
              <w:spacing w:before="40" w:after="40" w:line="220" w:lineRule="exact"/>
              <w:ind w:left="57" w:right="57"/>
              <w:jc w:val="right"/>
              <w:rPr>
                <w:sz w:val="18"/>
              </w:rPr>
            </w:pPr>
            <w:r w:rsidRPr="00000B61">
              <w:rPr>
                <w:sz w:val="18"/>
              </w:rPr>
              <w:t>Figure A3-I</w:t>
            </w:r>
          </w:p>
        </w:tc>
        <w:tc>
          <w:tcPr>
            <w:tcW w:w="1598"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0E21B600"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Tableau A2-1</w:t>
            </w:r>
          </w:p>
        </w:tc>
        <w:tc>
          <w:tcPr>
            <w:tcW w:w="1448"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3E4FE57B"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3∙10</w:t>
            </w:r>
            <w:r w:rsidRPr="00000B61">
              <w:rPr>
                <w:sz w:val="18"/>
                <w:vertAlign w:val="superscript"/>
                <w:lang w:val="fr-FR"/>
              </w:rPr>
              <w:t>-1</w:t>
            </w:r>
          </w:p>
        </w:tc>
      </w:tr>
      <w:tr w:rsidR="00000B61" w:rsidRPr="00000B61" w14:paraId="2B74502F" w14:textId="77777777" w:rsidTr="009C4546">
        <w:tc>
          <w:tcPr>
            <w:tcW w:w="1326" w:type="dxa"/>
            <w:tcBorders>
              <w:left w:val="single" w:sz="4" w:space="0" w:color="auto"/>
              <w:right w:val="single" w:sz="4" w:space="0" w:color="auto"/>
            </w:tcBorders>
            <w:shd w:val="clear" w:color="auto" w:fill="auto"/>
            <w:tcMar>
              <w:top w:w="0" w:type="dxa"/>
              <w:left w:w="5" w:type="dxa"/>
              <w:bottom w:w="0" w:type="dxa"/>
              <w:right w:w="5" w:type="dxa"/>
            </w:tcMar>
          </w:tcPr>
          <w:p w14:paraId="5F9D8878" w14:textId="77777777" w:rsidR="00260127" w:rsidRPr="00000B61" w:rsidRDefault="00260127" w:rsidP="00000B61">
            <w:pPr>
              <w:suppressAutoHyphens w:val="0"/>
              <w:spacing w:before="40" w:after="40" w:line="220" w:lineRule="exact"/>
              <w:ind w:left="57"/>
              <w:rPr>
                <w:sz w:val="18"/>
              </w:rPr>
            </w:pPr>
            <w:r w:rsidRPr="00000B61">
              <w:rPr>
                <w:sz w:val="18"/>
                <w:lang w:val="fr-FR"/>
              </w:rPr>
              <w:t>11a</w:t>
            </w:r>
          </w:p>
        </w:tc>
        <w:tc>
          <w:tcPr>
            <w:tcW w:w="1402"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3989491F"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1,75∙10</w:t>
            </w:r>
            <w:r w:rsidRPr="00000B61">
              <w:rPr>
                <w:sz w:val="18"/>
                <w:vertAlign w:val="superscript"/>
                <w:lang w:val="fr-FR"/>
              </w:rPr>
              <w:t>2</w:t>
            </w:r>
          </w:p>
        </w:tc>
        <w:tc>
          <w:tcPr>
            <w:tcW w:w="1127"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62C708D2"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1,20∙10</w:t>
            </w:r>
            <w:r w:rsidRPr="00000B61">
              <w:rPr>
                <w:strike/>
                <w:sz w:val="18"/>
                <w:vertAlign w:val="superscript"/>
                <w:lang w:val="fr-FR"/>
              </w:rPr>
              <w:t>2</w:t>
            </w:r>
            <w:r w:rsidRPr="00000B61">
              <w:rPr>
                <w:b/>
                <w:bCs/>
                <w:sz w:val="18"/>
                <w:vertAlign w:val="superscript"/>
                <w:lang w:val="fr-FR"/>
              </w:rPr>
              <w:t>3</w:t>
            </w:r>
          </w:p>
        </w:tc>
        <w:tc>
          <w:tcPr>
            <w:tcW w:w="1287"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08AA42F9"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6,00∙10</w:t>
            </w:r>
            <w:r w:rsidRPr="00000B61">
              <w:rPr>
                <w:sz w:val="18"/>
                <w:vertAlign w:val="superscript"/>
                <w:lang w:val="fr-FR"/>
              </w:rPr>
              <w:t>2</w:t>
            </w:r>
          </w:p>
        </w:tc>
        <w:tc>
          <w:tcPr>
            <w:tcW w:w="1449"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06D80667" w14:textId="77777777" w:rsidR="00260127" w:rsidRPr="00000B61" w:rsidRDefault="00260127" w:rsidP="00AE11A2">
            <w:pPr>
              <w:suppressAutoHyphens w:val="0"/>
              <w:spacing w:before="40" w:after="40" w:line="220" w:lineRule="exact"/>
              <w:ind w:left="57" w:right="57"/>
              <w:jc w:val="right"/>
              <w:rPr>
                <w:sz w:val="18"/>
              </w:rPr>
            </w:pPr>
            <w:r w:rsidRPr="00000B61">
              <w:rPr>
                <w:sz w:val="18"/>
              </w:rPr>
              <w:t>Figure A3-I</w:t>
            </w:r>
          </w:p>
        </w:tc>
        <w:tc>
          <w:tcPr>
            <w:tcW w:w="1598"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287A5CE2" w14:textId="77777777" w:rsidR="00260127" w:rsidRPr="00000B61" w:rsidRDefault="00260127" w:rsidP="00AE11A2">
            <w:pPr>
              <w:suppressAutoHyphens w:val="0"/>
              <w:spacing w:before="40" w:after="40" w:line="220" w:lineRule="exact"/>
              <w:ind w:left="57" w:right="57"/>
              <w:jc w:val="right"/>
              <w:rPr>
                <w:sz w:val="18"/>
              </w:rPr>
            </w:pPr>
            <w:r w:rsidRPr="00000B61">
              <w:rPr>
                <w:sz w:val="18"/>
              </w:rPr>
              <w:t>Tableau A2-1</w:t>
            </w:r>
          </w:p>
        </w:tc>
        <w:tc>
          <w:tcPr>
            <w:tcW w:w="1448"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794A1E2B"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3∙10</w:t>
            </w:r>
            <w:r w:rsidRPr="00000B61">
              <w:rPr>
                <w:sz w:val="18"/>
                <w:vertAlign w:val="superscript"/>
                <w:lang w:val="fr-FR"/>
              </w:rPr>
              <w:t>-1</w:t>
            </w:r>
          </w:p>
        </w:tc>
      </w:tr>
      <w:tr w:rsidR="00000B61" w:rsidRPr="00000B61" w14:paraId="0C990FEA" w14:textId="77777777" w:rsidTr="009C4546">
        <w:tc>
          <w:tcPr>
            <w:tcW w:w="1326" w:type="dxa"/>
            <w:tcBorders>
              <w:left w:val="single" w:sz="4" w:space="0" w:color="auto"/>
              <w:right w:val="single" w:sz="4" w:space="0" w:color="auto"/>
            </w:tcBorders>
            <w:shd w:val="clear" w:color="auto" w:fill="auto"/>
            <w:tcMar>
              <w:top w:w="0" w:type="dxa"/>
              <w:left w:w="5" w:type="dxa"/>
              <w:bottom w:w="0" w:type="dxa"/>
              <w:right w:w="5" w:type="dxa"/>
            </w:tcMar>
          </w:tcPr>
          <w:p w14:paraId="2834D898" w14:textId="77777777" w:rsidR="00260127" w:rsidRPr="00000B61" w:rsidRDefault="00260127" w:rsidP="00000B61">
            <w:pPr>
              <w:suppressAutoHyphens w:val="0"/>
              <w:spacing w:before="40" w:after="40" w:line="220" w:lineRule="exact"/>
              <w:ind w:left="57"/>
              <w:rPr>
                <w:sz w:val="18"/>
              </w:rPr>
            </w:pPr>
            <w:r w:rsidRPr="00000B61">
              <w:rPr>
                <w:sz w:val="18"/>
                <w:lang w:val="fr-FR"/>
              </w:rPr>
              <w:t>11b</w:t>
            </w:r>
          </w:p>
        </w:tc>
        <w:tc>
          <w:tcPr>
            <w:tcW w:w="1402"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0E65F791"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2,50∙10</w:t>
            </w:r>
            <w:r w:rsidRPr="00000B61">
              <w:rPr>
                <w:sz w:val="18"/>
                <w:vertAlign w:val="superscript"/>
                <w:lang w:val="fr-FR"/>
              </w:rPr>
              <w:t>2</w:t>
            </w:r>
          </w:p>
        </w:tc>
        <w:tc>
          <w:tcPr>
            <w:tcW w:w="1127"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78D73FED"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1,20∙10</w:t>
            </w:r>
            <w:r w:rsidRPr="00000B61">
              <w:rPr>
                <w:strike/>
                <w:sz w:val="18"/>
                <w:vertAlign w:val="superscript"/>
                <w:lang w:val="fr-FR"/>
              </w:rPr>
              <w:t>2</w:t>
            </w:r>
            <w:r w:rsidRPr="00000B61">
              <w:rPr>
                <w:b/>
                <w:bCs/>
                <w:sz w:val="18"/>
                <w:vertAlign w:val="superscript"/>
                <w:lang w:val="fr-FR"/>
              </w:rPr>
              <w:t>3</w:t>
            </w:r>
          </w:p>
        </w:tc>
        <w:tc>
          <w:tcPr>
            <w:tcW w:w="1287"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74BC6786"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6,00∙10</w:t>
            </w:r>
            <w:r w:rsidRPr="00000B61">
              <w:rPr>
                <w:sz w:val="18"/>
                <w:vertAlign w:val="superscript"/>
                <w:lang w:val="fr-FR"/>
              </w:rPr>
              <w:t>2</w:t>
            </w:r>
          </w:p>
        </w:tc>
        <w:tc>
          <w:tcPr>
            <w:tcW w:w="1449"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7ADC6667" w14:textId="77777777" w:rsidR="00260127" w:rsidRPr="00000B61" w:rsidRDefault="00260127" w:rsidP="00AE11A2">
            <w:pPr>
              <w:suppressAutoHyphens w:val="0"/>
              <w:spacing w:before="40" w:after="40" w:line="220" w:lineRule="exact"/>
              <w:ind w:left="57" w:right="57"/>
              <w:jc w:val="right"/>
              <w:rPr>
                <w:sz w:val="18"/>
              </w:rPr>
            </w:pPr>
            <w:r w:rsidRPr="00000B61">
              <w:rPr>
                <w:sz w:val="18"/>
              </w:rPr>
              <w:t>Figure A3-I</w:t>
            </w:r>
          </w:p>
        </w:tc>
        <w:tc>
          <w:tcPr>
            <w:tcW w:w="1598"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74517ED1"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Tableau A2-1</w:t>
            </w:r>
          </w:p>
        </w:tc>
        <w:tc>
          <w:tcPr>
            <w:tcW w:w="1448"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757B0C70"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3∙10</w:t>
            </w:r>
            <w:r w:rsidRPr="00000B61">
              <w:rPr>
                <w:sz w:val="18"/>
                <w:vertAlign w:val="superscript"/>
                <w:lang w:val="fr-FR"/>
              </w:rPr>
              <w:t>-1</w:t>
            </w:r>
          </w:p>
        </w:tc>
      </w:tr>
      <w:tr w:rsidR="00000B61" w:rsidRPr="00000B61" w14:paraId="2633AD59" w14:textId="77777777" w:rsidTr="009C4546">
        <w:tc>
          <w:tcPr>
            <w:tcW w:w="1326" w:type="dxa"/>
            <w:tcBorders>
              <w:left w:val="single" w:sz="4" w:space="0" w:color="auto"/>
              <w:right w:val="single" w:sz="4" w:space="0" w:color="auto"/>
            </w:tcBorders>
            <w:shd w:val="clear" w:color="auto" w:fill="auto"/>
            <w:tcMar>
              <w:top w:w="0" w:type="dxa"/>
              <w:left w:w="5" w:type="dxa"/>
              <w:bottom w:w="0" w:type="dxa"/>
              <w:right w:w="5" w:type="dxa"/>
            </w:tcMar>
          </w:tcPr>
          <w:p w14:paraId="670434C9" w14:textId="77777777" w:rsidR="00260127" w:rsidRPr="00000B61" w:rsidRDefault="00260127" w:rsidP="00000B61">
            <w:pPr>
              <w:suppressAutoHyphens w:val="0"/>
              <w:spacing w:before="40" w:after="40" w:line="220" w:lineRule="exact"/>
              <w:ind w:left="57"/>
              <w:rPr>
                <w:sz w:val="18"/>
              </w:rPr>
            </w:pPr>
            <w:r w:rsidRPr="00000B61">
              <w:rPr>
                <w:sz w:val="18"/>
                <w:lang w:val="fr-FR"/>
              </w:rPr>
              <w:t>11c</w:t>
            </w:r>
          </w:p>
        </w:tc>
        <w:tc>
          <w:tcPr>
            <w:tcW w:w="1402"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2769E660"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4,00∙10</w:t>
            </w:r>
            <w:r w:rsidRPr="00000B61">
              <w:rPr>
                <w:sz w:val="18"/>
                <w:vertAlign w:val="superscript"/>
                <w:lang w:val="fr-FR"/>
              </w:rPr>
              <w:t>2</w:t>
            </w:r>
          </w:p>
        </w:tc>
        <w:tc>
          <w:tcPr>
            <w:tcW w:w="1127"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24B7C52C"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1,20∙10</w:t>
            </w:r>
            <w:r w:rsidRPr="00000B61">
              <w:rPr>
                <w:strike/>
                <w:sz w:val="18"/>
                <w:vertAlign w:val="superscript"/>
                <w:lang w:val="fr-FR"/>
              </w:rPr>
              <w:t>2</w:t>
            </w:r>
            <w:r w:rsidRPr="00000B61">
              <w:rPr>
                <w:b/>
                <w:bCs/>
                <w:sz w:val="18"/>
                <w:vertAlign w:val="superscript"/>
                <w:lang w:val="fr-FR"/>
              </w:rPr>
              <w:t>3</w:t>
            </w:r>
          </w:p>
        </w:tc>
        <w:tc>
          <w:tcPr>
            <w:tcW w:w="1287"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3913E9B9"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6,00∙10</w:t>
            </w:r>
            <w:r w:rsidRPr="00000B61">
              <w:rPr>
                <w:sz w:val="18"/>
                <w:vertAlign w:val="superscript"/>
                <w:lang w:val="fr-FR"/>
              </w:rPr>
              <w:t>2</w:t>
            </w:r>
          </w:p>
        </w:tc>
        <w:tc>
          <w:tcPr>
            <w:tcW w:w="1449"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4BFA35A6" w14:textId="77777777" w:rsidR="00260127" w:rsidRPr="00000B61" w:rsidRDefault="00260127" w:rsidP="00AE11A2">
            <w:pPr>
              <w:suppressAutoHyphens w:val="0"/>
              <w:spacing w:before="40" w:after="40" w:line="220" w:lineRule="exact"/>
              <w:ind w:left="57" w:right="57"/>
              <w:jc w:val="right"/>
              <w:rPr>
                <w:sz w:val="18"/>
              </w:rPr>
            </w:pPr>
            <w:r w:rsidRPr="00000B61">
              <w:rPr>
                <w:sz w:val="18"/>
              </w:rPr>
              <w:t>Figure A3-I</w:t>
            </w:r>
          </w:p>
        </w:tc>
        <w:tc>
          <w:tcPr>
            <w:tcW w:w="1598"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58E8FA2B"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Tableau A2-1</w:t>
            </w:r>
          </w:p>
        </w:tc>
        <w:tc>
          <w:tcPr>
            <w:tcW w:w="1448" w:type="dxa"/>
            <w:tcBorders>
              <w:left w:val="single" w:sz="4" w:space="0" w:color="auto"/>
              <w:right w:val="single" w:sz="4" w:space="0" w:color="auto"/>
            </w:tcBorders>
            <w:shd w:val="clear" w:color="auto" w:fill="auto"/>
            <w:tcMar>
              <w:top w:w="0" w:type="dxa"/>
              <w:left w:w="5" w:type="dxa"/>
              <w:bottom w:w="0" w:type="dxa"/>
              <w:right w:w="5" w:type="dxa"/>
            </w:tcMar>
            <w:vAlign w:val="bottom"/>
          </w:tcPr>
          <w:p w14:paraId="7CD22DCB"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3∙10</w:t>
            </w:r>
            <w:r w:rsidRPr="00000B61">
              <w:rPr>
                <w:sz w:val="18"/>
                <w:vertAlign w:val="superscript"/>
                <w:lang w:val="fr-FR"/>
              </w:rPr>
              <w:t>-1</w:t>
            </w:r>
          </w:p>
        </w:tc>
      </w:tr>
      <w:tr w:rsidR="009C4546" w:rsidRPr="00000B61" w14:paraId="0DF2E703" w14:textId="77777777" w:rsidTr="009C4546">
        <w:tc>
          <w:tcPr>
            <w:tcW w:w="1326" w:type="dxa"/>
            <w:tcBorders>
              <w:left w:val="single" w:sz="4" w:space="0" w:color="auto"/>
              <w:bottom w:val="single" w:sz="12" w:space="0" w:color="auto"/>
              <w:right w:val="single" w:sz="4" w:space="0" w:color="auto"/>
            </w:tcBorders>
            <w:shd w:val="clear" w:color="auto" w:fill="auto"/>
            <w:tcMar>
              <w:top w:w="0" w:type="dxa"/>
              <w:left w:w="5" w:type="dxa"/>
              <w:bottom w:w="0" w:type="dxa"/>
              <w:right w:w="5" w:type="dxa"/>
            </w:tcMar>
          </w:tcPr>
          <w:p w14:paraId="278DF8B0" w14:textId="77777777" w:rsidR="00260127" w:rsidRPr="00000B61" w:rsidRDefault="00260127" w:rsidP="00000B61">
            <w:pPr>
              <w:suppressAutoHyphens w:val="0"/>
              <w:spacing w:before="40" w:after="40" w:line="220" w:lineRule="exact"/>
              <w:ind w:left="57"/>
              <w:rPr>
                <w:sz w:val="18"/>
              </w:rPr>
            </w:pPr>
            <w:r w:rsidRPr="00000B61">
              <w:rPr>
                <w:sz w:val="18"/>
                <w:lang w:val="fr-FR"/>
              </w:rPr>
              <w:t>12</w:t>
            </w:r>
          </w:p>
        </w:tc>
        <w:tc>
          <w:tcPr>
            <w:tcW w:w="1402" w:type="dxa"/>
            <w:tcBorders>
              <w:left w:val="single" w:sz="4" w:space="0" w:color="auto"/>
              <w:bottom w:val="single" w:sz="12" w:space="0" w:color="auto"/>
              <w:right w:val="single" w:sz="4" w:space="0" w:color="auto"/>
            </w:tcBorders>
            <w:shd w:val="clear" w:color="auto" w:fill="auto"/>
            <w:tcMar>
              <w:top w:w="0" w:type="dxa"/>
              <w:left w:w="5" w:type="dxa"/>
              <w:bottom w:w="0" w:type="dxa"/>
              <w:right w:w="5" w:type="dxa"/>
            </w:tcMar>
            <w:vAlign w:val="bottom"/>
          </w:tcPr>
          <w:p w14:paraId="0C8A4B1D"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5,0∙10</w:t>
            </w:r>
            <w:r w:rsidRPr="00000B61">
              <w:rPr>
                <w:sz w:val="18"/>
                <w:vertAlign w:val="superscript"/>
                <w:lang w:val="fr-FR"/>
              </w:rPr>
              <w:t>1</w:t>
            </w:r>
          </w:p>
        </w:tc>
        <w:tc>
          <w:tcPr>
            <w:tcW w:w="1127" w:type="dxa"/>
            <w:tcBorders>
              <w:left w:val="single" w:sz="4" w:space="0" w:color="auto"/>
              <w:bottom w:val="single" w:sz="12" w:space="0" w:color="auto"/>
              <w:right w:val="single" w:sz="4" w:space="0" w:color="auto"/>
            </w:tcBorders>
            <w:shd w:val="clear" w:color="auto" w:fill="auto"/>
            <w:tcMar>
              <w:top w:w="0" w:type="dxa"/>
              <w:left w:w="5" w:type="dxa"/>
              <w:bottom w:w="0" w:type="dxa"/>
              <w:right w:w="5" w:type="dxa"/>
            </w:tcMar>
            <w:vAlign w:val="bottom"/>
          </w:tcPr>
          <w:p w14:paraId="30703C7A"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5,00∙10</w:t>
            </w:r>
            <w:r w:rsidRPr="00000B61">
              <w:rPr>
                <w:sz w:val="18"/>
                <w:vertAlign w:val="superscript"/>
                <w:lang w:val="fr-FR"/>
              </w:rPr>
              <w:t>2</w:t>
            </w:r>
          </w:p>
        </w:tc>
        <w:tc>
          <w:tcPr>
            <w:tcW w:w="1287" w:type="dxa"/>
            <w:tcBorders>
              <w:left w:val="single" w:sz="4" w:space="0" w:color="auto"/>
              <w:bottom w:val="single" w:sz="12" w:space="0" w:color="auto"/>
              <w:right w:val="single" w:sz="4" w:space="0" w:color="auto"/>
            </w:tcBorders>
            <w:shd w:val="clear" w:color="auto" w:fill="auto"/>
            <w:tcMar>
              <w:top w:w="0" w:type="dxa"/>
              <w:left w:w="5" w:type="dxa"/>
              <w:bottom w:w="0" w:type="dxa"/>
              <w:right w:w="5" w:type="dxa"/>
            </w:tcMar>
            <w:vAlign w:val="bottom"/>
          </w:tcPr>
          <w:p w14:paraId="5CCCDCD9"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2,50∙10</w:t>
            </w:r>
            <w:r w:rsidRPr="00000B61">
              <w:rPr>
                <w:sz w:val="18"/>
                <w:vertAlign w:val="superscript"/>
                <w:lang w:val="fr-FR"/>
              </w:rPr>
              <w:t>2</w:t>
            </w:r>
          </w:p>
        </w:tc>
        <w:tc>
          <w:tcPr>
            <w:tcW w:w="1449" w:type="dxa"/>
            <w:tcBorders>
              <w:left w:val="single" w:sz="4" w:space="0" w:color="auto"/>
              <w:bottom w:val="single" w:sz="12" w:space="0" w:color="auto"/>
              <w:right w:val="single" w:sz="4" w:space="0" w:color="auto"/>
            </w:tcBorders>
            <w:shd w:val="clear" w:color="auto" w:fill="auto"/>
            <w:tcMar>
              <w:top w:w="0" w:type="dxa"/>
              <w:left w:w="5" w:type="dxa"/>
              <w:bottom w:w="0" w:type="dxa"/>
              <w:right w:w="5" w:type="dxa"/>
            </w:tcMar>
            <w:vAlign w:val="bottom"/>
          </w:tcPr>
          <w:p w14:paraId="3A416A71" w14:textId="77777777" w:rsidR="00260127" w:rsidRPr="00000B61" w:rsidRDefault="00260127" w:rsidP="00AE11A2">
            <w:pPr>
              <w:suppressAutoHyphens w:val="0"/>
              <w:spacing w:before="40" w:after="40" w:line="220" w:lineRule="exact"/>
              <w:ind w:left="57" w:right="57"/>
              <w:jc w:val="right"/>
              <w:rPr>
                <w:sz w:val="18"/>
              </w:rPr>
            </w:pPr>
            <w:r w:rsidRPr="00000B61">
              <w:rPr>
                <w:sz w:val="18"/>
              </w:rPr>
              <w:t>Figure A3-I</w:t>
            </w:r>
          </w:p>
        </w:tc>
        <w:tc>
          <w:tcPr>
            <w:tcW w:w="1598" w:type="dxa"/>
            <w:tcBorders>
              <w:left w:val="single" w:sz="4" w:space="0" w:color="auto"/>
              <w:bottom w:val="single" w:sz="12" w:space="0" w:color="auto"/>
              <w:right w:val="single" w:sz="4" w:space="0" w:color="auto"/>
            </w:tcBorders>
            <w:shd w:val="clear" w:color="auto" w:fill="auto"/>
            <w:tcMar>
              <w:top w:w="0" w:type="dxa"/>
              <w:left w:w="5" w:type="dxa"/>
              <w:bottom w:w="0" w:type="dxa"/>
              <w:right w:w="5" w:type="dxa"/>
            </w:tcMar>
            <w:vAlign w:val="bottom"/>
          </w:tcPr>
          <w:p w14:paraId="7A9D4352"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Tableau A2-1</w:t>
            </w:r>
          </w:p>
        </w:tc>
        <w:tc>
          <w:tcPr>
            <w:tcW w:w="1448" w:type="dxa"/>
            <w:tcBorders>
              <w:left w:val="single" w:sz="4" w:space="0" w:color="auto"/>
              <w:bottom w:val="single" w:sz="12" w:space="0" w:color="auto"/>
              <w:right w:val="single" w:sz="4" w:space="0" w:color="auto"/>
            </w:tcBorders>
            <w:shd w:val="clear" w:color="auto" w:fill="auto"/>
            <w:tcMar>
              <w:top w:w="0" w:type="dxa"/>
              <w:left w:w="5" w:type="dxa"/>
              <w:bottom w:w="0" w:type="dxa"/>
              <w:right w:w="5" w:type="dxa"/>
            </w:tcMar>
            <w:vAlign w:val="bottom"/>
          </w:tcPr>
          <w:p w14:paraId="7E2C8B8F" w14:textId="77777777" w:rsidR="00260127" w:rsidRPr="00000B61" w:rsidRDefault="00260127" w:rsidP="00AE11A2">
            <w:pPr>
              <w:suppressAutoHyphens w:val="0"/>
              <w:spacing w:before="40" w:after="40" w:line="220" w:lineRule="exact"/>
              <w:ind w:left="57" w:right="57"/>
              <w:jc w:val="right"/>
              <w:rPr>
                <w:sz w:val="18"/>
              </w:rPr>
            </w:pPr>
            <w:r w:rsidRPr="00000B61">
              <w:rPr>
                <w:sz w:val="18"/>
                <w:lang w:val="fr-FR"/>
              </w:rPr>
              <w:t>3∙10</w:t>
            </w:r>
            <w:r w:rsidRPr="00000B61">
              <w:rPr>
                <w:sz w:val="18"/>
                <w:vertAlign w:val="superscript"/>
                <w:lang w:val="fr-FR"/>
              </w:rPr>
              <w:t>-1</w:t>
            </w:r>
          </w:p>
        </w:tc>
      </w:tr>
    </w:tbl>
    <w:p w14:paraId="3A950D85" w14:textId="77777777" w:rsidR="00260127" w:rsidRPr="00F97023" w:rsidRDefault="00260127" w:rsidP="007753B0">
      <w:pPr>
        <w:pStyle w:val="SingleTxtG"/>
        <w:ind w:right="0"/>
        <w:jc w:val="right"/>
      </w:pPr>
      <w:r>
        <w:rPr>
          <w:lang w:val="fr-FR"/>
        </w:rPr>
        <w:t> ».</w:t>
      </w:r>
    </w:p>
    <w:p w14:paraId="03348056" w14:textId="53B60099" w:rsidR="00260127" w:rsidRPr="00F97023" w:rsidRDefault="00260127" w:rsidP="001509C8">
      <w:pPr>
        <w:pStyle w:val="SingleTxtG"/>
      </w:pPr>
      <w:r w:rsidRPr="001509C8">
        <w:rPr>
          <w:i/>
          <w:iCs/>
          <w:lang w:val="fr-FR"/>
        </w:rPr>
        <w:t>Paragraphe 5.7.7</w:t>
      </w:r>
      <w:r w:rsidRPr="00F97023">
        <w:rPr>
          <w:lang w:val="fr-FR"/>
        </w:rPr>
        <w:t>, lire</w:t>
      </w:r>
      <w:r w:rsidR="001509C8">
        <w:rPr>
          <w:lang w:val="fr-FR"/>
        </w:rPr>
        <w:t> :</w:t>
      </w:r>
    </w:p>
    <w:p w14:paraId="102C0EA1" w14:textId="4C2EA823" w:rsidR="00260127" w:rsidRPr="00F97023" w:rsidRDefault="00260127" w:rsidP="001509C8">
      <w:pPr>
        <w:pStyle w:val="SingleTxtG"/>
        <w:ind w:left="1701" w:hanging="567"/>
      </w:pPr>
      <w:r w:rsidRPr="00F97023">
        <w:rPr>
          <w:lang w:val="fr-FR"/>
        </w:rPr>
        <w:t>« 5.7.7</w:t>
      </w:r>
      <w:r w:rsidR="007753B0">
        <w:rPr>
          <w:lang w:val="fr-FR"/>
        </w:rPr>
        <w:tab/>
      </w:r>
      <w:r w:rsidR="007753B0">
        <w:rPr>
          <w:lang w:val="fr-FR"/>
        </w:rPr>
        <w:tab/>
      </w:r>
      <w:r w:rsidR="007753B0">
        <w:rPr>
          <w:lang w:val="fr-FR"/>
        </w:rPr>
        <w:tab/>
      </w:r>
      <w:r w:rsidRPr="00F97023">
        <w:rPr>
          <w:lang w:val="fr-FR"/>
        </w:rPr>
        <w:t>Couleur</w:t>
      </w:r>
      <w:r w:rsidR="001509C8">
        <w:rPr>
          <w:lang w:val="fr-FR"/>
        </w:rPr>
        <w:t> :</w:t>
      </w:r>
      <w:r w:rsidRPr="00F97023">
        <w:rPr>
          <w:lang w:val="fr-FR"/>
        </w:rPr>
        <w:t xml:space="preserve"> </w:t>
      </w:r>
    </w:p>
    <w:p w14:paraId="0539F07D" w14:textId="77777777" w:rsidR="00260127" w:rsidRPr="00F97023" w:rsidRDefault="00260127" w:rsidP="001509C8">
      <w:pPr>
        <w:pStyle w:val="SingleTxtG"/>
        <w:ind w:left="2268"/>
      </w:pPr>
      <w:r w:rsidRPr="00F97023">
        <w:rPr>
          <w:lang w:val="fr-FR"/>
        </w:rPr>
        <w:t xml:space="preserve">La couleur de la lumière émise doit être jaune-auto. </w:t>
      </w:r>
      <w:r w:rsidRPr="007753B0">
        <w:rPr>
          <w:b/>
          <w:bCs/>
          <w:lang w:val="fr-FR"/>
        </w:rPr>
        <w:t>Elle peut toutefois être rouge si les feux de position latéraux les plus en arrière sont groupés, combinés ou incorporés mutuellement aux feux de position arrière, aux feux de gabarit arrière, aux feux de brouillard arrière ou aux feux stop, ou encore s’ils sont groupés avec les catadioptres arrière ou si leurs surfaces respectives de sortie de la lumière se recoupent</w:t>
      </w:r>
      <w:r w:rsidRPr="00BB7F52">
        <w:rPr>
          <w:lang w:val="fr-FR"/>
        </w:rPr>
        <w:t>.</w:t>
      </w:r>
      <w:r w:rsidRPr="00F97023">
        <w:rPr>
          <w:lang w:val="fr-FR"/>
        </w:rPr>
        <w:t> ».</w:t>
      </w:r>
    </w:p>
    <w:p w14:paraId="1ACBA628" w14:textId="77777777" w:rsidR="00260127" w:rsidRPr="00F97023" w:rsidRDefault="00260127" w:rsidP="001509C8">
      <w:pPr>
        <w:pStyle w:val="HChG"/>
      </w:pPr>
      <w:r w:rsidRPr="00F97023">
        <w:rPr>
          <w:lang w:val="fr-FR"/>
        </w:rPr>
        <w:tab/>
        <w:t>II.</w:t>
      </w:r>
      <w:r w:rsidRPr="00F97023">
        <w:rPr>
          <w:lang w:val="fr-FR"/>
        </w:rPr>
        <w:tab/>
        <w:t>Justification</w:t>
      </w:r>
    </w:p>
    <w:p w14:paraId="11B20F98" w14:textId="0B80F477" w:rsidR="00260127" w:rsidRPr="00F97023" w:rsidRDefault="00260127" w:rsidP="001509C8">
      <w:pPr>
        <w:pStyle w:val="SingleTxtG"/>
        <w:keepNext/>
        <w:keepLines/>
        <w:rPr>
          <w:rFonts w:asciiTheme="majorBidi" w:hAnsiTheme="majorBidi" w:cstheme="majorBidi"/>
        </w:rPr>
      </w:pPr>
      <w:r w:rsidRPr="00F97023">
        <w:rPr>
          <w:lang w:val="fr-FR"/>
        </w:rPr>
        <w:t>1.</w:t>
      </w:r>
      <w:r w:rsidRPr="00F97023">
        <w:rPr>
          <w:lang w:val="fr-FR"/>
        </w:rPr>
        <w:tab/>
        <w:t>La structure du paragraphe</w:t>
      </w:r>
      <w:r w:rsidR="001509C8">
        <w:rPr>
          <w:lang w:val="fr-FR"/>
        </w:rPr>
        <w:t> </w:t>
      </w:r>
      <w:r w:rsidRPr="00F97023">
        <w:rPr>
          <w:lang w:val="fr-FR"/>
        </w:rPr>
        <w:t xml:space="preserve">3.3.1.2 a été alignée sur </w:t>
      </w:r>
      <w:r>
        <w:rPr>
          <w:lang w:val="fr-FR"/>
        </w:rPr>
        <w:t>celle du</w:t>
      </w:r>
      <w:r w:rsidRPr="00F97023">
        <w:rPr>
          <w:lang w:val="fr-FR"/>
        </w:rPr>
        <w:t xml:space="preserve"> Règlement ONU n</w:t>
      </w:r>
      <w:r w:rsidRPr="00F97023">
        <w:rPr>
          <w:vertAlign w:val="superscript"/>
          <w:lang w:val="fr-FR"/>
        </w:rPr>
        <w:t>o</w:t>
      </w:r>
      <w:r w:rsidRPr="001509C8">
        <w:rPr>
          <w:lang w:val="fr-FR"/>
        </w:rPr>
        <w:t> </w:t>
      </w:r>
      <w:r w:rsidRPr="00F97023">
        <w:rPr>
          <w:lang w:val="fr-FR"/>
        </w:rPr>
        <w:t>149</w:t>
      </w:r>
      <w:r w:rsidR="001509C8">
        <w:rPr>
          <w:lang w:val="fr-FR"/>
        </w:rPr>
        <w:t xml:space="preserve"> </w:t>
      </w:r>
      <w:r w:rsidRPr="00F97023">
        <w:rPr>
          <w:lang w:val="fr-FR"/>
        </w:rPr>
        <w:t>et le paragraphe suivant a été renuméroté en conséquence.</w:t>
      </w:r>
    </w:p>
    <w:p w14:paraId="770D037F" w14:textId="23D6D04D" w:rsidR="00260127" w:rsidRPr="00F97023" w:rsidRDefault="00260127" w:rsidP="001509C8">
      <w:pPr>
        <w:pStyle w:val="SingleTxtG"/>
        <w:rPr>
          <w:rFonts w:asciiTheme="majorBidi" w:hAnsiTheme="majorBidi" w:cstheme="majorBidi"/>
        </w:rPr>
      </w:pPr>
      <w:r w:rsidRPr="00F97023">
        <w:rPr>
          <w:lang w:val="fr-FR"/>
        </w:rPr>
        <w:t>2.</w:t>
      </w:r>
      <w:r w:rsidRPr="00F97023">
        <w:rPr>
          <w:lang w:val="fr-FR"/>
        </w:rPr>
        <w:tab/>
      </w:r>
      <w:r>
        <w:rPr>
          <w:lang w:val="fr-FR"/>
        </w:rPr>
        <w:t>Dans la version anglaise</w:t>
      </w:r>
      <w:r w:rsidR="001509C8">
        <w:rPr>
          <w:lang w:val="fr-FR"/>
        </w:rPr>
        <w:t xml:space="preserve">, </w:t>
      </w:r>
      <w:r>
        <w:rPr>
          <w:lang w:val="fr-FR"/>
        </w:rPr>
        <w:t xml:space="preserve">les mots en trop </w:t>
      </w:r>
      <w:r w:rsidRPr="00F97023">
        <w:rPr>
          <w:lang w:val="fr-FR"/>
        </w:rPr>
        <w:t>se trouvant à la fin du paragraphe</w:t>
      </w:r>
      <w:r w:rsidR="001509C8">
        <w:rPr>
          <w:lang w:val="fr-FR"/>
        </w:rPr>
        <w:t> </w:t>
      </w:r>
      <w:r w:rsidRPr="00F97023">
        <w:rPr>
          <w:lang w:val="fr-FR"/>
        </w:rPr>
        <w:t>3.3.4.4 ont été supprimés. Il s</w:t>
      </w:r>
      <w:r>
        <w:rPr>
          <w:lang w:val="fr-FR"/>
        </w:rPr>
        <w:t>’</w:t>
      </w:r>
      <w:r w:rsidRPr="00F97023">
        <w:rPr>
          <w:lang w:val="fr-FR"/>
        </w:rPr>
        <w:t>agit d</w:t>
      </w:r>
      <w:r>
        <w:rPr>
          <w:lang w:val="fr-FR"/>
        </w:rPr>
        <w:t>’</w:t>
      </w:r>
      <w:r w:rsidRPr="00F97023">
        <w:rPr>
          <w:lang w:val="fr-FR"/>
        </w:rPr>
        <w:t xml:space="preserve">une correction </w:t>
      </w:r>
      <w:r>
        <w:rPr>
          <w:lang w:val="fr-FR"/>
        </w:rPr>
        <w:t xml:space="preserve">d’ordre </w:t>
      </w:r>
      <w:r w:rsidRPr="00F97023">
        <w:rPr>
          <w:lang w:val="fr-FR"/>
        </w:rPr>
        <w:t>purement rédactionnel.</w:t>
      </w:r>
    </w:p>
    <w:p w14:paraId="494C11B4" w14:textId="7323280D" w:rsidR="00260127" w:rsidRPr="00F97023" w:rsidRDefault="00260127" w:rsidP="001509C8">
      <w:pPr>
        <w:pStyle w:val="SingleTxtG"/>
        <w:rPr>
          <w:rFonts w:asciiTheme="majorBidi" w:hAnsiTheme="majorBidi" w:cstheme="majorBidi"/>
        </w:rPr>
      </w:pPr>
      <w:r w:rsidRPr="00F97023">
        <w:rPr>
          <w:lang w:val="fr-FR"/>
        </w:rPr>
        <w:t>3.</w:t>
      </w:r>
      <w:r w:rsidRPr="00F97023">
        <w:rPr>
          <w:lang w:val="fr-FR"/>
        </w:rPr>
        <w:tab/>
        <w:t>Dans le tableau</w:t>
      </w:r>
      <w:r w:rsidR="001509C8">
        <w:rPr>
          <w:lang w:val="fr-FR"/>
        </w:rPr>
        <w:t> </w:t>
      </w:r>
      <w:r w:rsidRPr="00F97023">
        <w:rPr>
          <w:lang w:val="fr-FR"/>
        </w:rPr>
        <w:t xml:space="preserve">8, </w:t>
      </w:r>
      <w:r>
        <w:rPr>
          <w:lang w:val="fr-FR"/>
        </w:rPr>
        <w:t>une erreur s’est produite pendant</w:t>
      </w:r>
      <w:r w:rsidRPr="00F97023">
        <w:rPr>
          <w:lang w:val="fr-FR"/>
        </w:rPr>
        <w:t xml:space="preserve"> la conversion en notation scientifique</w:t>
      </w:r>
      <w:r>
        <w:rPr>
          <w:lang w:val="fr-FR"/>
        </w:rPr>
        <w:t xml:space="preserve"> et</w:t>
      </w:r>
      <w:r w:rsidRPr="00F97023">
        <w:rPr>
          <w:lang w:val="fr-FR"/>
        </w:rPr>
        <w:t xml:space="preserve"> la valeur maximale des feux indicateurs de direction des catégories</w:t>
      </w:r>
      <w:r w:rsidR="001509C8">
        <w:rPr>
          <w:lang w:val="fr-FR"/>
        </w:rPr>
        <w:t> </w:t>
      </w:r>
      <w:r w:rsidRPr="00F97023">
        <w:rPr>
          <w:lang w:val="fr-FR"/>
        </w:rPr>
        <w:t>11a, 11b et 11c est devenue 120</w:t>
      </w:r>
      <w:r w:rsidR="001509C8">
        <w:rPr>
          <w:lang w:val="fr-FR"/>
        </w:rPr>
        <w:t> </w:t>
      </w:r>
      <w:r w:rsidRPr="00F97023">
        <w:rPr>
          <w:lang w:val="fr-FR"/>
        </w:rPr>
        <w:t>cd (soit 1,20∙10</w:t>
      </w:r>
      <w:r w:rsidRPr="00F97023">
        <w:rPr>
          <w:vertAlign w:val="superscript"/>
          <w:lang w:val="fr-FR"/>
        </w:rPr>
        <w:t>2</w:t>
      </w:r>
      <w:r w:rsidRPr="00F97023">
        <w:rPr>
          <w:lang w:val="fr-FR"/>
        </w:rPr>
        <w:t>) au lieu de 1</w:t>
      </w:r>
      <w:r w:rsidR="001509C8">
        <w:rPr>
          <w:lang w:val="fr-FR"/>
        </w:rPr>
        <w:t> </w:t>
      </w:r>
      <w:r w:rsidRPr="00F97023">
        <w:rPr>
          <w:lang w:val="fr-FR"/>
        </w:rPr>
        <w:t>200</w:t>
      </w:r>
      <w:r w:rsidR="001509C8">
        <w:rPr>
          <w:lang w:val="fr-FR"/>
        </w:rPr>
        <w:t> </w:t>
      </w:r>
      <w:r w:rsidRPr="00F97023">
        <w:rPr>
          <w:lang w:val="fr-FR"/>
        </w:rPr>
        <w:t>cd (soit 1,20∙10</w:t>
      </w:r>
      <w:r w:rsidRPr="00F97023">
        <w:rPr>
          <w:vertAlign w:val="superscript"/>
          <w:lang w:val="fr-FR"/>
        </w:rPr>
        <w:t>3</w:t>
      </w:r>
      <w:r w:rsidRPr="00F97023">
        <w:rPr>
          <w:lang w:val="fr-FR"/>
        </w:rPr>
        <w:t>).</w:t>
      </w:r>
    </w:p>
    <w:p w14:paraId="7042F104" w14:textId="33286DD1" w:rsidR="00F9573C" w:rsidRDefault="00260127" w:rsidP="00A33C77">
      <w:pPr>
        <w:pStyle w:val="SingleTxtG"/>
        <w:keepNext/>
        <w:keepLines/>
        <w:rPr>
          <w:lang w:val="fr-FR"/>
        </w:rPr>
      </w:pPr>
      <w:r w:rsidRPr="00F97023">
        <w:rPr>
          <w:lang w:val="fr-FR"/>
        </w:rPr>
        <w:lastRenderedPageBreak/>
        <w:t>4.</w:t>
      </w:r>
      <w:r w:rsidRPr="00F97023">
        <w:rPr>
          <w:lang w:val="fr-FR"/>
        </w:rPr>
        <w:tab/>
        <w:t>Au paragraphe</w:t>
      </w:r>
      <w:r w:rsidR="001509C8">
        <w:rPr>
          <w:lang w:val="fr-FR"/>
        </w:rPr>
        <w:t> </w:t>
      </w:r>
      <w:r w:rsidRPr="00F97023">
        <w:rPr>
          <w:lang w:val="fr-FR"/>
        </w:rPr>
        <w:t>5.7.7, il manque une partie du texte relatif à la couleur des feux de position latéraux lorsqu</w:t>
      </w:r>
      <w:r>
        <w:rPr>
          <w:lang w:val="fr-FR"/>
        </w:rPr>
        <w:t>’</w:t>
      </w:r>
      <w:r w:rsidRPr="00F97023">
        <w:rPr>
          <w:lang w:val="fr-FR"/>
        </w:rPr>
        <w:t>ils sont combinés avec l</w:t>
      </w:r>
      <w:r>
        <w:rPr>
          <w:lang w:val="fr-FR"/>
        </w:rPr>
        <w:t>’</w:t>
      </w:r>
      <w:r w:rsidRPr="00F97023">
        <w:rPr>
          <w:lang w:val="fr-FR"/>
        </w:rPr>
        <w:t>un quelconque des feux ou catadioptres les plus en arrière. Le texte réin</w:t>
      </w:r>
      <w:r>
        <w:rPr>
          <w:lang w:val="fr-FR"/>
        </w:rPr>
        <w:t>tégré</w:t>
      </w:r>
      <w:r w:rsidRPr="00F97023">
        <w:rPr>
          <w:lang w:val="fr-FR"/>
        </w:rPr>
        <w:t xml:space="preserve"> est tiré du paragraphe</w:t>
      </w:r>
      <w:r w:rsidR="001509C8">
        <w:rPr>
          <w:lang w:val="fr-FR"/>
        </w:rPr>
        <w:t> </w:t>
      </w:r>
      <w:r w:rsidRPr="00F97023">
        <w:rPr>
          <w:lang w:val="fr-FR"/>
        </w:rPr>
        <w:t xml:space="preserve">5.7.4 de la </w:t>
      </w:r>
      <w:r>
        <w:rPr>
          <w:lang w:val="fr-FR"/>
        </w:rPr>
        <w:t>série</w:t>
      </w:r>
      <w:r w:rsidRPr="00F97023">
        <w:rPr>
          <w:lang w:val="fr-FR"/>
        </w:rPr>
        <w:t xml:space="preserve"> </w:t>
      </w:r>
      <w:r>
        <w:rPr>
          <w:lang w:val="fr-FR"/>
        </w:rPr>
        <w:t>originale</w:t>
      </w:r>
      <w:r w:rsidRPr="00F97023">
        <w:rPr>
          <w:lang w:val="fr-FR"/>
        </w:rPr>
        <w:t xml:space="preserve"> </w:t>
      </w:r>
      <w:r>
        <w:rPr>
          <w:lang w:val="fr-FR"/>
        </w:rPr>
        <w:t>d’amendements au</w:t>
      </w:r>
      <w:r w:rsidRPr="00F97023">
        <w:rPr>
          <w:lang w:val="fr-FR"/>
        </w:rPr>
        <w:t xml:space="preserve"> Règlement ONU </w:t>
      </w:r>
      <w:r w:rsidRPr="003D2DD5">
        <w:rPr>
          <w:lang w:val="fr-FR"/>
        </w:rPr>
        <w:t>n</w:t>
      </w:r>
      <w:r w:rsidRPr="003D2DD5">
        <w:rPr>
          <w:vertAlign w:val="superscript"/>
          <w:lang w:val="fr-FR"/>
        </w:rPr>
        <w:t>o</w:t>
      </w:r>
      <w:r w:rsidRPr="001509C8">
        <w:rPr>
          <w:lang w:val="fr-FR"/>
        </w:rPr>
        <w:t> </w:t>
      </w:r>
      <w:r w:rsidRPr="00F97023">
        <w:rPr>
          <w:lang w:val="fr-FR"/>
        </w:rPr>
        <w:t>148.</w:t>
      </w:r>
    </w:p>
    <w:p w14:paraId="5F63DE26" w14:textId="7900974A" w:rsidR="001509C8" w:rsidRPr="001509C8" w:rsidRDefault="001509C8" w:rsidP="001509C8">
      <w:pPr>
        <w:pStyle w:val="SingleTxtG"/>
        <w:spacing w:before="240" w:after="0"/>
        <w:jc w:val="center"/>
        <w:rPr>
          <w:u w:val="single"/>
        </w:rPr>
      </w:pPr>
      <w:r>
        <w:rPr>
          <w:u w:val="single"/>
        </w:rPr>
        <w:tab/>
      </w:r>
      <w:r>
        <w:rPr>
          <w:u w:val="single"/>
        </w:rPr>
        <w:tab/>
      </w:r>
      <w:r>
        <w:rPr>
          <w:u w:val="single"/>
        </w:rPr>
        <w:tab/>
      </w:r>
      <w:r>
        <w:rPr>
          <w:u w:val="single"/>
        </w:rPr>
        <w:tab/>
      </w:r>
    </w:p>
    <w:sectPr w:rsidR="001509C8" w:rsidRPr="001509C8" w:rsidSect="0026012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20112" w14:textId="77777777" w:rsidR="00384E99" w:rsidRDefault="00384E99" w:rsidP="00F95C08">
      <w:pPr>
        <w:spacing w:line="240" w:lineRule="auto"/>
      </w:pPr>
    </w:p>
  </w:endnote>
  <w:endnote w:type="continuationSeparator" w:id="0">
    <w:p w14:paraId="22B29848" w14:textId="77777777" w:rsidR="00384E99" w:rsidRPr="00AC3823" w:rsidRDefault="00384E99" w:rsidP="00AC3823">
      <w:pPr>
        <w:pStyle w:val="Pieddepage"/>
      </w:pPr>
    </w:p>
  </w:endnote>
  <w:endnote w:type="continuationNotice" w:id="1">
    <w:p w14:paraId="736A0E74" w14:textId="77777777" w:rsidR="00384E99" w:rsidRDefault="00384E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62B8" w14:textId="676C5E4E" w:rsidR="00260127" w:rsidRPr="00260127" w:rsidRDefault="00260127" w:rsidP="00260127">
    <w:pPr>
      <w:pStyle w:val="Pieddepage"/>
      <w:tabs>
        <w:tab w:val="right" w:pos="9638"/>
      </w:tabs>
    </w:pPr>
    <w:r w:rsidRPr="00260127">
      <w:rPr>
        <w:b/>
        <w:sz w:val="18"/>
      </w:rPr>
      <w:fldChar w:fldCharType="begin"/>
    </w:r>
    <w:r w:rsidRPr="00260127">
      <w:rPr>
        <w:b/>
        <w:sz w:val="18"/>
      </w:rPr>
      <w:instrText xml:space="preserve"> PAGE  \* MERGEFORMAT </w:instrText>
    </w:r>
    <w:r w:rsidRPr="00260127">
      <w:rPr>
        <w:b/>
        <w:sz w:val="18"/>
      </w:rPr>
      <w:fldChar w:fldCharType="separate"/>
    </w:r>
    <w:r w:rsidRPr="00260127">
      <w:rPr>
        <w:b/>
        <w:noProof/>
        <w:sz w:val="18"/>
      </w:rPr>
      <w:t>2</w:t>
    </w:r>
    <w:r w:rsidRPr="00260127">
      <w:rPr>
        <w:b/>
        <w:sz w:val="18"/>
      </w:rPr>
      <w:fldChar w:fldCharType="end"/>
    </w:r>
    <w:r>
      <w:rPr>
        <w:b/>
        <w:sz w:val="18"/>
      </w:rPr>
      <w:tab/>
    </w:r>
    <w:r>
      <w:t>GE.23-15231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8F77" w14:textId="621CBAB0" w:rsidR="00260127" w:rsidRPr="00260127" w:rsidRDefault="00260127" w:rsidP="00260127">
    <w:pPr>
      <w:pStyle w:val="Pieddepage"/>
      <w:tabs>
        <w:tab w:val="right" w:pos="9638"/>
      </w:tabs>
      <w:rPr>
        <w:b/>
        <w:sz w:val="18"/>
      </w:rPr>
    </w:pPr>
    <w:r>
      <w:t>GE.23-15231</w:t>
    </w:r>
    <w:r>
      <w:tab/>
    </w:r>
    <w:r w:rsidRPr="00260127">
      <w:rPr>
        <w:b/>
        <w:sz w:val="18"/>
      </w:rPr>
      <w:fldChar w:fldCharType="begin"/>
    </w:r>
    <w:r w:rsidRPr="00260127">
      <w:rPr>
        <w:b/>
        <w:sz w:val="18"/>
      </w:rPr>
      <w:instrText xml:space="preserve"> PAGE  \* MERGEFORMAT </w:instrText>
    </w:r>
    <w:r w:rsidRPr="00260127">
      <w:rPr>
        <w:b/>
        <w:sz w:val="18"/>
      </w:rPr>
      <w:fldChar w:fldCharType="separate"/>
    </w:r>
    <w:r w:rsidRPr="00260127">
      <w:rPr>
        <w:b/>
        <w:noProof/>
        <w:sz w:val="18"/>
      </w:rPr>
      <w:t>3</w:t>
    </w:r>
    <w:r w:rsidRPr="002601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AB6F" w14:textId="455DDC87" w:rsidR="007F20FA" w:rsidRPr="00260127" w:rsidRDefault="00260127" w:rsidP="0026012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A80F8E8" wp14:editId="0E80F93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23-15231  (F)</w:t>
    </w:r>
    <w:r>
      <w:rPr>
        <w:noProof/>
        <w:sz w:val="20"/>
      </w:rPr>
      <w:drawing>
        <wp:anchor distT="0" distB="0" distL="114300" distR="114300" simplePos="0" relativeHeight="251660288" behindDoc="0" locked="0" layoutInCell="1" allowOverlap="1" wp14:anchorId="753796FC" wp14:editId="0BCDA558">
          <wp:simplePos x="0" y="0"/>
          <wp:positionH relativeFrom="margin">
            <wp:posOffset>5489575</wp:posOffset>
          </wp:positionH>
          <wp:positionV relativeFrom="margin">
            <wp:posOffset>8891905</wp:posOffset>
          </wp:positionV>
          <wp:extent cx="638175" cy="638175"/>
          <wp:effectExtent l="0" t="0" r="9525" b="9525"/>
          <wp:wrapNone/>
          <wp:docPr id="162029588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040923    050923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DC562" w14:textId="77777777" w:rsidR="00384E99" w:rsidRPr="00AC3823" w:rsidRDefault="00384E99" w:rsidP="00AC3823">
      <w:pPr>
        <w:pStyle w:val="Pieddepage"/>
        <w:tabs>
          <w:tab w:val="right" w:pos="2155"/>
        </w:tabs>
        <w:spacing w:after="80" w:line="240" w:lineRule="atLeast"/>
        <w:ind w:left="680"/>
        <w:rPr>
          <w:u w:val="single"/>
        </w:rPr>
      </w:pPr>
      <w:r>
        <w:rPr>
          <w:u w:val="single"/>
        </w:rPr>
        <w:tab/>
      </w:r>
    </w:p>
  </w:footnote>
  <w:footnote w:type="continuationSeparator" w:id="0">
    <w:p w14:paraId="55F7C7E0" w14:textId="77777777" w:rsidR="00384E99" w:rsidRPr="00AC3823" w:rsidRDefault="00384E99" w:rsidP="00AC3823">
      <w:pPr>
        <w:pStyle w:val="Pieddepage"/>
        <w:tabs>
          <w:tab w:val="right" w:pos="2155"/>
        </w:tabs>
        <w:spacing w:after="80" w:line="240" w:lineRule="atLeast"/>
        <w:ind w:left="680"/>
        <w:rPr>
          <w:u w:val="single"/>
        </w:rPr>
      </w:pPr>
      <w:r>
        <w:rPr>
          <w:u w:val="single"/>
        </w:rPr>
        <w:tab/>
      </w:r>
    </w:p>
  </w:footnote>
  <w:footnote w:type="continuationNotice" w:id="1">
    <w:p w14:paraId="46164478" w14:textId="77777777" w:rsidR="00384E99" w:rsidRPr="00AC3823" w:rsidRDefault="00384E99">
      <w:pPr>
        <w:spacing w:line="240" w:lineRule="auto"/>
        <w:rPr>
          <w:sz w:val="2"/>
          <w:szCs w:val="2"/>
        </w:rPr>
      </w:pPr>
    </w:p>
  </w:footnote>
  <w:footnote w:id="2">
    <w:p w14:paraId="34B0D4B5" w14:textId="4C2F30DB" w:rsidR="00260127" w:rsidRPr="00260127" w:rsidRDefault="00260127">
      <w:pPr>
        <w:pStyle w:val="Notedebasdepage"/>
        <w:rPr>
          <w:lang w:val="fr-FR"/>
        </w:rPr>
      </w:pPr>
      <w:r>
        <w:rPr>
          <w:rStyle w:val="Appelnotedebasdep"/>
        </w:rPr>
        <w:tab/>
      </w:r>
      <w:r w:rsidRPr="00260127">
        <w:rPr>
          <w:rStyle w:val="Appelnotedebasdep"/>
          <w:sz w:val="20"/>
          <w:vertAlign w:val="baseline"/>
        </w:rPr>
        <w:t>*</w:t>
      </w:r>
      <w:r>
        <w:rPr>
          <w:rStyle w:val="Appelnotedebasdep"/>
          <w:sz w:val="20"/>
          <w:vertAlign w:val="baseline"/>
        </w:rPr>
        <w:tab/>
      </w:r>
      <w:r w:rsidRPr="00260127">
        <w:rPr>
          <w:rStyle w:val="NotedebasdepageCar"/>
        </w:rPr>
        <w:t>Conformément au programme de travail du Comité des transports intérieurs pour 2023 tel qu</w:t>
      </w:r>
      <w:r w:rsidR="00A50CB0">
        <w:rPr>
          <w:rStyle w:val="NotedebasdepageCar"/>
        </w:rPr>
        <w:t>’</w:t>
      </w:r>
      <w:r w:rsidRPr="00260127">
        <w:rPr>
          <w:rStyle w:val="NotedebasdepageCar"/>
        </w:rPr>
        <w:t>il figure dans le projet de budget-programme pour 2023 (A/77/6 (Sect.</w:t>
      </w:r>
      <w:r>
        <w:rPr>
          <w:rStyle w:val="NotedebasdepageCar"/>
        </w:rPr>
        <w:t> </w:t>
      </w:r>
      <w:r w:rsidRPr="00260127">
        <w:rPr>
          <w:rStyle w:val="NotedebasdepageCar"/>
        </w:rPr>
        <w:t>20, tableau</w:t>
      </w:r>
      <w:r>
        <w:rPr>
          <w:rStyle w:val="NotedebasdepageCar"/>
        </w:rPr>
        <w:t> </w:t>
      </w:r>
      <w:r w:rsidRPr="00260127">
        <w:rPr>
          <w:rStyle w:val="NotedebasdepageCar"/>
        </w:rPr>
        <w:t>20.6), le Forum mondial a pour mission d</w:t>
      </w:r>
      <w:r w:rsidR="00A50CB0">
        <w:rPr>
          <w:rStyle w:val="NotedebasdepageCar"/>
        </w:rPr>
        <w:t>’</w:t>
      </w:r>
      <w:r w:rsidRPr="00260127">
        <w:rPr>
          <w:rStyle w:val="NotedebasdepageCar"/>
        </w:rPr>
        <w:t>élaborer, d</w:t>
      </w:r>
      <w:r w:rsidR="00A50CB0">
        <w:rPr>
          <w:rStyle w:val="NotedebasdepageCar"/>
        </w:rPr>
        <w:t>’</w:t>
      </w:r>
      <w:r w:rsidRPr="00260127">
        <w:rPr>
          <w:rStyle w:val="NotedebasdepageCar"/>
        </w:rPr>
        <w:t>harmoniser et de mettre à jour les Règlements ONU en vue d</w:t>
      </w:r>
      <w:r w:rsidR="00A50CB0">
        <w:rPr>
          <w:rStyle w:val="NotedebasdepageCar"/>
        </w:rPr>
        <w:t>’</w:t>
      </w:r>
      <w:r w:rsidRPr="00260127">
        <w:rPr>
          <w:rStyle w:val="NotedebasdepageCar"/>
        </w:rPr>
        <w:t>améliorer les caractéristiques fonctionnelles des véhicules. Le présent document est soumis en vertu de ce mandat.</w:t>
      </w:r>
    </w:p>
  </w:footnote>
  <w:footnote w:id="3">
    <w:p w14:paraId="4498FAF4" w14:textId="49222AC3" w:rsidR="00260127" w:rsidRPr="002B5FAF" w:rsidRDefault="00260127" w:rsidP="002601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3F23" w14:textId="74D743B1" w:rsidR="00260127" w:rsidRPr="00260127" w:rsidRDefault="00260127">
    <w:pPr>
      <w:pStyle w:val="En-tte"/>
    </w:pPr>
    <w:r>
      <w:fldChar w:fldCharType="begin"/>
    </w:r>
    <w:r>
      <w:instrText xml:space="preserve"> TITLE  \* MERGEFORMAT </w:instrText>
    </w:r>
    <w:r>
      <w:fldChar w:fldCharType="separate"/>
    </w:r>
    <w:r w:rsidR="00775A33">
      <w:t>ECE/TRANS/WP.29/GRE/2023/14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2C13" w14:textId="7BDD7AFD" w:rsidR="00260127" w:rsidRPr="00260127" w:rsidRDefault="00260127" w:rsidP="00260127">
    <w:pPr>
      <w:pStyle w:val="En-tte"/>
      <w:jc w:val="right"/>
    </w:pPr>
    <w:r>
      <w:fldChar w:fldCharType="begin"/>
    </w:r>
    <w:r>
      <w:instrText xml:space="preserve"> TITLE  \* MERGEFORMAT </w:instrText>
    </w:r>
    <w:r>
      <w:fldChar w:fldCharType="separate"/>
    </w:r>
    <w:r w:rsidR="00775A33">
      <w:t>ECE/TRANS/WP.29/GRE/2023/14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831096818">
    <w:abstractNumId w:val="12"/>
  </w:num>
  <w:num w:numId="2" w16cid:durableId="2002613711">
    <w:abstractNumId w:val="11"/>
  </w:num>
  <w:num w:numId="3" w16cid:durableId="1841039293">
    <w:abstractNumId w:val="10"/>
  </w:num>
  <w:num w:numId="4" w16cid:durableId="1477451895">
    <w:abstractNumId w:val="8"/>
  </w:num>
  <w:num w:numId="5" w16cid:durableId="1624770964">
    <w:abstractNumId w:val="3"/>
  </w:num>
  <w:num w:numId="6" w16cid:durableId="818305489">
    <w:abstractNumId w:val="2"/>
  </w:num>
  <w:num w:numId="7" w16cid:durableId="1262910442">
    <w:abstractNumId w:val="1"/>
  </w:num>
  <w:num w:numId="8" w16cid:durableId="2022317739">
    <w:abstractNumId w:val="0"/>
  </w:num>
  <w:num w:numId="9" w16cid:durableId="1697852120">
    <w:abstractNumId w:val="9"/>
  </w:num>
  <w:num w:numId="10" w16cid:durableId="666710673">
    <w:abstractNumId w:val="7"/>
  </w:num>
  <w:num w:numId="11" w16cid:durableId="414670288">
    <w:abstractNumId w:val="6"/>
  </w:num>
  <w:num w:numId="12" w16cid:durableId="1873154519">
    <w:abstractNumId w:val="5"/>
  </w:num>
  <w:num w:numId="13" w16cid:durableId="1885287143">
    <w:abstractNumId w:val="4"/>
  </w:num>
  <w:num w:numId="14" w16cid:durableId="233394579">
    <w:abstractNumId w:val="12"/>
  </w:num>
  <w:num w:numId="15" w16cid:durableId="898593323">
    <w:abstractNumId w:val="11"/>
  </w:num>
  <w:num w:numId="16" w16cid:durableId="7711280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99"/>
    <w:rsid w:val="00000B61"/>
    <w:rsid w:val="00017F94"/>
    <w:rsid w:val="00023842"/>
    <w:rsid w:val="000334F9"/>
    <w:rsid w:val="00045FEB"/>
    <w:rsid w:val="00050708"/>
    <w:rsid w:val="0007796D"/>
    <w:rsid w:val="000B7790"/>
    <w:rsid w:val="00111F2F"/>
    <w:rsid w:val="0014365E"/>
    <w:rsid w:val="00143C66"/>
    <w:rsid w:val="001509C8"/>
    <w:rsid w:val="00176178"/>
    <w:rsid w:val="001F525A"/>
    <w:rsid w:val="00201148"/>
    <w:rsid w:val="00223272"/>
    <w:rsid w:val="0024779E"/>
    <w:rsid w:val="00257168"/>
    <w:rsid w:val="00260127"/>
    <w:rsid w:val="002744B8"/>
    <w:rsid w:val="002832AC"/>
    <w:rsid w:val="002D7C93"/>
    <w:rsid w:val="00305801"/>
    <w:rsid w:val="00384E99"/>
    <w:rsid w:val="003916DE"/>
    <w:rsid w:val="00421996"/>
    <w:rsid w:val="00441C3B"/>
    <w:rsid w:val="00446FE5"/>
    <w:rsid w:val="00452396"/>
    <w:rsid w:val="00477EB2"/>
    <w:rsid w:val="004837D8"/>
    <w:rsid w:val="004955F8"/>
    <w:rsid w:val="004E2EED"/>
    <w:rsid w:val="004E468C"/>
    <w:rsid w:val="005505B7"/>
    <w:rsid w:val="00551182"/>
    <w:rsid w:val="00573BE5"/>
    <w:rsid w:val="00586ED3"/>
    <w:rsid w:val="00596AA9"/>
    <w:rsid w:val="005B3E95"/>
    <w:rsid w:val="006C6DC4"/>
    <w:rsid w:val="0071601D"/>
    <w:rsid w:val="007753B0"/>
    <w:rsid w:val="00775A33"/>
    <w:rsid w:val="007A62E6"/>
    <w:rsid w:val="007F20FA"/>
    <w:rsid w:val="0080684C"/>
    <w:rsid w:val="00871C75"/>
    <w:rsid w:val="008776DC"/>
    <w:rsid w:val="008D5EF9"/>
    <w:rsid w:val="009446C0"/>
    <w:rsid w:val="009705C8"/>
    <w:rsid w:val="009C1CF4"/>
    <w:rsid w:val="009C4546"/>
    <w:rsid w:val="009F6B74"/>
    <w:rsid w:val="00A3029F"/>
    <w:rsid w:val="00A30353"/>
    <w:rsid w:val="00A33C77"/>
    <w:rsid w:val="00A50CB0"/>
    <w:rsid w:val="00AC3823"/>
    <w:rsid w:val="00AE11A2"/>
    <w:rsid w:val="00AE323C"/>
    <w:rsid w:val="00AF0CB5"/>
    <w:rsid w:val="00AF268A"/>
    <w:rsid w:val="00B00181"/>
    <w:rsid w:val="00B00B0D"/>
    <w:rsid w:val="00B1683E"/>
    <w:rsid w:val="00B45F2E"/>
    <w:rsid w:val="00B765F7"/>
    <w:rsid w:val="00B77993"/>
    <w:rsid w:val="00BA0CA9"/>
    <w:rsid w:val="00C02897"/>
    <w:rsid w:val="00C118C6"/>
    <w:rsid w:val="00C41442"/>
    <w:rsid w:val="00C97039"/>
    <w:rsid w:val="00D3439C"/>
    <w:rsid w:val="00D7622E"/>
    <w:rsid w:val="00D81743"/>
    <w:rsid w:val="00DB1831"/>
    <w:rsid w:val="00DD3BFD"/>
    <w:rsid w:val="00DF6678"/>
    <w:rsid w:val="00E0299A"/>
    <w:rsid w:val="00E53C7C"/>
    <w:rsid w:val="00E85C74"/>
    <w:rsid w:val="00EA6547"/>
    <w:rsid w:val="00ED7237"/>
    <w:rsid w:val="00EF2E22"/>
    <w:rsid w:val="00F35BAF"/>
    <w:rsid w:val="00F50368"/>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FAF66"/>
  <w15:docId w15:val="{99FD812D-A5BC-4297-B4CF-DBF1A683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customStyle="1" w:styleId="para">
    <w:name w:val="para"/>
    <w:basedOn w:val="Normal"/>
    <w:link w:val="paraChar"/>
    <w:qFormat/>
    <w:rsid w:val="00260127"/>
    <w:pPr>
      <w:suppressAutoHyphens w:val="0"/>
      <w:kinsoku/>
      <w:overflowPunct/>
      <w:autoSpaceDE/>
      <w:autoSpaceDN/>
      <w:adjustRightInd/>
      <w:snapToGrid/>
      <w:spacing w:after="120" w:line="259" w:lineRule="auto"/>
      <w:ind w:left="2268" w:right="1134" w:hanging="1134"/>
      <w:jc w:val="both"/>
    </w:pPr>
    <w:rPr>
      <w:rFonts w:asciiTheme="minorHAnsi" w:hAnsiTheme="minorHAnsi" w:cstheme="minorBidi"/>
      <w:snapToGrid w:val="0"/>
      <w:kern w:val="2"/>
      <w:sz w:val="22"/>
      <w:szCs w:val="22"/>
      <w:lang w:val="fr-FR"/>
      <w14:ligatures w14:val="standardContextual"/>
    </w:rPr>
  </w:style>
  <w:style w:type="character" w:customStyle="1" w:styleId="SingleTxtGChar">
    <w:name w:val="_ Single Txt_G Char"/>
    <w:link w:val="SingleTxtG"/>
    <w:rsid w:val="00260127"/>
    <w:rPr>
      <w:rFonts w:ascii="Times New Roman" w:eastAsiaTheme="minorHAnsi" w:hAnsi="Times New Roman" w:cs="Times New Roman"/>
      <w:sz w:val="20"/>
      <w:szCs w:val="20"/>
      <w:lang w:eastAsia="en-US"/>
    </w:rPr>
  </w:style>
  <w:style w:type="character" w:customStyle="1" w:styleId="HChGChar">
    <w:name w:val="_ H _Ch_G Char"/>
    <w:link w:val="HChG"/>
    <w:rsid w:val="00260127"/>
    <w:rPr>
      <w:rFonts w:ascii="Times New Roman" w:eastAsiaTheme="minorHAnsi" w:hAnsi="Times New Roman" w:cs="Times New Roman"/>
      <w:b/>
      <w:sz w:val="28"/>
      <w:szCs w:val="20"/>
      <w:lang w:eastAsia="en-US"/>
    </w:rPr>
  </w:style>
  <w:style w:type="character" w:customStyle="1" w:styleId="paraChar">
    <w:name w:val="para Char"/>
    <w:link w:val="para"/>
    <w:rsid w:val="00260127"/>
    <w:rPr>
      <w:rFonts w:eastAsiaTheme="minorHAnsi"/>
      <w:snapToGrid w:val="0"/>
      <w:kern w:val="2"/>
      <w:lang w:val="fr-FR" w:eastAsia="en-US"/>
      <w14:ligatures w14:val="standardContextual"/>
    </w:rPr>
  </w:style>
  <w:style w:type="character" w:customStyle="1" w:styleId="H1GChar">
    <w:name w:val="_ H_1_G Char"/>
    <w:link w:val="H1G"/>
    <w:rsid w:val="00260127"/>
    <w:rPr>
      <w:rFonts w:ascii="Times New Roman" w:eastAsiaTheme="minorHAnsi" w:hAnsi="Times New Roman" w:cs="Times New Roman"/>
      <w:b/>
      <w:sz w:val="24"/>
      <w:szCs w:val="20"/>
      <w:lang w:eastAsia="en-US"/>
    </w:rPr>
  </w:style>
  <w:style w:type="paragraph" w:customStyle="1" w:styleId="4Para4thlevel">
    <w:name w:val="4.Para 4th level"/>
    <w:basedOn w:val="Normal"/>
    <w:link w:val="4Para4thlevelCar"/>
    <w:qFormat/>
    <w:rsid w:val="00260127"/>
    <w:pPr>
      <w:suppressAutoHyphens w:val="0"/>
      <w:kinsoku/>
      <w:overflowPunct/>
      <w:autoSpaceDE/>
      <w:autoSpaceDN/>
      <w:adjustRightInd/>
      <w:snapToGrid/>
      <w:spacing w:after="120" w:line="259" w:lineRule="auto"/>
      <w:ind w:left="2268" w:right="1134" w:hanging="1134"/>
      <w:jc w:val="both"/>
      <w:outlineLvl w:val="3"/>
    </w:pPr>
    <w:rPr>
      <w:rFonts w:asciiTheme="minorHAnsi" w:eastAsiaTheme="minorEastAsia" w:hAnsiTheme="minorHAnsi" w:cstheme="minorBidi"/>
      <w:kern w:val="2"/>
      <w:sz w:val="22"/>
      <w:szCs w:val="22"/>
      <w14:ligatures w14:val="standardContextual"/>
    </w:rPr>
  </w:style>
  <w:style w:type="character" w:customStyle="1" w:styleId="4Para4thlevelCar">
    <w:name w:val="4.Para 4th level Car"/>
    <w:basedOn w:val="Policepardfaut"/>
    <w:link w:val="4Para4thlevel"/>
    <w:rsid w:val="00260127"/>
    <w:rPr>
      <w:rFonts w:eastAsiaTheme="minorEastAsia"/>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7EF0C-54DB-4D8C-8C81-71A1E9E27028}"/>
</file>

<file path=customXml/itemProps2.xml><?xml version="1.0" encoding="utf-8"?>
<ds:datastoreItem xmlns:ds="http://schemas.openxmlformats.org/officeDocument/2006/customXml" ds:itemID="{DAD9B428-F0E6-4915-9E8A-BB686FABE7F9}"/>
</file>

<file path=docProps/app.xml><?xml version="1.0" encoding="utf-8"?>
<Properties xmlns="http://schemas.openxmlformats.org/officeDocument/2006/extended-properties" xmlns:vt="http://schemas.openxmlformats.org/officeDocument/2006/docPropsVTypes">
  <Template>ECE_TRANS.dotm</Template>
  <TotalTime>0</TotalTime>
  <Pages>3</Pages>
  <Words>501</Words>
  <Characters>3514</Characters>
  <Application>Microsoft Office Word</Application>
  <DocSecurity>0</DocSecurity>
  <Lines>292</Lines>
  <Paragraphs>160</Paragraphs>
  <ScaleCrop>false</ScaleCrop>
  <HeadingPairs>
    <vt:vector size="2" baseType="variant">
      <vt:variant>
        <vt:lpstr>Titre</vt:lpstr>
      </vt:variant>
      <vt:variant>
        <vt:i4>1</vt:i4>
      </vt:variant>
    </vt:vector>
  </HeadingPairs>
  <TitlesOfParts>
    <vt:vector size="1" baseType="lpstr">
      <vt:lpstr>ECE/TRANS/WP.29/GRE/2023/14</vt:lpstr>
    </vt:vector>
  </TitlesOfParts>
  <Company>DCM</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ECE/TRANS/WP.29/GRE/2023/14</dc:title>
  <dc:subject/>
  <dc:creator>Estelle-Delphine DITTA</dc:creator>
  <cp:keywords/>
  <cp:lastModifiedBy>Estelle-Delphine DITTA</cp:lastModifiedBy>
  <cp:revision>3</cp:revision>
  <cp:lastPrinted>2023-09-05T14:46:00Z</cp:lastPrinted>
  <dcterms:created xsi:type="dcterms:W3CDTF">2023-09-05T14:46:00Z</dcterms:created>
  <dcterms:modified xsi:type="dcterms:W3CDTF">2023-09-05T14:46:00Z</dcterms:modified>
</cp:coreProperties>
</file>