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F587" w14:textId="77777777" w:rsidR="00215A1B" w:rsidRPr="00560572" w:rsidRDefault="00215A1B" w:rsidP="00F5390C">
      <w:pPr>
        <w:spacing w:before="120" w:after="0" w:line="240" w:lineRule="atLeast"/>
        <w:rPr>
          <w:b/>
          <w:sz w:val="28"/>
          <w:szCs w:val="28"/>
        </w:rPr>
      </w:pPr>
      <w:r w:rsidRPr="00560572">
        <w:rPr>
          <w:b/>
          <w:sz w:val="28"/>
          <w:szCs w:val="28"/>
        </w:rPr>
        <w:t xml:space="preserve">Economic Commission for </w:t>
      </w:r>
      <w:smartTag w:uri="urn:schemas-microsoft-com:office:smarttags" w:element="place">
        <w:r w:rsidRPr="00560572">
          <w:rPr>
            <w:b/>
            <w:sz w:val="28"/>
            <w:szCs w:val="28"/>
          </w:rPr>
          <w:t>Europe</w:t>
        </w:r>
      </w:smartTag>
    </w:p>
    <w:p w14:paraId="2D5B2684" w14:textId="77777777" w:rsidR="00215A1B" w:rsidRPr="00560572" w:rsidRDefault="00215A1B" w:rsidP="00F5390C">
      <w:pPr>
        <w:spacing w:before="120" w:after="0" w:line="240" w:lineRule="atLeast"/>
        <w:rPr>
          <w:sz w:val="28"/>
          <w:szCs w:val="28"/>
        </w:rPr>
      </w:pPr>
      <w:r w:rsidRPr="00560572">
        <w:rPr>
          <w:sz w:val="28"/>
          <w:szCs w:val="28"/>
        </w:rPr>
        <w:t>Inland Transport Committee</w:t>
      </w:r>
    </w:p>
    <w:p w14:paraId="1CE17411" w14:textId="0F98B146" w:rsidR="00215A1B" w:rsidRPr="00560572" w:rsidRDefault="00215A1B" w:rsidP="001C3A25">
      <w:pPr>
        <w:tabs>
          <w:tab w:val="left" w:pos="7938"/>
        </w:tabs>
        <w:spacing w:before="120" w:after="0" w:line="240" w:lineRule="atLeast"/>
        <w:rPr>
          <w:b/>
          <w:szCs w:val="24"/>
        </w:rPr>
      </w:pPr>
      <w:r w:rsidRPr="00560572">
        <w:rPr>
          <w:b/>
          <w:szCs w:val="24"/>
        </w:rPr>
        <w:t>Working Party on the Transport of Dangerous Goods</w:t>
      </w:r>
      <w:r w:rsidR="001C3A25" w:rsidRPr="00560572">
        <w:rPr>
          <w:b/>
          <w:szCs w:val="24"/>
        </w:rPr>
        <w:tab/>
      </w:r>
      <w:r w:rsidR="00C73173">
        <w:rPr>
          <w:b/>
          <w:szCs w:val="24"/>
        </w:rPr>
        <w:t>1</w:t>
      </w:r>
      <w:r w:rsidR="00490D08">
        <w:rPr>
          <w:b/>
          <w:szCs w:val="24"/>
        </w:rPr>
        <w:t xml:space="preserve"> September </w:t>
      </w:r>
      <w:r w:rsidR="00FA3269">
        <w:rPr>
          <w:b/>
        </w:rPr>
        <w:t>20</w:t>
      </w:r>
      <w:r w:rsidR="0073337B">
        <w:rPr>
          <w:b/>
        </w:rPr>
        <w:t>2</w:t>
      </w:r>
      <w:r w:rsidR="00234B3E">
        <w:rPr>
          <w:b/>
        </w:rPr>
        <w:t>3</w:t>
      </w:r>
    </w:p>
    <w:p w14:paraId="102E690D" w14:textId="77777777" w:rsidR="00215A1B" w:rsidRPr="00560572" w:rsidRDefault="00215A1B" w:rsidP="00AC7298">
      <w:pPr>
        <w:spacing w:before="120" w:after="120" w:line="240" w:lineRule="atLeast"/>
        <w:rPr>
          <w:b/>
        </w:rPr>
      </w:pPr>
      <w:r w:rsidRPr="00560572">
        <w:rPr>
          <w:b/>
        </w:rPr>
        <w:t xml:space="preserve">Joint Meeting of the RID Committee of Experts and the </w:t>
      </w:r>
      <w:r w:rsidRPr="00560572">
        <w:rPr>
          <w:b/>
        </w:rPr>
        <w:br/>
        <w:t>Working Party on the Transport of Dangerous Goods</w:t>
      </w:r>
    </w:p>
    <w:p w14:paraId="5F80C607" w14:textId="48EC0BD4" w:rsidR="006643C6" w:rsidRPr="00927DAA" w:rsidRDefault="00097793" w:rsidP="00927DAA">
      <w:pPr>
        <w:rPr>
          <w:b/>
        </w:rPr>
      </w:pPr>
      <w:r w:rsidRPr="00560572">
        <w:t>Geneva</w:t>
      </w:r>
      <w:r w:rsidR="00215A1B" w:rsidRPr="00560572">
        <w:t xml:space="preserve">, </w:t>
      </w:r>
      <w:r w:rsidR="00DC584A" w:rsidRPr="00560572">
        <w:t>1</w:t>
      </w:r>
      <w:r w:rsidR="001D4A08">
        <w:t>9–27</w:t>
      </w:r>
      <w:r w:rsidRPr="00560572">
        <w:t xml:space="preserve"> </w:t>
      </w:r>
      <w:r w:rsidR="007D5759" w:rsidRPr="00560572">
        <w:t xml:space="preserve">September </w:t>
      </w:r>
      <w:r w:rsidR="00FA3269">
        <w:t>20</w:t>
      </w:r>
      <w:r w:rsidR="0073337B">
        <w:t>2</w:t>
      </w:r>
      <w:r w:rsidR="001D4A08">
        <w:t>3</w:t>
      </w:r>
      <w:r w:rsidR="00215A1B" w:rsidRPr="00560572">
        <w:br/>
      </w:r>
      <w:r w:rsidR="00215A1B" w:rsidRPr="0028203C">
        <w:t xml:space="preserve">Item </w:t>
      </w:r>
      <w:r w:rsidR="00D33707">
        <w:t>5 (</w:t>
      </w:r>
      <w:r w:rsidR="001F224D">
        <w:t>b</w:t>
      </w:r>
      <w:r w:rsidR="00D33707">
        <w:t>)</w:t>
      </w:r>
      <w:r w:rsidR="00215A1B" w:rsidRPr="0028203C">
        <w:t xml:space="preserve"> of the provisional agenda</w:t>
      </w:r>
      <w:r w:rsidR="00AD79E9" w:rsidRPr="0028203C">
        <w:t>:</w:t>
      </w:r>
      <w:r w:rsidR="00215A1B" w:rsidRPr="00560572">
        <w:br/>
      </w:r>
      <w:r w:rsidR="00927DAA" w:rsidRPr="00EC1BCD">
        <w:rPr>
          <w:b/>
        </w:rPr>
        <w:t>Proposals for amendments to RID/ADR/</w:t>
      </w:r>
      <w:r w:rsidR="00927DAA">
        <w:rPr>
          <w:b/>
        </w:rPr>
        <w:t>ADN:</w:t>
      </w:r>
      <w:r w:rsidR="00927DAA">
        <w:rPr>
          <w:b/>
        </w:rPr>
        <w:br/>
      </w:r>
      <w:r w:rsidR="009A438E" w:rsidRPr="009A438E">
        <w:rPr>
          <w:b/>
        </w:rPr>
        <w:t>new proposals</w:t>
      </w:r>
    </w:p>
    <w:p w14:paraId="4CE2D506" w14:textId="3408CB6A" w:rsidR="00182774" w:rsidRPr="000C0070" w:rsidRDefault="00182774" w:rsidP="00490A20">
      <w:pPr>
        <w:pStyle w:val="HChG"/>
        <w:jc w:val="both"/>
      </w:pPr>
      <w:r w:rsidRPr="00560572">
        <w:tab/>
      </w:r>
      <w:r>
        <w:tab/>
      </w:r>
      <w:r w:rsidR="00E62690" w:rsidRPr="00A83FDF">
        <w:t>Proposal for amendment</w:t>
      </w:r>
      <w:r w:rsidR="00E62690">
        <w:t xml:space="preserve"> </w:t>
      </w:r>
      <w:r w:rsidR="00490A20">
        <w:t xml:space="preserve">to </w:t>
      </w:r>
      <w:r w:rsidR="000826C6">
        <w:t xml:space="preserve">packing instruction P200 in </w:t>
      </w:r>
      <w:r w:rsidR="00E62690">
        <w:t>4.1.4.1</w:t>
      </w:r>
      <w:r w:rsidR="00E62690" w:rsidRPr="00A83FDF">
        <w:t xml:space="preserve"> </w:t>
      </w:r>
      <w:r w:rsidR="000826C6">
        <w:t xml:space="preserve">of RID/ADR </w:t>
      </w:r>
      <w:r w:rsidR="00E62690" w:rsidRPr="00A83FDF">
        <w:t xml:space="preserve">to </w:t>
      </w:r>
      <w:r w:rsidR="00E62690">
        <w:t>permit the</w:t>
      </w:r>
      <w:r w:rsidR="00E62690" w:rsidRPr="00A83FDF">
        <w:t xml:space="preserve"> interval between </w:t>
      </w:r>
      <w:r w:rsidR="00E62690">
        <w:t xml:space="preserve">the </w:t>
      </w:r>
      <w:r w:rsidR="00E62690" w:rsidRPr="00A83FDF">
        <w:t>periodic inspection of LPG cylinders manufactured according EN 14140</w:t>
      </w:r>
      <w:r w:rsidR="00E62690">
        <w:t xml:space="preserve"> to be extended</w:t>
      </w:r>
      <w:r w:rsidR="00E62690" w:rsidRPr="00A83FDF">
        <w:t xml:space="preserve"> from 10 to 15 years</w:t>
      </w:r>
    </w:p>
    <w:p w14:paraId="3107C6BE" w14:textId="507076AA" w:rsidR="001F224D" w:rsidRDefault="001F224D" w:rsidP="001F224D">
      <w:pPr>
        <w:pStyle w:val="H1G"/>
      </w:pPr>
      <w:r>
        <w:tab/>
      </w:r>
      <w:r>
        <w:tab/>
        <w:t>Transmitted by Liquid Gas Europe</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082"/>
      </w:tblGrid>
      <w:tr w:rsidR="002B4DB3" w:rsidRPr="000E7876" w14:paraId="6AA89D6A" w14:textId="77777777" w:rsidTr="00F603A5">
        <w:trPr>
          <w:jc w:val="center"/>
        </w:trPr>
        <w:tc>
          <w:tcPr>
            <w:tcW w:w="9082" w:type="dxa"/>
            <w:shd w:val="clear" w:color="auto" w:fill="auto"/>
          </w:tcPr>
          <w:p w14:paraId="7987D2A3" w14:textId="77777777" w:rsidR="002B4DB3" w:rsidRPr="000E7876" w:rsidRDefault="002B4DB3" w:rsidP="00F603A5">
            <w:pPr>
              <w:spacing w:before="240" w:after="120"/>
              <w:ind w:left="255"/>
              <w:rPr>
                <w:i/>
              </w:rPr>
            </w:pPr>
            <w:r w:rsidRPr="000E7876">
              <w:rPr>
                <w:i/>
              </w:rPr>
              <w:t>Summary</w:t>
            </w:r>
          </w:p>
        </w:tc>
      </w:tr>
      <w:tr w:rsidR="002B4DB3" w:rsidRPr="000E7876" w14:paraId="1A1A06D4" w14:textId="77777777" w:rsidTr="00F603A5">
        <w:trPr>
          <w:jc w:val="center"/>
        </w:trPr>
        <w:tc>
          <w:tcPr>
            <w:tcW w:w="9082" w:type="dxa"/>
            <w:shd w:val="clear" w:color="auto" w:fill="auto"/>
          </w:tcPr>
          <w:p w14:paraId="61ABE26B" w14:textId="7D57AB34" w:rsidR="002B4DB3" w:rsidRPr="000E7876" w:rsidRDefault="002B4DB3" w:rsidP="00F603A5">
            <w:pPr>
              <w:tabs>
                <w:tab w:val="left" w:pos="3260"/>
              </w:tabs>
              <w:spacing w:after="120"/>
              <w:ind w:left="3260" w:right="1134" w:hanging="2126"/>
              <w:jc w:val="both"/>
            </w:pPr>
            <w:r w:rsidRPr="000E7876">
              <w:rPr>
                <w:b/>
              </w:rPr>
              <w:t>Executive summary:</w:t>
            </w:r>
            <w:r w:rsidRPr="000E7876">
              <w:tab/>
            </w:r>
            <w:r>
              <w:t xml:space="preserve">Transitional measure 1.6.2.9 allows the </w:t>
            </w:r>
            <w:r w:rsidRPr="00130862">
              <w:t>competent authority (authorities) of the country (countries) where the periodic inspection and the carriage take</w:t>
            </w:r>
            <w:r>
              <w:t>s</w:t>
            </w:r>
            <w:r w:rsidRPr="00130862">
              <w:t xml:space="preserve"> place</w:t>
            </w:r>
            <w:r>
              <w:t xml:space="preserve"> to permit a period of 15 years between periodic inspections for EN 14140 LPG cylinders manufactured before the 1st January 2015. However 4.1.4.1 P200 (12) (1.3) does not currently list EN 14140 as a standard to which the period between periodic inspections may be consider to be extended from 10 to 15 years for cylinders manufactured from the 1st January 2015.</w:t>
            </w:r>
          </w:p>
        </w:tc>
      </w:tr>
      <w:tr w:rsidR="002B4DB3" w:rsidRPr="000E7876" w14:paraId="355DA687" w14:textId="77777777" w:rsidTr="00F603A5">
        <w:trPr>
          <w:jc w:val="center"/>
        </w:trPr>
        <w:tc>
          <w:tcPr>
            <w:tcW w:w="9082" w:type="dxa"/>
            <w:shd w:val="clear" w:color="auto" w:fill="auto"/>
          </w:tcPr>
          <w:p w14:paraId="7384B254" w14:textId="77777777" w:rsidR="002B4DB3" w:rsidRPr="000E7876" w:rsidRDefault="002B4DB3" w:rsidP="00F603A5">
            <w:pPr>
              <w:tabs>
                <w:tab w:val="left" w:pos="3260"/>
              </w:tabs>
              <w:ind w:left="3260" w:right="1134" w:hanging="2126"/>
            </w:pPr>
            <w:r w:rsidRPr="000E7876">
              <w:rPr>
                <w:b/>
              </w:rPr>
              <w:t>Action to be taken</w:t>
            </w:r>
            <w:r w:rsidRPr="000E7876">
              <w:rPr>
                <w:b/>
              </w:rPr>
              <w:tab/>
            </w:r>
            <w:r w:rsidRPr="000E7876">
              <w:rPr>
                <w:bCs/>
              </w:rPr>
              <w:t xml:space="preserve">Informal exchange of views on the </w:t>
            </w:r>
            <w:r>
              <w:rPr>
                <w:bCs/>
              </w:rPr>
              <w:t>inclusion of EN 14140 in 4.1.4.1 P200 (12 (1.3)</w:t>
            </w:r>
            <w:r w:rsidRPr="000E7876">
              <w:rPr>
                <w:bCs/>
              </w:rPr>
              <w:t>, ready for the preparation of a formal detailed proposal for the Spring session</w:t>
            </w:r>
            <w:r w:rsidRPr="000E7876">
              <w:t>.</w:t>
            </w:r>
          </w:p>
          <w:p w14:paraId="44BA2D03" w14:textId="77777777" w:rsidR="002B4DB3" w:rsidRPr="000E7876" w:rsidRDefault="002B4DB3" w:rsidP="00F603A5">
            <w:pPr>
              <w:tabs>
                <w:tab w:val="left" w:pos="3260"/>
              </w:tabs>
              <w:ind w:left="3260" w:right="1134" w:hanging="2126"/>
            </w:pPr>
          </w:p>
        </w:tc>
      </w:tr>
      <w:tr w:rsidR="002B4DB3" w:rsidRPr="000E7876" w14:paraId="44A1D9DE" w14:textId="77777777" w:rsidTr="00F603A5">
        <w:trPr>
          <w:jc w:val="center"/>
        </w:trPr>
        <w:tc>
          <w:tcPr>
            <w:tcW w:w="9082" w:type="dxa"/>
            <w:shd w:val="clear" w:color="auto" w:fill="auto"/>
          </w:tcPr>
          <w:p w14:paraId="64CA6C19" w14:textId="77777777" w:rsidR="002B4DB3" w:rsidRPr="000E7876" w:rsidRDefault="002B4DB3" w:rsidP="00F603A5">
            <w:pPr>
              <w:tabs>
                <w:tab w:val="left" w:pos="3260"/>
              </w:tabs>
              <w:ind w:left="3260" w:right="1134" w:hanging="2126"/>
              <w:rPr>
                <w:b/>
              </w:rPr>
            </w:pPr>
            <w:r w:rsidRPr="000E7876">
              <w:rPr>
                <w:b/>
              </w:rPr>
              <w:t>Related documents:</w:t>
            </w:r>
            <w:r w:rsidRPr="000E7876">
              <w:rPr>
                <w:b/>
              </w:rPr>
              <w:tab/>
            </w:r>
          </w:p>
        </w:tc>
      </w:tr>
    </w:tbl>
    <w:p w14:paraId="5B227649" w14:textId="2583C359" w:rsidR="00C6743F" w:rsidRDefault="00C6743F" w:rsidP="00C6743F">
      <w:pPr>
        <w:pStyle w:val="HChG"/>
      </w:pPr>
      <w:r>
        <w:tab/>
      </w:r>
      <w:r>
        <w:tab/>
      </w:r>
      <w:r w:rsidRPr="00C6743F">
        <w:t>Background</w:t>
      </w:r>
    </w:p>
    <w:p w14:paraId="5420B372" w14:textId="0CAFC2C6" w:rsidR="00C6743F" w:rsidRDefault="003C2315" w:rsidP="00CB2FBC">
      <w:pPr>
        <w:pStyle w:val="SingleTxtG"/>
        <w:suppressAutoHyphens/>
        <w:spacing w:line="240" w:lineRule="atLeast"/>
      </w:pPr>
      <w:r>
        <w:t>1.</w:t>
      </w:r>
      <w:r>
        <w:tab/>
      </w:r>
      <w:r w:rsidR="00C6743F">
        <w:t xml:space="preserve">The </w:t>
      </w:r>
      <w:r w:rsidR="00C6743F" w:rsidRPr="00C6743F">
        <w:t>current</w:t>
      </w:r>
      <w:r w:rsidR="00C6743F">
        <w:t xml:space="preserve"> edition of the ADR contains a transitional measure in paragraph 1.6.2.9, applicable to pressure receptacles and receptacles for Class 2, as follows: “</w:t>
      </w:r>
      <w:r w:rsidR="00C6743F" w:rsidRPr="00C6743F">
        <w:t>The provisions of packing instruction P200 (10), special packing provision v of 4.1.4.1 applicable until 31 December 2010 may be applied by Contracting Parties to ADR to cylinders constructed before 1 January 2015.</w:t>
      </w:r>
      <w:r w:rsidR="00C6743F">
        <w:t>”</w:t>
      </w:r>
    </w:p>
    <w:p w14:paraId="05910FF5" w14:textId="2AE0C9F0" w:rsidR="00C6743F" w:rsidRDefault="003C2315" w:rsidP="00CB2FBC">
      <w:pPr>
        <w:pStyle w:val="SingleTxtG"/>
        <w:suppressAutoHyphens/>
        <w:spacing w:line="240" w:lineRule="atLeast"/>
      </w:pPr>
      <w:r>
        <w:t>2.</w:t>
      </w:r>
      <w:r>
        <w:tab/>
      </w:r>
      <w:r w:rsidR="00C6743F">
        <w:t xml:space="preserve">Therefore, the wording of the ADR 2009 applies to transitional measure 1.6.2.9. In the ADR 2009, the provisions of packing instruction 4.1.4.1 P200 (10), special packing provision ‘v’ are as follows: </w:t>
      </w:r>
    </w:p>
    <w:p w14:paraId="291DE0EE" w14:textId="77777777" w:rsidR="00C6743F" w:rsidRPr="00542F0E" w:rsidRDefault="00C6743F" w:rsidP="00C6743F">
      <w:pPr>
        <w:pStyle w:val="SingleTxtG"/>
        <w:ind w:left="1689"/>
        <w:rPr>
          <w:i/>
          <w:iCs/>
        </w:rPr>
      </w:pPr>
      <w:r>
        <w:t>“</w:t>
      </w:r>
      <w:r w:rsidRPr="00542F0E">
        <w:rPr>
          <w:i/>
          <w:iCs/>
        </w:rPr>
        <w:t>v: The interval between inspections for steel cylinders may be extended to 15 years:</w:t>
      </w:r>
    </w:p>
    <w:p w14:paraId="7A4AC367" w14:textId="68D412C4" w:rsidR="00C6743F" w:rsidRPr="00542F0E" w:rsidRDefault="003C2315" w:rsidP="00CB2FBC">
      <w:pPr>
        <w:pStyle w:val="SingleTxtG"/>
        <w:suppressAutoHyphens/>
        <w:spacing w:line="240" w:lineRule="atLeast"/>
        <w:ind w:left="2049" w:hanging="360"/>
        <w:rPr>
          <w:i/>
          <w:iCs/>
        </w:rPr>
      </w:pPr>
      <w:r w:rsidRPr="00542F0E">
        <w:rPr>
          <w:i/>
          <w:iCs/>
        </w:rPr>
        <w:t>(a)</w:t>
      </w:r>
      <w:r w:rsidRPr="00542F0E">
        <w:rPr>
          <w:i/>
          <w:iCs/>
        </w:rPr>
        <w:tab/>
      </w:r>
      <w:r w:rsidR="00C6743F" w:rsidRPr="00542F0E">
        <w:rPr>
          <w:i/>
          <w:iCs/>
        </w:rPr>
        <w:t>With the agreement of the competent authority (authorities) of the country (countries) where the periodic inspection and the carriage take place; and</w:t>
      </w:r>
    </w:p>
    <w:p w14:paraId="2137486C" w14:textId="67093F73" w:rsidR="00C6743F" w:rsidRPr="00644282" w:rsidRDefault="003C2315" w:rsidP="00CB2FBC">
      <w:pPr>
        <w:pStyle w:val="SingleTxtG"/>
        <w:suppressAutoHyphens/>
        <w:spacing w:line="240" w:lineRule="atLeast"/>
        <w:ind w:left="2049" w:hanging="360"/>
      </w:pPr>
      <w:r w:rsidRPr="00CB2FBC">
        <w:rPr>
          <w:i/>
          <w:iCs/>
        </w:rPr>
        <w:lastRenderedPageBreak/>
        <w:t>(b)</w:t>
      </w:r>
      <w:r w:rsidRPr="00644282">
        <w:tab/>
      </w:r>
      <w:r w:rsidR="00C6743F" w:rsidRPr="00542F0E">
        <w:rPr>
          <w:i/>
          <w:iCs/>
        </w:rPr>
        <w:t>In accordance with the requirements of a technical code or a standard recognised by the competent authority, or standard EN 1440:1996 “Transportable refillable welded cylinders for liquified petroleum gas (LPG) – Periodic requalification</w:t>
      </w:r>
      <w:r w:rsidR="00C6743F">
        <w:t>”.</w:t>
      </w:r>
    </w:p>
    <w:p w14:paraId="60E21067" w14:textId="6769F5D8" w:rsidR="00C6743F" w:rsidRDefault="003C2315" w:rsidP="00CB2FBC">
      <w:pPr>
        <w:pStyle w:val="SingleTxtG"/>
        <w:suppressAutoHyphens/>
        <w:spacing w:line="240" w:lineRule="atLeast"/>
      </w:pPr>
      <w:r>
        <w:t>3.</w:t>
      </w:r>
      <w:r>
        <w:tab/>
      </w:r>
      <w:r w:rsidR="00C6743F">
        <w:t>EN 14140 was referenced in the ADR 2009 in chapter 6.2.4 (both EN 14140:2003 and EN 14140:2003+A1:2006) and is currently referenced in the ADR 2023 chapter 6.2.4 (latest version EN 14140:2014+AC:2015), but only cylinders manufactured before the 1</w:t>
      </w:r>
      <w:r w:rsidR="00C6743F" w:rsidRPr="00BD7500">
        <w:t>st</w:t>
      </w:r>
      <w:r w:rsidR="00C6743F">
        <w:t xml:space="preserve"> of January 2015 are allowed to have their periodic inspection interval extended to 15 years.</w:t>
      </w:r>
    </w:p>
    <w:p w14:paraId="5B9C2FF5" w14:textId="05852F17" w:rsidR="00C6743F" w:rsidRPr="00A83FDF" w:rsidRDefault="003C2315" w:rsidP="00CB2FBC">
      <w:pPr>
        <w:pStyle w:val="SingleTxtG"/>
        <w:suppressAutoHyphens/>
        <w:spacing w:line="240" w:lineRule="atLeast"/>
      </w:pPr>
      <w:r w:rsidRPr="00A83FDF">
        <w:t>4.</w:t>
      </w:r>
      <w:r w:rsidRPr="00A83FDF">
        <w:tab/>
      </w:r>
      <w:r w:rsidR="00C6743F">
        <w:t xml:space="preserve">The standard </w:t>
      </w:r>
      <w:r w:rsidR="00C6743F" w:rsidRPr="00216F6B">
        <w:t xml:space="preserve">EN 14140 </w:t>
      </w:r>
      <w:r w:rsidR="00C6743F">
        <w:t>was</w:t>
      </w:r>
      <w:r w:rsidR="00C6743F" w:rsidRPr="00216F6B">
        <w:t xml:space="preserve"> develop by CEN TC286, the same group of experts that developed EN 1442 (Transportable refillable welded steel cylinders for LPG - Design and construction)</w:t>
      </w:r>
      <w:r w:rsidR="00C6743F">
        <w:t>.</w:t>
      </w:r>
      <w:r w:rsidR="00C6743F" w:rsidRPr="00216F6B">
        <w:t xml:space="preserve"> </w:t>
      </w:r>
      <w:r w:rsidR="00C6743F">
        <w:t xml:space="preserve">EN 14140 </w:t>
      </w:r>
      <w:r w:rsidR="00C6743F" w:rsidRPr="00216F6B">
        <w:t xml:space="preserve">provides </w:t>
      </w:r>
      <w:r w:rsidR="00C6743F">
        <w:t xml:space="preserve">an </w:t>
      </w:r>
      <w:r w:rsidR="00C6743F" w:rsidRPr="00216F6B">
        <w:t xml:space="preserve">equivalent level of safety and quality </w:t>
      </w:r>
      <w:r w:rsidR="00C6743F">
        <w:t>to</w:t>
      </w:r>
      <w:r w:rsidR="00C6743F" w:rsidRPr="00216F6B">
        <w:t xml:space="preserve"> those </w:t>
      </w:r>
      <w:r w:rsidR="00C6743F">
        <w:t xml:space="preserve">designed and manufactured in accordance with </w:t>
      </w:r>
      <w:r w:rsidR="00C6743F" w:rsidRPr="00216F6B">
        <w:t>EN 1442. EN 14140</w:t>
      </w:r>
      <w:r w:rsidR="00C6743F">
        <w:t xml:space="preserve"> was first published in 2003</w:t>
      </w:r>
      <w:r w:rsidR="00C6743F" w:rsidRPr="00216F6B">
        <w:t xml:space="preserve"> </w:t>
      </w:r>
      <w:r w:rsidR="00C6743F">
        <w:t xml:space="preserve">and </w:t>
      </w:r>
      <w:r w:rsidR="00C6743F" w:rsidRPr="00216F6B">
        <w:t>has been subjected to several improvements by amendments, corrigend</w:t>
      </w:r>
      <w:r w:rsidR="00E33BEE">
        <w:t>a</w:t>
      </w:r>
      <w:r w:rsidR="00C6743F" w:rsidRPr="00216F6B">
        <w:t xml:space="preserve"> and revisions, resulting</w:t>
      </w:r>
      <w:r w:rsidR="00C6743F">
        <w:t xml:space="preserve"> in EN 14140:2014 + AC:2015, which is referenced in the ADR 2023.</w:t>
      </w:r>
    </w:p>
    <w:p w14:paraId="11E8C377" w14:textId="685510DA" w:rsidR="00C6743F" w:rsidRDefault="003C2315" w:rsidP="00CB2FBC">
      <w:pPr>
        <w:pStyle w:val="SingleTxtG"/>
        <w:suppressAutoHyphens/>
        <w:spacing w:line="240" w:lineRule="atLeast"/>
      </w:pPr>
      <w:r>
        <w:t>5.</w:t>
      </w:r>
      <w:r>
        <w:tab/>
      </w:r>
      <w:r w:rsidR="00C6743F">
        <w:t>A significant number of EN 14140 cylinders have entered service since 2009, with only those manufactured before the 1</w:t>
      </w:r>
      <w:r w:rsidR="00C6743F" w:rsidRPr="00BD7500">
        <w:t>st</w:t>
      </w:r>
      <w:r w:rsidR="00C6743F">
        <w:t xml:space="preserve"> of January 2015 allowed to be marked P15Y. A high number of EN 14140 cylinders manufactured between 2003 and 2008 have been allowed to have a 15-year period between periodic inspections and no safety issues have been recorded. </w:t>
      </w:r>
    </w:p>
    <w:p w14:paraId="299F7091" w14:textId="0296A56E" w:rsidR="00C6743F" w:rsidRPr="004D3BBF" w:rsidRDefault="003C2315" w:rsidP="00CB2FBC">
      <w:pPr>
        <w:pStyle w:val="SingleTxtG"/>
        <w:suppressAutoHyphens/>
        <w:spacing w:line="240" w:lineRule="atLeast"/>
      </w:pPr>
      <w:r w:rsidRPr="004D3BBF">
        <w:t>6.</w:t>
      </w:r>
      <w:r w:rsidRPr="004D3BBF">
        <w:tab/>
      </w:r>
      <w:r w:rsidR="00C6743F">
        <w:t xml:space="preserve">EN 16728:2016+A2:2020 is now the current standard for the periodic inspection of EN 14140 designed and manufactured cylinders. This standard has been updated, a number of times, improving the safety and quality of the periodic inspection of these cylinders.  </w:t>
      </w:r>
    </w:p>
    <w:p w14:paraId="64AE3753" w14:textId="033E2824" w:rsidR="00C6743F" w:rsidRPr="00216F6B" w:rsidRDefault="003C2315" w:rsidP="00CB2FBC">
      <w:pPr>
        <w:pStyle w:val="SingleTxtG"/>
        <w:suppressAutoHyphens/>
        <w:spacing w:line="240" w:lineRule="atLeast"/>
      </w:pPr>
      <w:r w:rsidRPr="00216F6B">
        <w:t>7.</w:t>
      </w:r>
      <w:r w:rsidRPr="00216F6B">
        <w:tab/>
      </w:r>
      <w:r w:rsidR="00C6743F">
        <w:t>LPG of a quality mandated by 4.1.4.1 P200 (12) (2.5) does not cause internal corrosion in steel cylinders and the external surfaces of these cylinders are checked each time before they are filled for both corrosion and physical damage.</w:t>
      </w:r>
    </w:p>
    <w:p w14:paraId="6D50FFC1" w14:textId="616C408C" w:rsidR="00C6743F" w:rsidRPr="00D81950" w:rsidRDefault="00C6743F" w:rsidP="00BD7500">
      <w:pPr>
        <w:pStyle w:val="HChG"/>
      </w:pPr>
      <w:r>
        <w:tab/>
      </w:r>
      <w:r>
        <w:tab/>
      </w:r>
      <w:r w:rsidRPr="00BD7500">
        <w:t>Draft</w:t>
      </w:r>
      <w:r>
        <w:t xml:space="preserve"> </w:t>
      </w:r>
      <w:r w:rsidR="001A7DA8">
        <w:t>p</w:t>
      </w:r>
      <w:r>
        <w:t>roposal</w:t>
      </w:r>
    </w:p>
    <w:p w14:paraId="57708E7E" w14:textId="5F33E9B5" w:rsidR="00C6743F" w:rsidRPr="00A83FDF" w:rsidRDefault="009C260A" w:rsidP="0050250B">
      <w:pPr>
        <w:pStyle w:val="SingleTxtG"/>
      </w:pPr>
      <w:r>
        <w:t>8.</w:t>
      </w:r>
      <w:r>
        <w:tab/>
      </w:r>
      <w:r w:rsidR="001A7DA8">
        <w:t>Amend</w:t>
      </w:r>
      <w:r w:rsidR="00C6743F" w:rsidRPr="00A83FDF">
        <w:t xml:space="preserve"> P200</w:t>
      </w:r>
      <w:r w:rsidR="00C6743F">
        <w:t xml:space="preserve"> (12) (1.3)</w:t>
      </w:r>
      <w:r w:rsidR="001A7DA8">
        <w:t xml:space="preserve"> in</w:t>
      </w:r>
      <w:r w:rsidR="00DA542A">
        <w:t xml:space="preserve"> 4.1.4.1 as follows</w:t>
      </w:r>
      <w:r w:rsidR="00E6687A">
        <w:t xml:space="preserve"> (new text is shown in bold</w:t>
      </w:r>
      <w:r w:rsidR="0050250B">
        <w:t>, underlined</w:t>
      </w:r>
      <w:r w:rsidR="00E6687A">
        <w:t>)</w:t>
      </w:r>
      <w:r w:rsidR="00DA542A">
        <w:t>:</w:t>
      </w:r>
    </w:p>
    <w:p w14:paraId="5C6C53AC" w14:textId="12810017" w:rsidR="00C6743F" w:rsidRPr="00CB2FBC" w:rsidRDefault="00C6743F" w:rsidP="00C6743F">
      <w:pPr>
        <w:ind w:left="1134" w:right="1134"/>
        <w:jc w:val="both"/>
        <w:rPr>
          <w:rFonts w:asciiTheme="majorBidi" w:hAnsiTheme="majorBidi" w:cstheme="majorBidi"/>
        </w:rPr>
      </w:pPr>
      <w:r w:rsidRPr="00CB2FBC">
        <w:rPr>
          <w:rFonts w:asciiTheme="majorBidi" w:hAnsiTheme="majorBidi" w:cstheme="majorBidi"/>
        </w:rPr>
        <w:t>“1.3</w:t>
      </w:r>
      <w:r w:rsidRPr="00CB2FBC">
        <w:rPr>
          <w:rFonts w:asciiTheme="majorBidi" w:hAnsiTheme="majorBidi" w:cstheme="majorBidi"/>
        </w:rPr>
        <w:tab/>
        <w:t>Cylinders manufactured since 1 January 1999 shall have been manufactured in conformity with the following standards:</w:t>
      </w:r>
    </w:p>
    <w:p w14:paraId="42D2DDF4" w14:textId="15745D4F" w:rsidR="00C6743F" w:rsidRPr="00CB2FBC" w:rsidRDefault="0050250B" w:rsidP="00CB2FBC">
      <w:pPr>
        <w:pStyle w:val="ListParagraph"/>
        <w:spacing w:after="160" w:line="259" w:lineRule="auto"/>
        <w:ind w:left="1560" w:right="1134" w:hanging="426"/>
        <w:jc w:val="both"/>
        <w:rPr>
          <w:rFonts w:asciiTheme="majorBidi" w:hAnsiTheme="majorBidi" w:cstheme="majorBidi"/>
          <w:sz w:val="20"/>
          <w:szCs w:val="20"/>
        </w:rPr>
      </w:pPr>
      <w:r>
        <w:rPr>
          <w:rFonts w:asciiTheme="majorBidi" w:hAnsiTheme="majorBidi" w:cstheme="majorBidi"/>
          <w:sz w:val="20"/>
          <w:szCs w:val="20"/>
        </w:rPr>
        <w:t>-</w:t>
      </w:r>
      <w:r>
        <w:rPr>
          <w:rFonts w:asciiTheme="majorBidi" w:hAnsiTheme="majorBidi" w:cstheme="majorBidi"/>
          <w:sz w:val="20"/>
          <w:szCs w:val="20"/>
        </w:rPr>
        <w:tab/>
      </w:r>
      <w:r w:rsidR="00C6743F" w:rsidRPr="00CB2FBC">
        <w:rPr>
          <w:rFonts w:asciiTheme="majorBidi" w:hAnsiTheme="majorBidi" w:cstheme="majorBidi"/>
          <w:sz w:val="20"/>
          <w:szCs w:val="20"/>
        </w:rPr>
        <w:t>EN 1442; or</w:t>
      </w:r>
    </w:p>
    <w:p w14:paraId="2E99A5C5" w14:textId="1E0190C5" w:rsidR="00C6743F" w:rsidRPr="00CB2FBC" w:rsidRDefault="0050250B" w:rsidP="00CB2FBC">
      <w:pPr>
        <w:pStyle w:val="ListParagraph"/>
        <w:spacing w:after="160" w:line="259" w:lineRule="auto"/>
        <w:ind w:left="1560" w:right="1134" w:hanging="426"/>
        <w:jc w:val="both"/>
        <w:rPr>
          <w:rFonts w:asciiTheme="majorBidi" w:hAnsiTheme="majorBidi" w:cstheme="majorBidi"/>
          <w:b/>
          <w:bCs/>
          <w:sz w:val="20"/>
          <w:szCs w:val="20"/>
          <w:u w:val="single"/>
        </w:rPr>
      </w:pPr>
      <w:r>
        <w:rPr>
          <w:rFonts w:asciiTheme="majorBidi" w:hAnsiTheme="majorBidi" w:cstheme="majorBidi"/>
          <w:sz w:val="20"/>
          <w:szCs w:val="20"/>
        </w:rPr>
        <w:t>-</w:t>
      </w:r>
      <w:r>
        <w:rPr>
          <w:rFonts w:asciiTheme="majorBidi" w:hAnsiTheme="majorBidi" w:cstheme="majorBidi"/>
          <w:sz w:val="20"/>
          <w:szCs w:val="20"/>
        </w:rPr>
        <w:tab/>
      </w:r>
      <w:r w:rsidR="00C6743F" w:rsidRPr="00CB2FBC">
        <w:rPr>
          <w:rFonts w:asciiTheme="majorBidi" w:hAnsiTheme="majorBidi" w:cstheme="majorBidi"/>
          <w:b/>
          <w:bCs/>
          <w:sz w:val="20"/>
          <w:szCs w:val="20"/>
          <w:u w:val="single"/>
        </w:rPr>
        <w:t>EN 14140; or</w:t>
      </w:r>
    </w:p>
    <w:p w14:paraId="57793F05" w14:textId="06E1C3F9" w:rsidR="00C6743F" w:rsidRPr="00CB2FBC" w:rsidRDefault="0050250B" w:rsidP="00CB2FBC">
      <w:pPr>
        <w:pStyle w:val="ListParagraph"/>
        <w:spacing w:after="160" w:line="259" w:lineRule="auto"/>
        <w:ind w:left="1560" w:right="1134" w:hanging="426"/>
        <w:jc w:val="both"/>
        <w:rPr>
          <w:rFonts w:asciiTheme="majorBidi" w:hAnsiTheme="majorBidi" w:cstheme="majorBidi"/>
          <w:sz w:val="20"/>
          <w:szCs w:val="20"/>
        </w:rPr>
      </w:pPr>
      <w:r>
        <w:rPr>
          <w:rFonts w:asciiTheme="majorBidi" w:hAnsiTheme="majorBidi" w:cstheme="majorBidi"/>
          <w:sz w:val="20"/>
          <w:szCs w:val="20"/>
        </w:rPr>
        <w:t>-</w:t>
      </w:r>
      <w:r>
        <w:rPr>
          <w:rFonts w:asciiTheme="majorBidi" w:hAnsiTheme="majorBidi" w:cstheme="majorBidi"/>
          <w:sz w:val="20"/>
          <w:szCs w:val="20"/>
        </w:rPr>
        <w:tab/>
      </w:r>
      <w:r w:rsidR="00C6743F" w:rsidRPr="00CB2FBC">
        <w:rPr>
          <w:rFonts w:asciiTheme="majorBidi" w:hAnsiTheme="majorBidi" w:cstheme="majorBidi"/>
          <w:sz w:val="20"/>
          <w:szCs w:val="20"/>
        </w:rPr>
        <w:t>EN 13222-1; or</w:t>
      </w:r>
    </w:p>
    <w:p w14:paraId="61739574" w14:textId="0294D863" w:rsidR="00C6743F" w:rsidRPr="00CB2FBC" w:rsidRDefault="0050250B" w:rsidP="00CB2FBC">
      <w:pPr>
        <w:pStyle w:val="ListParagraph"/>
        <w:spacing w:after="160" w:line="259" w:lineRule="auto"/>
        <w:ind w:left="1560" w:right="1134" w:hanging="426"/>
        <w:jc w:val="both"/>
        <w:rPr>
          <w:rFonts w:asciiTheme="majorBidi" w:hAnsiTheme="majorBidi" w:cstheme="majorBidi"/>
          <w:sz w:val="20"/>
          <w:szCs w:val="20"/>
        </w:rPr>
      </w:pPr>
      <w:r>
        <w:rPr>
          <w:rFonts w:asciiTheme="majorBidi" w:hAnsiTheme="majorBidi" w:cstheme="majorBidi"/>
          <w:sz w:val="20"/>
          <w:szCs w:val="20"/>
        </w:rPr>
        <w:t>-</w:t>
      </w:r>
      <w:r>
        <w:rPr>
          <w:rFonts w:asciiTheme="majorBidi" w:hAnsiTheme="majorBidi" w:cstheme="majorBidi"/>
          <w:sz w:val="20"/>
          <w:szCs w:val="20"/>
        </w:rPr>
        <w:tab/>
      </w:r>
      <w:r w:rsidR="00C6743F" w:rsidRPr="00CB2FBC">
        <w:rPr>
          <w:rFonts w:asciiTheme="majorBidi" w:hAnsiTheme="majorBidi" w:cstheme="majorBidi"/>
          <w:sz w:val="20"/>
          <w:szCs w:val="20"/>
        </w:rPr>
        <w:t>Annex I, parts 1 to 3 to Council Directive 84/527/</w:t>
      </w:r>
      <w:proofErr w:type="spellStart"/>
      <w:r w:rsidR="00C6743F" w:rsidRPr="00CB2FBC">
        <w:rPr>
          <w:rFonts w:asciiTheme="majorBidi" w:hAnsiTheme="majorBidi" w:cstheme="majorBidi"/>
          <w:sz w:val="20"/>
          <w:szCs w:val="20"/>
        </w:rPr>
        <w:t>EECa</w:t>
      </w:r>
      <w:proofErr w:type="spellEnd"/>
    </w:p>
    <w:p w14:paraId="2A397FE6" w14:textId="77777777" w:rsidR="00C6743F" w:rsidRPr="00CB2FBC" w:rsidRDefault="00C6743F" w:rsidP="00C6743F">
      <w:pPr>
        <w:ind w:left="1276" w:right="1134" w:hanging="142"/>
        <w:jc w:val="both"/>
      </w:pPr>
      <w:r w:rsidRPr="00CB2FBC">
        <w:t>as applicable according to the table in 6.2.4.</w:t>
      </w:r>
    </w:p>
    <w:p w14:paraId="58F59DFF" w14:textId="4DD53CB0" w:rsidR="00C6743F" w:rsidRPr="00CB2FBC" w:rsidRDefault="00C6743F" w:rsidP="00C6743F">
      <w:pPr>
        <w:ind w:left="1134" w:right="1134"/>
        <w:jc w:val="both"/>
      </w:pPr>
      <w:r w:rsidRPr="00CB2FBC">
        <w:t>Other cylinders manufactured before 1 January 2009 in conformity with ADR in accordance with a technical code accepted by the national competent authority may be accepted for a 15 year interval, if they are of equivalent safety to the provisions of ADR as applicable at the time of application ”</w:t>
      </w:r>
      <w:r w:rsidR="004C011C">
        <w:t>.</w:t>
      </w:r>
    </w:p>
    <w:p w14:paraId="302D3A6C" w14:textId="47C975F5" w:rsidR="006F2106" w:rsidRPr="00022326" w:rsidRDefault="006F2106" w:rsidP="00BD7500">
      <w:pPr>
        <w:spacing w:before="120"/>
        <w:jc w:val="center"/>
        <w:rPr>
          <w:u w:val="single"/>
          <w:lang w:val="en-US"/>
        </w:rPr>
      </w:pPr>
      <w:r>
        <w:rPr>
          <w:u w:val="single"/>
          <w:lang w:val="en-US"/>
        </w:rPr>
        <w:tab/>
      </w:r>
      <w:r>
        <w:rPr>
          <w:u w:val="single"/>
          <w:lang w:val="en-US"/>
        </w:rPr>
        <w:tab/>
      </w:r>
      <w:r>
        <w:rPr>
          <w:u w:val="single"/>
          <w:lang w:val="en-US"/>
        </w:rPr>
        <w:tab/>
      </w:r>
    </w:p>
    <w:sectPr w:rsidR="006F2106" w:rsidRPr="00022326" w:rsidSect="00CA6540">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717B" w14:textId="77777777" w:rsidR="005C429F" w:rsidRDefault="005C429F"/>
  </w:endnote>
  <w:endnote w:type="continuationSeparator" w:id="0">
    <w:p w14:paraId="5A38DBEE" w14:textId="77777777" w:rsidR="005C429F" w:rsidRDefault="005C429F"/>
  </w:endnote>
  <w:endnote w:type="continuationNotice" w:id="1">
    <w:p w14:paraId="6607B29B" w14:textId="77777777" w:rsidR="005C429F" w:rsidRDefault="005C4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E7A7" w14:textId="77777777" w:rsidR="002B16A1" w:rsidRPr="003B3A7E" w:rsidRDefault="002B16A1" w:rsidP="003B3A7E">
    <w:pPr>
      <w:pStyle w:val="Footer"/>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5EC7" w14:textId="77777777" w:rsidR="002B16A1" w:rsidRDefault="002B16A1" w:rsidP="003B3A7E">
    <w:pPr>
      <w:pStyle w:val="Footer"/>
      <w:jc w:val="right"/>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FB4FB" w14:textId="77777777" w:rsidR="005C429F" w:rsidRPr="000B175B" w:rsidRDefault="005C429F" w:rsidP="000B175B">
      <w:pPr>
        <w:tabs>
          <w:tab w:val="right" w:pos="2155"/>
        </w:tabs>
        <w:spacing w:after="80"/>
        <w:ind w:left="680"/>
        <w:rPr>
          <w:u w:val="single"/>
        </w:rPr>
      </w:pPr>
      <w:r>
        <w:rPr>
          <w:u w:val="single"/>
        </w:rPr>
        <w:tab/>
      </w:r>
    </w:p>
  </w:footnote>
  <w:footnote w:type="continuationSeparator" w:id="0">
    <w:p w14:paraId="6471F6E7" w14:textId="77777777" w:rsidR="005C429F" w:rsidRPr="00FC68B7" w:rsidRDefault="005C429F" w:rsidP="00FC68B7">
      <w:pPr>
        <w:tabs>
          <w:tab w:val="left" w:pos="2155"/>
        </w:tabs>
        <w:spacing w:after="80"/>
        <w:ind w:left="680"/>
        <w:rPr>
          <w:u w:val="single"/>
        </w:rPr>
      </w:pPr>
      <w:r>
        <w:rPr>
          <w:u w:val="single"/>
        </w:rPr>
        <w:tab/>
      </w:r>
    </w:p>
  </w:footnote>
  <w:footnote w:type="continuationNotice" w:id="1">
    <w:p w14:paraId="13F04535" w14:textId="77777777" w:rsidR="005C429F" w:rsidRDefault="005C4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2077" w14:textId="44462F51" w:rsidR="002B16A1" w:rsidRPr="0009455D" w:rsidRDefault="002B16A1">
    <w:pPr>
      <w:pStyle w:val="Header"/>
      <w:rPr>
        <w:lang w:val="fr-CH"/>
      </w:rPr>
    </w:pPr>
    <w:r>
      <w:rPr>
        <w:lang w:val="fr-CH"/>
      </w:rPr>
      <w:t>INF.</w:t>
    </w:r>
    <w:r w:rsidR="00614F5B">
      <w:rPr>
        <w:lang w:val="fr-CH"/>
      </w:rPr>
      <w:t>1</w:t>
    </w:r>
    <w:r w:rsidR="00164B01">
      <w:rPr>
        <w:lang w:val="fr-CH"/>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538" w14:textId="77777777" w:rsidR="002B16A1" w:rsidRPr="00073BC9" w:rsidRDefault="002B16A1" w:rsidP="0009455D">
    <w:pPr>
      <w:pStyle w:val="Header"/>
      <w:jc w:val="right"/>
    </w:pPr>
    <w:r>
      <w:t>INF.</w:t>
    </w:r>
    <w:r w:rsidR="008E4437">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0788" w14:textId="3FA8DF54" w:rsidR="002B16A1" w:rsidRPr="00560572" w:rsidRDefault="002B16A1" w:rsidP="00E37495">
    <w:pPr>
      <w:pStyle w:val="Header"/>
      <w:pBdr>
        <w:bottom w:val="single" w:sz="4" w:space="1" w:color="auto"/>
      </w:pBdr>
      <w:jc w:val="right"/>
      <w:rPr>
        <w:sz w:val="28"/>
        <w:szCs w:val="28"/>
      </w:rPr>
    </w:pPr>
    <w:r w:rsidRPr="00560572">
      <w:rPr>
        <w:sz w:val="28"/>
        <w:szCs w:val="28"/>
      </w:rPr>
      <w:t>INF.</w:t>
    </w:r>
    <w:r w:rsidR="0028203C">
      <w:rPr>
        <w:sz w:val="28"/>
        <w:szCs w:val="28"/>
      </w:rPr>
      <w:t>1</w:t>
    </w:r>
    <w:r w:rsidR="00164B01">
      <w:rPr>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1A54A8"/>
    <w:multiLevelType w:val="hybridMultilevel"/>
    <w:tmpl w:val="E3360C5E"/>
    <w:lvl w:ilvl="0" w:tplc="6F9C4CE4">
      <w:start w:val="1"/>
      <w:numFmt w:val="bullet"/>
      <w:lvlText w:val=""/>
      <w:lvlJc w:val="left"/>
      <w:pPr>
        <w:ind w:left="1854" w:hanging="360"/>
      </w:pPr>
      <w:rPr>
        <w:rFonts w:ascii="Symbol" w:hAnsi="Symbol" w:hint="default"/>
      </w:rPr>
    </w:lvl>
    <w:lvl w:ilvl="1" w:tplc="08160003" w:tentative="1">
      <w:start w:val="1"/>
      <w:numFmt w:val="bullet"/>
      <w:lvlText w:val="o"/>
      <w:lvlJc w:val="left"/>
      <w:pPr>
        <w:ind w:left="2574" w:hanging="360"/>
      </w:pPr>
      <w:rPr>
        <w:rFonts w:ascii="Courier New" w:hAnsi="Courier New" w:cs="Courier New" w:hint="default"/>
      </w:rPr>
    </w:lvl>
    <w:lvl w:ilvl="2" w:tplc="08160005" w:tentative="1">
      <w:start w:val="1"/>
      <w:numFmt w:val="bullet"/>
      <w:lvlText w:val=""/>
      <w:lvlJc w:val="left"/>
      <w:pPr>
        <w:ind w:left="3294" w:hanging="360"/>
      </w:pPr>
      <w:rPr>
        <w:rFonts w:ascii="Wingdings" w:hAnsi="Wingdings" w:hint="default"/>
      </w:rPr>
    </w:lvl>
    <w:lvl w:ilvl="3" w:tplc="08160001" w:tentative="1">
      <w:start w:val="1"/>
      <w:numFmt w:val="bullet"/>
      <w:lvlText w:val=""/>
      <w:lvlJc w:val="left"/>
      <w:pPr>
        <w:ind w:left="4014" w:hanging="360"/>
      </w:pPr>
      <w:rPr>
        <w:rFonts w:ascii="Symbol" w:hAnsi="Symbol" w:hint="default"/>
      </w:rPr>
    </w:lvl>
    <w:lvl w:ilvl="4" w:tplc="08160003" w:tentative="1">
      <w:start w:val="1"/>
      <w:numFmt w:val="bullet"/>
      <w:lvlText w:val="o"/>
      <w:lvlJc w:val="left"/>
      <w:pPr>
        <w:ind w:left="4734" w:hanging="360"/>
      </w:pPr>
      <w:rPr>
        <w:rFonts w:ascii="Courier New" w:hAnsi="Courier New" w:cs="Courier New" w:hint="default"/>
      </w:rPr>
    </w:lvl>
    <w:lvl w:ilvl="5" w:tplc="08160005" w:tentative="1">
      <w:start w:val="1"/>
      <w:numFmt w:val="bullet"/>
      <w:lvlText w:val=""/>
      <w:lvlJc w:val="left"/>
      <w:pPr>
        <w:ind w:left="5454" w:hanging="360"/>
      </w:pPr>
      <w:rPr>
        <w:rFonts w:ascii="Wingdings" w:hAnsi="Wingdings" w:hint="default"/>
      </w:rPr>
    </w:lvl>
    <w:lvl w:ilvl="6" w:tplc="08160001" w:tentative="1">
      <w:start w:val="1"/>
      <w:numFmt w:val="bullet"/>
      <w:lvlText w:val=""/>
      <w:lvlJc w:val="left"/>
      <w:pPr>
        <w:ind w:left="6174" w:hanging="360"/>
      </w:pPr>
      <w:rPr>
        <w:rFonts w:ascii="Symbol" w:hAnsi="Symbol" w:hint="default"/>
      </w:rPr>
    </w:lvl>
    <w:lvl w:ilvl="7" w:tplc="08160003" w:tentative="1">
      <w:start w:val="1"/>
      <w:numFmt w:val="bullet"/>
      <w:lvlText w:val="o"/>
      <w:lvlJc w:val="left"/>
      <w:pPr>
        <w:ind w:left="6894" w:hanging="360"/>
      </w:pPr>
      <w:rPr>
        <w:rFonts w:ascii="Courier New" w:hAnsi="Courier New" w:cs="Courier New" w:hint="default"/>
      </w:rPr>
    </w:lvl>
    <w:lvl w:ilvl="8" w:tplc="08160005" w:tentative="1">
      <w:start w:val="1"/>
      <w:numFmt w:val="bullet"/>
      <w:lvlText w:val=""/>
      <w:lvlJc w:val="left"/>
      <w:pPr>
        <w:ind w:left="7614" w:hanging="360"/>
      </w:pPr>
      <w:rPr>
        <w:rFonts w:ascii="Wingdings" w:hAnsi="Wingdings" w:hint="default"/>
      </w:rPr>
    </w:lvl>
  </w:abstractNum>
  <w:abstractNum w:abstractNumId="12" w15:restartNumberingAfterBreak="0">
    <w:nsid w:val="1B623A3D"/>
    <w:multiLevelType w:val="hybridMultilevel"/>
    <w:tmpl w:val="B00AE274"/>
    <w:lvl w:ilvl="0" w:tplc="A8A2E520">
      <w:start w:val="1"/>
      <w:numFmt w:val="decimal"/>
      <w:lvlText w:val="%1."/>
      <w:lvlJc w:val="left"/>
      <w:pPr>
        <w:ind w:left="1689" w:hanging="555"/>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0F031D"/>
    <w:multiLevelType w:val="multilevel"/>
    <w:tmpl w:val="4BAA2A42"/>
    <w:lvl w:ilvl="0">
      <w:start w:val="4"/>
      <w:numFmt w:val="bullet"/>
      <w:lvlText w:val="-"/>
      <w:lvlJc w:val="left"/>
      <w:pPr>
        <w:ind w:left="1494" w:hanging="360"/>
      </w:pPr>
      <w:rPr>
        <w:rFonts w:ascii="Arial" w:hAnsi="Arial" w:cs="Arial" w:hint="default"/>
        <w:color w:val="00000A"/>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18" w15:restartNumberingAfterBreak="0">
    <w:nsid w:val="22973BE0"/>
    <w:multiLevelType w:val="hybridMultilevel"/>
    <w:tmpl w:val="8150746C"/>
    <w:lvl w:ilvl="0" w:tplc="9CEA4C5A">
      <w:start w:val="1"/>
      <w:numFmt w:val="lowerLetter"/>
      <w:lvlText w:val="(%1)"/>
      <w:lvlJc w:val="left"/>
      <w:pPr>
        <w:ind w:left="2049" w:hanging="360"/>
      </w:pPr>
      <w:rPr>
        <w:rFonts w:hint="default"/>
      </w:rPr>
    </w:lvl>
    <w:lvl w:ilvl="1" w:tplc="08160019" w:tentative="1">
      <w:start w:val="1"/>
      <w:numFmt w:val="lowerLetter"/>
      <w:lvlText w:val="%2."/>
      <w:lvlJc w:val="left"/>
      <w:pPr>
        <w:ind w:left="2769" w:hanging="360"/>
      </w:pPr>
    </w:lvl>
    <w:lvl w:ilvl="2" w:tplc="0816001B" w:tentative="1">
      <w:start w:val="1"/>
      <w:numFmt w:val="lowerRoman"/>
      <w:lvlText w:val="%3."/>
      <w:lvlJc w:val="right"/>
      <w:pPr>
        <w:ind w:left="3489" w:hanging="180"/>
      </w:pPr>
    </w:lvl>
    <w:lvl w:ilvl="3" w:tplc="0816000F" w:tentative="1">
      <w:start w:val="1"/>
      <w:numFmt w:val="decimal"/>
      <w:lvlText w:val="%4."/>
      <w:lvlJc w:val="left"/>
      <w:pPr>
        <w:ind w:left="4209" w:hanging="360"/>
      </w:pPr>
    </w:lvl>
    <w:lvl w:ilvl="4" w:tplc="08160019" w:tentative="1">
      <w:start w:val="1"/>
      <w:numFmt w:val="lowerLetter"/>
      <w:lvlText w:val="%5."/>
      <w:lvlJc w:val="left"/>
      <w:pPr>
        <w:ind w:left="4929" w:hanging="360"/>
      </w:pPr>
    </w:lvl>
    <w:lvl w:ilvl="5" w:tplc="0816001B" w:tentative="1">
      <w:start w:val="1"/>
      <w:numFmt w:val="lowerRoman"/>
      <w:lvlText w:val="%6."/>
      <w:lvlJc w:val="right"/>
      <w:pPr>
        <w:ind w:left="5649" w:hanging="180"/>
      </w:pPr>
    </w:lvl>
    <w:lvl w:ilvl="6" w:tplc="0816000F" w:tentative="1">
      <w:start w:val="1"/>
      <w:numFmt w:val="decimal"/>
      <w:lvlText w:val="%7."/>
      <w:lvlJc w:val="left"/>
      <w:pPr>
        <w:ind w:left="6369" w:hanging="360"/>
      </w:pPr>
    </w:lvl>
    <w:lvl w:ilvl="7" w:tplc="08160019" w:tentative="1">
      <w:start w:val="1"/>
      <w:numFmt w:val="lowerLetter"/>
      <w:lvlText w:val="%8."/>
      <w:lvlJc w:val="left"/>
      <w:pPr>
        <w:ind w:left="7089" w:hanging="360"/>
      </w:pPr>
    </w:lvl>
    <w:lvl w:ilvl="8" w:tplc="0816001B" w:tentative="1">
      <w:start w:val="1"/>
      <w:numFmt w:val="lowerRoman"/>
      <w:lvlText w:val="%9."/>
      <w:lvlJc w:val="right"/>
      <w:pPr>
        <w:ind w:left="7809"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2"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3"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4"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5" w15:restartNumberingAfterBreak="0">
    <w:nsid w:val="493F2862"/>
    <w:multiLevelType w:val="multilevel"/>
    <w:tmpl w:val="D54C3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166D8"/>
    <w:multiLevelType w:val="hybridMultilevel"/>
    <w:tmpl w:val="9F028D2C"/>
    <w:lvl w:ilvl="0" w:tplc="E6C012A4">
      <w:start w:val="1"/>
      <w:numFmt w:val="decimal"/>
      <w:lvlText w:val="%1."/>
      <w:lvlJc w:val="left"/>
      <w:pPr>
        <w:ind w:left="1710" w:hanging="576"/>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29"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16cid:durableId="911740990">
    <w:abstractNumId w:val="1"/>
  </w:num>
  <w:num w:numId="2" w16cid:durableId="154035356">
    <w:abstractNumId w:val="0"/>
  </w:num>
  <w:num w:numId="3" w16cid:durableId="1379351690">
    <w:abstractNumId w:val="2"/>
  </w:num>
  <w:num w:numId="4" w16cid:durableId="1581789628">
    <w:abstractNumId w:val="3"/>
  </w:num>
  <w:num w:numId="5" w16cid:durableId="1606308723">
    <w:abstractNumId w:val="8"/>
  </w:num>
  <w:num w:numId="6" w16cid:durableId="480584321">
    <w:abstractNumId w:val="9"/>
  </w:num>
  <w:num w:numId="7" w16cid:durableId="1766531722">
    <w:abstractNumId w:val="7"/>
  </w:num>
  <w:num w:numId="8" w16cid:durableId="46104389">
    <w:abstractNumId w:val="6"/>
  </w:num>
  <w:num w:numId="9" w16cid:durableId="1667632679">
    <w:abstractNumId w:val="5"/>
  </w:num>
  <w:num w:numId="10" w16cid:durableId="483738226">
    <w:abstractNumId w:val="4"/>
  </w:num>
  <w:num w:numId="11" w16cid:durableId="1484390759">
    <w:abstractNumId w:val="19"/>
  </w:num>
  <w:num w:numId="12" w16cid:durableId="559246105">
    <w:abstractNumId w:val="16"/>
  </w:num>
  <w:num w:numId="13" w16cid:durableId="248463032">
    <w:abstractNumId w:val="10"/>
  </w:num>
  <w:num w:numId="14" w16cid:durableId="1934975464">
    <w:abstractNumId w:val="13"/>
  </w:num>
  <w:num w:numId="15" w16cid:durableId="1733574589">
    <w:abstractNumId w:val="20"/>
  </w:num>
  <w:num w:numId="16" w16cid:durableId="1706712267">
    <w:abstractNumId w:val="15"/>
  </w:num>
  <w:num w:numId="17" w16cid:durableId="161897559">
    <w:abstractNumId w:val="27"/>
  </w:num>
  <w:num w:numId="18" w16cid:durableId="1890535955">
    <w:abstractNumId w:val="30"/>
  </w:num>
  <w:num w:numId="19" w16cid:durableId="12192668">
    <w:abstractNumId w:val="26"/>
  </w:num>
  <w:num w:numId="20" w16cid:durableId="750353665">
    <w:abstractNumId w:val="14"/>
  </w:num>
  <w:num w:numId="21" w16cid:durableId="1077704605">
    <w:abstractNumId w:val="22"/>
  </w:num>
  <w:num w:numId="22" w16cid:durableId="658273538">
    <w:abstractNumId w:val="31"/>
  </w:num>
  <w:num w:numId="23" w16cid:durableId="194849753">
    <w:abstractNumId w:val="21"/>
  </w:num>
  <w:num w:numId="24" w16cid:durableId="1522622807">
    <w:abstractNumId w:val="24"/>
  </w:num>
  <w:num w:numId="25" w16cid:durableId="1204051690">
    <w:abstractNumId w:val="29"/>
  </w:num>
  <w:num w:numId="26" w16cid:durableId="995377665">
    <w:abstractNumId w:val="23"/>
  </w:num>
  <w:num w:numId="27" w16cid:durableId="1150485447">
    <w:abstractNumId w:val="17"/>
  </w:num>
  <w:num w:numId="28" w16cid:durableId="70590960">
    <w:abstractNumId w:val="25"/>
  </w:num>
  <w:num w:numId="29" w16cid:durableId="1523398178">
    <w:abstractNumId w:val="28"/>
  </w:num>
  <w:num w:numId="30" w16cid:durableId="1609000457">
    <w:abstractNumId w:val="12"/>
  </w:num>
  <w:num w:numId="31" w16cid:durableId="599223849">
    <w:abstractNumId w:val="18"/>
  </w:num>
  <w:num w:numId="32" w16cid:durableId="182912824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C6"/>
    <w:rsid w:val="00002A7D"/>
    <w:rsid w:val="000038A8"/>
    <w:rsid w:val="000041B2"/>
    <w:rsid w:val="00004CB4"/>
    <w:rsid w:val="00006790"/>
    <w:rsid w:val="00013A32"/>
    <w:rsid w:val="00017C14"/>
    <w:rsid w:val="0002423A"/>
    <w:rsid w:val="00027624"/>
    <w:rsid w:val="00044C51"/>
    <w:rsid w:val="00050B2C"/>
    <w:rsid w:val="00050F6B"/>
    <w:rsid w:val="00056E1C"/>
    <w:rsid w:val="00057D31"/>
    <w:rsid w:val="00057F00"/>
    <w:rsid w:val="00060675"/>
    <w:rsid w:val="00062540"/>
    <w:rsid w:val="000678CD"/>
    <w:rsid w:val="00072C8C"/>
    <w:rsid w:val="00073BC9"/>
    <w:rsid w:val="00075498"/>
    <w:rsid w:val="00081CE0"/>
    <w:rsid w:val="00081E5B"/>
    <w:rsid w:val="000826C6"/>
    <w:rsid w:val="00082FAE"/>
    <w:rsid w:val="00084D30"/>
    <w:rsid w:val="00090320"/>
    <w:rsid w:val="00091148"/>
    <w:rsid w:val="000918D7"/>
    <w:rsid w:val="000931C0"/>
    <w:rsid w:val="0009455D"/>
    <w:rsid w:val="00097793"/>
    <w:rsid w:val="000A2E09"/>
    <w:rsid w:val="000B175B"/>
    <w:rsid w:val="000B3A0F"/>
    <w:rsid w:val="000B41FA"/>
    <w:rsid w:val="000C2A7D"/>
    <w:rsid w:val="000D5A55"/>
    <w:rsid w:val="000E0415"/>
    <w:rsid w:val="000E233A"/>
    <w:rsid w:val="000E6779"/>
    <w:rsid w:val="000E7EB0"/>
    <w:rsid w:val="000F5D2C"/>
    <w:rsid w:val="000F7715"/>
    <w:rsid w:val="001022EF"/>
    <w:rsid w:val="00103E99"/>
    <w:rsid w:val="001135D0"/>
    <w:rsid w:val="00116363"/>
    <w:rsid w:val="001179A1"/>
    <w:rsid w:val="00125674"/>
    <w:rsid w:val="00140040"/>
    <w:rsid w:val="0014401A"/>
    <w:rsid w:val="00156B99"/>
    <w:rsid w:val="0015713B"/>
    <w:rsid w:val="00160D99"/>
    <w:rsid w:val="00161037"/>
    <w:rsid w:val="00164B01"/>
    <w:rsid w:val="00166124"/>
    <w:rsid w:val="00167F20"/>
    <w:rsid w:val="0017009E"/>
    <w:rsid w:val="00172600"/>
    <w:rsid w:val="001765D7"/>
    <w:rsid w:val="00176739"/>
    <w:rsid w:val="00182774"/>
    <w:rsid w:val="00184DDA"/>
    <w:rsid w:val="001874B4"/>
    <w:rsid w:val="001900CD"/>
    <w:rsid w:val="00193D85"/>
    <w:rsid w:val="0019444B"/>
    <w:rsid w:val="001A0452"/>
    <w:rsid w:val="001A3481"/>
    <w:rsid w:val="001A4D53"/>
    <w:rsid w:val="001A5F15"/>
    <w:rsid w:val="001A73D9"/>
    <w:rsid w:val="001A7DA8"/>
    <w:rsid w:val="001B4B04"/>
    <w:rsid w:val="001B5405"/>
    <w:rsid w:val="001B5875"/>
    <w:rsid w:val="001C3A25"/>
    <w:rsid w:val="001C4B28"/>
    <w:rsid w:val="001C4B9C"/>
    <w:rsid w:val="001C6663"/>
    <w:rsid w:val="001C7895"/>
    <w:rsid w:val="001D15C4"/>
    <w:rsid w:val="001D26DF"/>
    <w:rsid w:val="001D312D"/>
    <w:rsid w:val="001D4A08"/>
    <w:rsid w:val="001E0DF6"/>
    <w:rsid w:val="001E583F"/>
    <w:rsid w:val="001F12DF"/>
    <w:rsid w:val="001F1599"/>
    <w:rsid w:val="001F1961"/>
    <w:rsid w:val="001F19C4"/>
    <w:rsid w:val="001F224D"/>
    <w:rsid w:val="001F6B91"/>
    <w:rsid w:val="001F7A8B"/>
    <w:rsid w:val="002041AA"/>
    <w:rsid w:val="002043F0"/>
    <w:rsid w:val="002060B9"/>
    <w:rsid w:val="00211E0B"/>
    <w:rsid w:val="00215A1B"/>
    <w:rsid w:val="00216BB2"/>
    <w:rsid w:val="00222F2C"/>
    <w:rsid w:val="00230496"/>
    <w:rsid w:val="00232575"/>
    <w:rsid w:val="00234B3E"/>
    <w:rsid w:val="0023589F"/>
    <w:rsid w:val="00247258"/>
    <w:rsid w:val="00250356"/>
    <w:rsid w:val="002565C8"/>
    <w:rsid w:val="002574B9"/>
    <w:rsid w:val="00257CAC"/>
    <w:rsid w:val="00264807"/>
    <w:rsid w:val="00264F3F"/>
    <w:rsid w:val="002815FC"/>
    <w:rsid w:val="0028203C"/>
    <w:rsid w:val="00295F1A"/>
    <w:rsid w:val="002974E9"/>
    <w:rsid w:val="002A214F"/>
    <w:rsid w:val="002A6D75"/>
    <w:rsid w:val="002A7F94"/>
    <w:rsid w:val="002B109A"/>
    <w:rsid w:val="002B16A1"/>
    <w:rsid w:val="002B1765"/>
    <w:rsid w:val="002B400C"/>
    <w:rsid w:val="002B4DB3"/>
    <w:rsid w:val="002B5293"/>
    <w:rsid w:val="002C1973"/>
    <w:rsid w:val="002C3A37"/>
    <w:rsid w:val="002C4661"/>
    <w:rsid w:val="002C57D6"/>
    <w:rsid w:val="002C6D45"/>
    <w:rsid w:val="002D15DD"/>
    <w:rsid w:val="002D1828"/>
    <w:rsid w:val="002D28D9"/>
    <w:rsid w:val="002D4CF0"/>
    <w:rsid w:val="002D6E53"/>
    <w:rsid w:val="002D743E"/>
    <w:rsid w:val="002E0C3F"/>
    <w:rsid w:val="002E2296"/>
    <w:rsid w:val="002E23C9"/>
    <w:rsid w:val="002E6DB4"/>
    <w:rsid w:val="002F024B"/>
    <w:rsid w:val="002F046D"/>
    <w:rsid w:val="002F5044"/>
    <w:rsid w:val="002F57E8"/>
    <w:rsid w:val="003007E7"/>
    <w:rsid w:val="00301764"/>
    <w:rsid w:val="00302B3E"/>
    <w:rsid w:val="00321665"/>
    <w:rsid w:val="003229D8"/>
    <w:rsid w:val="00323AD2"/>
    <w:rsid w:val="0032508A"/>
    <w:rsid w:val="00336080"/>
    <w:rsid w:val="00336C97"/>
    <w:rsid w:val="00337D65"/>
    <w:rsid w:val="00337F88"/>
    <w:rsid w:val="00342432"/>
    <w:rsid w:val="0034444E"/>
    <w:rsid w:val="00350B59"/>
    <w:rsid w:val="00352D4B"/>
    <w:rsid w:val="00354724"/>
    <w:rsid w:val="00354CED"/>
    <w:rsid w:val="0035638C"/>
    <w:rsid w:val="003564DC"/>
    <w:rsid w:val="00370928"/>
    <w:rsid w:val="00373041"/>
    <w:rsid w:val="003806F0"/>
    <w:rsid w:val="00382512"/>
    <w:rsid w:val="0038499B"/>
    <w:rsid w:val="0039791F"/>
    <w:rsid w:val="003A1C51"/>
    <w:rsid w:val="003A46BB"/>
    <w:rsid w:val="003A4EC7"/>
    <w:rsid w:val="003A550E"/>
    <w:rsid w:val="003A7295"/>
    <w:rsid w:val="003A7AE3"/>
    <w:rsid w:val="003B115E"/>
    <w:rsid w:val="003B1F60"/>
    <w:rsid w:val="003B3A7E"/>
    <w:rsid w:val="003B4643"/>
    <w:rsid w:val="003C2315"/>
    <w:rsid w:val="003C2CC4"/>
    <w:rsid w:val="003C3176"/>
    <w:rsid w:val="003C7026"/>
    <w:rsid w:val="003D4B23"/>
    <w:rsid w:val="003D58A1"/>
    <w:rsid w:val="003D6C76"/>
    <w:rsid w:val="003E278A"/>
    <w:rsid w:val="003E3D94"/>
    <w:rsid w:val="003F07CB"/>
    <w:rsid w:val="003F5568"/>
    <w:rsid w:val="003F557E"/>
    <w:rsid w:val="003F72F0"/>
    <w:rsid w:val="004019C8"/>
    <w:rsid w:val="004024E2"/>
    <w:rsid w:val="004032CF"/>
    <w:rsid w:val="00413520"/>
    <w:rsid w:val="00414F7A"/>
    <w:rsid w:val="0041614C"/>
    <w:rsid w:val="00431D4D"/>
    <w:rsid w:val="004325CB"/>
    <w:rsid w:val="00432608"/>
    <w:rsid w:val="00433A82"/>
    <w:rsid w:val="00440A07"/>
    <w:rsid w:val="00450EF8"/>
    <w:rsid w:val="00456441"/>
    <w:rsid w:val="00462880"/>
    <w:rsid w:val="00465A8E"/>
    <w:rsid w:val="0047298C"/>
    <w:rsid w:val="0047429E"/>
    <w:rsid w:val="00476F24"/>
    <w:rsid w:val="0048402E"/>
    <w:rsid w:val="004909E7"/>
    <w:rsid w:val="00490A20"/>
    <w:rsid w:val="00490D08"/>
    <w:rsid w:val="0049311D"/>
    <w:rsid w:val="004B2082"/>
    <w:rsid w:val="004B2A91"/>
    <w:rsid w:val="004B45B0"/>
    <w:rsid w:val="004B7EA2"/>
    <w:rsid w:val="004C011C"/>
    <w:rsid w:val="004C1BBB"/>
    <w:rsid w:val="004C55B0"/>
    <w:rsid w:val="004D51F6"/>
    <w:rsid w:val="004D63B1"/>
    <w:rsid w:val="004D6D1E"/>
    <w:rsid w:val="004E4179"/>
    <w:rsid w:val="004E608F"/>
    <w:rsid w:val="004E7160"/>
    <w:rsid w:val="004F3F8F"/>
    <w:rsid w:val="004F6BA0"/>
    <w:rsid w:val="0050250B"/>
    <w:rsid w:val="00502D7E"/>
    <w:rsid w:val="00503BEA"/>
    <w:rsid w:val="00512C18"/>
    <w:rsid w:val="0052162A"/>
    <w:rsid w:val="00530289"/>
    <w:rsid w:val="00533616"/>
    <w:rsid w:val="00535170"/>
    <w:rsid w:val="00535ABA"/>
    <w:rsid w:val="00536572"/>
    <w:rsid w:val="005371A0"/>
    <w:rsid w:val="0053768B"/>
    <w:rsid w:val="005420F2"/>
    <w:rsid w:val="00542768"/>
    <w:rsid w:val="0054285C"/>
    <w:rsid w:val="005445FF"/>
    <w:rsid w:val="00547A88"/>
    <w:rsid w:val="0055514F"/>
    <w:rsid w:val="005566B9"/>
    <w:rsid w:val="00560572"/>
    <w:rsid w:val="00564BF4"/>
    <w:rsid w:val="005670DF"/>
    <w:rsid w:val="00573297"/>
    <w:rsid w:val="0058267E"/>
    <w:rsid w:val="00584173"/>
    <w:rsid w:val="0058500F"/>
    <w:rsid w:val="005850DE"/>
    <w:rsid w:val="00587C17"/>
    <w:rsid w:val="00595520"/>
    <w:rsid w:val="005A0287"/>
    <w:rsid w:val="005A44B9"/>
    <w:rsid w:val="005A548A"/>
    <w:rsid w:val="005A5AE3"/>
    <w:rsid w:val="005B1BA0"/>
    <w:rsid w:val="005B1FD9"/>
    <w:rsid w:val="005B3DB3"/>
    <w:rsid w:val="005B4A3C"/>
    <w:rsid w:val="005C429F"/>
    <w:rsid w:val="005C58F0"/>
    <w:rsid w:val="005C700B"/>
    <w:rsid w:val="005D15CA"/>
    <w:rsid w:val="005D1867"/>
    <w:rsid w:val="005D2C39"/>
    <w:rsid w:val="005D390C"/>
    <w:rsid w:val="005E6AAF"/>
    <w:rsid w:val="005F3066"/>
    <w:rsid w:val="005F3E61"/>
    <w:rsid w:val="005F51F6"/>
    <w:rsid w:val="005F69C7"/>
    <w:rsid w:val="005F7732"/>
    <w:rsid w:val="00601B72"/>
    <w:rsid w:val="00604DDD"/>
    <w:rsid w:val="006115CC"/>
    <w:rsid w:val="00611FC4"/>
    <w:rsid w:val="00613302"/>
    <w:rsid w:val="00614F5B"/>
    <w:rsid w:val="006176FB"/>
    <w:rsid w:val="0062380F"/>
    <w:rsid w:val="00623A0F"/>
    <w:rsid w:val="0062564C"/>
    <w:rsid w:val="00630FCB"/>
    <w:rsid w:val="00632F10"/>
    <w:rsid w:val="00633628"/>
    <w:rsid w:val="0064017F"/>
    <w:rsid w:val="00640B26"/>
    <w:rsid w:val="00642312"/>
    <w:rsid w:val="00642502"/>
    <w:rsid w:val="0064748F"/>
    <w:rsid w:val="00651A29"/>
    <w:rsid w:val="006643C6"/>
    <w:rsid w:val="00664ECB"/>
    <w:rsid w:val="006679F2"/>
    <w:rsid w:val="00667D6B"/>
    <w:rsid w:val="00671B0D"/>
    <w:rsid w:val="00674892"/>
    <w:rsid w:val="006770B2"/>
    <w:rsid w:val="00682407"/>
    <w:rsid w:val="006846F0"/>
    <w:rsid w:val="006853B3"/>
    <w:rsid w:val="006940E1"/>
    <w:rsid w:val="006A1D39"/>
    <w:rsid w:val="006A3C72"/>
    <w:rsid w:val="006A7392"/>
    <w:rsid w:val="006B03A1"/>
    <w:rsid w:val="006B67D9"/>
    <w:rsid w:val="006B6FE3"/>
    <w:rsid w:val="006C5535"/>
    <w:rsid w:val="006D0589"/>
    <w:rsid w:val="006D513E"/>
    <w:rsid w:val="006D7BB9"/>
    <w:rsid w:val="006E564B"/>
    <w:rsid w:val="006E7154"/>
    <w:rsid w:val="006F0884"/>
    <w:rsid w:val="006F2106"/>
    <w:rsid w:val="007003CD"/>
    <w:rsid w:val="00703A6D"/>
    <w:rsid w:val="0070701E"/>
    <w:rsid w:val="0070702F"/>
    <w:rsid w:val="0071447C"/>
    <w:rsid w:val="00714B5C"/>
    <w:rsid w:val="00714C87"/>
    <w:rsid w:val="0071515E"/>
    <w:rsid w:val="00715BE5"/>
    <w:rsid w:val="0072632A"/>
    <w:rsid w:val="0073337B"/>
    <w:rsid w:val="007358E8"/>
    <w:rsid w:val="00736ECE"/>
    <w:rsid w:val="007408A0"/>
    <w:rsid w:val="00743C64"/>
    <w:rsid w:val="0074533B"/>
    <w:rsid w:val="00753C81"/>
    <w:rsid w:val="00755BB0"/>
    <w:rsid w:val="00762EA6"/>
    <w:rsid w:val="0076432E"/>
    <w:rsid w:val="007643BC"/>
    <w:rsid w:val="00764F01"/>
    <w:rsid w:val="00770846"/>
    <w:rsid w:val="007810E1"/>
    <w:rsid w:val="00781D93"/>
    <w:rsid w:val="00790877"/>
    <w:rsid w:val="007942D2"/>
    <w:rsid w:val="0079577B"/>
    <w:rsid w:val="007959FE"/>
    <w:rsid w:val="00795E37"/>
    <w:rsid w:val="007A0CF1"/>
    <w:rsid w:val="007A38B0"/>
    <w:rsid w:val="007A57B8"/>
    <w:rsid w:val="007A7CC0"/>
    <w:rsid w:val="007B5DDD"/>
    <w:rsid w:val="007B614B"/>
    <w:rsid w:val="007B6A61"/>
    <w:rsid w:val="007B6BA5"/>
    <w:rsid w:val="007C3390"/>
    <w:rsid w:val="007C42D8"/>
    <w:rsid w:val="007C4681"/>
    <w:rsid w:val="007C4F4B"/>
    <w:rsid w:val="007C51E6"/>
    <w:rsid w:val="007C68C8"/>
    <w:rsid w:val="007D5759"/>
    <w:rsid w:val="007D6D44"/>
    <w:rsid w:val="007D7362"/>
    <w:rsid w:val="007E36CB"/>
    <w:rsid w:val="007E4914"/>
    <w:rsid w:val="007F1E0D"/>
    <w:rsid w:val="007F2E11"/>
    <w:rsid w:val="007F546E"/>
    <w:rsid w:val="007F5CE2"/>
    <w:rsid w:val="007F6611"/>
    <w:rsid w:val="00803B7F"/>
    <w:rsid w:val="008066E9"/>
    <w:rsid w:val="00810BAC"/>
    <w:rsid w:val="008175E9"/>
    <w:rsid w:val="008203B2"/>
    <w:rsid w:val="0082405C"/>
    <w:rsid w:val="008242D7"/>
    <w:rsid w:val="00824D3C"/>
    <w:rsid w:val="00825578"/>
    <w:rsid w:val="0082577B"/>
    <w:rsid w:val="00830D15"/>
    <w:rsid w:val="0083344C"/>
    <w:rsid w:val="00834DF7"/>
    <w:rsid w:val="00835316"/>
    <w:rsid w:val="00843148"/>
    <w:rsid w:val="008463B0"/>
    <w:rsid w:val="008522F9"/>
    <w:rsid w:val="008558E7"/>
    <w:rsid w:val="00857A4B"/>
    <w:rsid w:val="0086054B"/>
    <w:rsid w:val="00866893"/>
    <w:rsid w:val="00866F02"/>
    <w:rsid w:val="00867D18"/>
    <w:rsid w:val="008707F8"/>
    <w:rsid w:val="00871F9A"/>
    <w:rsid w:val="00871FD5"/>
    <w:rsid w:val="00876B8E"/>
    <w:rsid w:val="0088172E"/>
    <w:rsid w:val="00881EFA"/>
    <w:rsid w:val="00882F4F"/>
    <w:rsid w:val="00883E28"/>
    <w:rsid w:val="00887A7D"/>
    <w:rsid w:val="0089256A"/>
    <w:rsid w:val="008979B1"/>
    <w:rsid w:val="008A33B9"/>
    <w:rsid w:val="008A57C8"/>
    <w:rsid w:val="008A5859"/>
    <w:rsid w:val="008A6792"/>
    <w:rsid w:val="008A6B25"/>
    <w:rsid w:val="008A6C4F"/>
    <w:rsid w:val="008A7787"/>
    <w:rsid w:val="008B389E"/>
    <w:rsid w:val="008B3971"/>
    <w:rsid w:val="008B41F4"/>
    <w:rsid w:val="008B59E3"/>
    <w:rsid w:val="008B7D9A"/>
    <w:rsid w:val="008C5B2D"/>
    <w:rsid w:val="008C5BCB"/>
    <w:rsid w:val="008D045E"/>
    <w:rsid w:val="008D0966"/>
    <w:rsid w:val="008D0D4F"/>
    <w:rsid w:val="008D3F25"/>
    <w:rsid w:val="008D4D82"/>
    <w:rsid w:val="008D4FF5"/>
    <w:rsid w:val="008E0E09"/>
    <w:rsid w:val="008E0E46"/>
    <w:rsid w:val="008E4437"/>
    <w:rsid w:val="008E5A5D"/>
    <w:rsid w:val="008E7116"/>
    <w:rsid w:val="008F143B"/>
    <w:rsid w:val="008F33C4"/>
    <w:rsid w:val="008F3882"/>
    <w:rsid w:val="008F3C40"/>
    <w:rsid w:val="008F4B7C"/>
    <w:rsid w:val="008F73B3"/>
    <w:rsid w:val="008F7C10"/>
    <w:rsid w:val="00904D63"/>
    <w:rsid w:val="00906BFE"/>
    <w:rsid w:val="00914DC3"/>
    <w:rsid w:val="00915C95"/>
    <w:rsid w:val="00916B9C"/>
    <w:rsid w:val="00924CF0"/>
    <w:rsid w:val="00926E47"/>
    <w:rsid w:val="00927DAA"/>
    <w:rsid w:val="009324AE"/>
    <w:rsid w:val="00945B24"/>
    <w:rsid w:val="00946D3D"/>
    <w:rsid w:val="00946EAC"/>
    <w:rsid w:val="00947162"/>
    <w:rsid w:val="009479C1"/>
    <w:rsid w:val="00953163"/>
    <w:rsid w:val="009601FF"/>
    <w:rsid w:val="0096068B"/>
    <w:rsid w:val="00960D5D"/>
    <w:rsid w:val="009610D0"/>
    <w:rsid w:val="0096375C"/>
    <w:rsid w:val="009662E6"/>
    <w:rsid w:val="0097095E"/>
    <w:rsid w:val="00974F7C"/>
    <w:rsid w:val="00980F57"/>
    <w:rsid w:val="00982DDC"/>
    <w:rsid w:val="00985631"/>
    <w:rsid w:val="0098592B"/>
    <w:rsid w:val="00985AB9"/>
    <w:rsid w:val="00985FC4"/>
    <w:rsid w:val="00986DFE"/>
    <w:rsid w:val="00990766"/>
    <w:rsid w:val="00991261"/>
    <w:rsid w:val="0099198F"/>
    <w:rsid w:val="00992C68"/>
    <w:rsid w:val="0099552C"/>
    <w:rsid w:val="00995FA1"/>
    <w:rsid w:val="009964C4"/>
    <w:rsid w:val="009A438E"/>
    <w:rsid w:val="009A6B7B"/>
    <w:rsid w:val="009A7B81"/>
    <w:rsid w:val="009B29EA"/>
    <w:rsid w:val="009C144C"/>
    <w:rsid w:val="009C260A"/>
    <w:rsid w:val="009C59B9"/>
    <w:rsid w:val="009D01C0"/>
    <w:rsid w:val="009D0FD7"/>
    <w:rsid w:val="009D3BF3"/>
    <w:rsid w:val="009D6A08"/>
    <w:rsid w:val="009E0A16"/>
    <w:rsid w:val="009E3437"/>
    <w:rsid w:val="009E6740"/>
    <w:rsid w:val="009E7970"/>
    <w:rsid w:val="009F229E"/>
    <w:rsid w:val="009F2C95"/>
    <w:rsid w:val="009F2EAC"/>
    <w:rsid w:val="009F55EE"/>
    <w:rsid w:val="009F57E3"/>
    <w:rsid w:val="00A00D3D"/>
    <w:rsid w:val="00A07EBB"/>
    <w:rsid w:val="00A10F4F"/>
    <w:rsid w:val="00A11067"/>
    <w:rsid w:val="00A138AB"/>
    <w:rsid w:val="00A1704A"/>
    <w:rsid w:val="00A23E9E"/>
    <w:rsid w:val="00A243CF"/>
    <w:rsid w:val="00A2609E"/>
    <w:rsid w:val="00A370D7"/>
    <w:rsid w:val="00A41BB8"/>
    <w:rsid w:val="00A425EB"/>
    <w:rsid w:val="00A433C3"/>
    <w:rsid w:val="00A45CB7"/>
    <w:rsid w:val="00A47439"/>
    <w:rsid w:val="00A72F22"/>
    <w:rsid w:val="00A733BC"/>
    <w:rsid w:val="00A748A6"/>
    <w:rsid w:val="00A749C1"/>
    <w:rsid w:val="00A76A69"/>
    <w:rsid w:val="00A77D0C"/>
    <w:rsid w:val="00A80B8D"/>
    <w:rsid w:val="00A824E7"/>
    <w:rsid w:val="00A865A7"/>
    <w:rsid w:val="00A879A4"/>
    <w:rsid w:val="00A910B4"/>
    <w:rsid w:val="00A96696"/>
    <w:rsid w:val="00A976DD"/>
    <w:rsid w:val="00AA0FF8"/>
    <w:rsid w:val="00AA3567"/>
    <w:rsid w:val="00AB037B"/>
    <w:rsid w:val="00AB1722"/>
    <w:rsid w:val="00AB2CE7"/>
    <w:rsid w:val="00AB2D13"/>
    <w:rsid w:val="00AB6689"/>
    <w:rsid w:val="00AC0037"/>
    <w:rsid w:val="00AC0F2C"/>
    <w:rsid w:val="00AC502A"/>
    <w:rsid w:val="00AC58F4"/>
    <w:rsid w:val="00AC7298"/>
    <w:rsid w:val="00AC7C33"/>
    <w:rsid w:val="00AD262C"/>
    <w:rsid w:val="00AD79E9"/>
    <w:rsid w:val="00AF3A98"/>
    <w:rsid w:val="00AF58C1"/>
    <w:rsid w:val="00AF76F0"/>
    <w:rsid w:val="00B01321"/>
    <w:rsid w:val="00B03E68"/>
    <w:rsid w:val="00B05D2C"/>
    <w:rsid w:val="00B06643"/>
    <w:rsid w:val="00B1269C"/>
    <w:rsid w:val="00B15055"/>
    <w:rsid w:val="00B17FC5"/>
    <w:rsid w:val="00B2175D"/>
    <w:rsid w:val="00B23A4E"/>
    <w:rsid w:val="00B27044"/>
    <w:rsid w:val="00B30179"/>
    <w:rsid w:val="00B32444"/>
    <w:rsid w:val="00B37B15"/>
    <w:rsid w:val="00B40ECB"/>
    <w:rsid w:val="00B4482F"/>
    <w:rsid w:val="00B45C02"/>
    <w:rsid w:val="00B4691D"/>
    <w:rsid w:val="00B56A74"/>
    <w:rsid w:val="00B56B03"/>
    <w:rsid w:val="00B609E7"/>
    <w:rsid w:val="00B628EC"/>
    <w:rsid w:val="00B62EEE"/>
    <w:rsid w:val="00B63F27"/>
    <w:rsid w:val="00B70F5A"/>
    <w:rsid w:val="00B71791"/>
    <w:rsid w:val="00B72A1E"/>
    <w:rsid w:val="00B75E02"/>
    <w:rsid w:val="00B80493"/>
    <w:rsid w:val="00B80D50"/>
    <w:rsid w:val="00B81E12"/>
    <w:rsid w:val="00B82CFE"/>
    <w:rsid w:val="00B8509D"/>
    <w:rsid w:val="00B9110C"/>
    <w:rsid w:val="00BA339B"/>
    <w:rsid w:val="00BB2862"/>
    <w:rsid w:val="00BB3D9E"/>
    <w:rsid w:val="00BB6C09"/>
    <w:rsid w:val="00BC1E7E"/>
    <w:rsid w:val="00BC2E45"/>
    <w:rsid w:val="00BC3E26"/>
    <w:rsid w:val="00BC4C12"/>
    <w:rsid w:val="00BC74E9"/>
    <w:rsid w:val="00BD242C"/>
    <w:rsid w:val="00BD7500"/>
    <w:rsid w:val="00BE36A9"/>
    <w:rsid w:val="00BE618E"/>
    <w:rsid w:val="00BE7BEC"/>
    <w:rsid w:val="00BF0A5A"/>
    <w:rsid w:val="00BF0E63"/>
    <w:rsid w:val="00BF103C"/>
    <w:rsid w:val="00BF12A3"/>
    <w:rsid w:val="00BF16D7"/>
    <w:rsid w:val="00BF218C"/>
    <w:rsid w:val="00BF2373"/>
    <w:rsid w:val="00BF36F3"/>
    <w:rsid w:val="00C03A88"/>
    <w:rsid w:val="00C044E2"/>
    <w:rsid w:val="00C048CB"/>
    <w:rsid w:val="00C066F3"/>
    <w:rsid w:val="00C06865"/>
    <w:rsid w:val="00C07CA9"/>
    <w:rsid w:val="00C10783"/>
    <w:rsid w:val="00C11B07"/>
    <w:rsid w:val="00C129D5"/>
    <w:rsid w:val="00C13F36"/>
    <w:rsid w:val="00C15DC2"/>
    <w:rsid w:val="00C225E4"/>
    <w:rsid w:val="00C250FE"/>
    <w:rsid w:val="00C30AAC"/>
    <w:rsid w:val="00C31A6C"/>
    <w:rsid w:val="00C36878"/>
    <w:rsid w:val="00C443B6"/>
    <w:rsid w:val="00C44BB0"/>
    <w:rsid w:val="00C45BBB"/>
    <w:rsid w:val="00C463DD"/>
    <w:rsid w:val="00C47163"/>
    <w:rsid w:val="00C505CD"/>
    <w:rsid w:val="00C60D93"/>
    <w:rsid w:val="00C61BBB"/>
    <w:rsid w:val="00C62A7A"/>
    <w:rsid w:val="00C64D42"/>
    <w:rsid w:val="00C6743F"/>
    <w:rsid w:val="00C70809"/>
    <w:rsid w:val="00C73173"/>
    <w:rsid w:val="00C745C3"/>
    <w:rsid w:val="00C805A7"/>
    <w:rsid w:val="00C83923"/>
    <w:rsid w:val="00C9213B"/>
    <w:rsid w:val="00C94EB3"/>
    <w:rsid w:val="00C9745B"/>
    <w:rsid w:val="00CA2221"/>
    <w:rsid w:val="00CA24A4"/>
    <w:rsid w:val="00CA3137"/>
    <w:rsid w:val="00CA3AF1"/>
    <w:rsid w:val="00CA44E1"/>
    <w:rsid w:val="00CA6540"/>
    <w:rsid w:val="00CA7045"/>
    <w:rsid w:val="00CB1981"/>
    <w:rsid w:val="00CB2FBC"/>
    <w:rsid w:val="00CB348D"/>
    <w:rsid w:val="00CB34BE"/>
    <w:rsid w:val="00CB4FCE"/>
    <w:rsid w:val="00CB51DE"/>
    <w:rsid w:val="00CB5B76"/>
    <w:rsid w:val="00CB763D"/>
    <w:rsid w:val="00CC0178"/>
    <w:rsid w:val="00CC1589"/>
    <w:rsid w:val="00CC1B3A"/>
    <w:rsid w:val="00CC4E06"/>
    <w:rsid w:val="00CC4EC6"/>
    <w:rsid w:val="00CD0F47"/>
    <w:rsid w:val="00CD1C17"/>
    <w:rsid w:val="00CD2214"/>
    <w:rsid w:val="00CD46F5"/>
    <w:rsid w:val="00CD58A9"/>
    <w:rsid w:val="00CD6883"/>
    <w:rsid w:val="00CD6C29"/>
    <w:rsid w:val="00CE2428"/>
    <w:rsid w:val="00CE4A8F"/>
    <w:rsid w:val="00CE52ED"/>
    <w:rsid w:val="00CF071D"/>
    <w:rsid w:val="00CF102B"/>
    <w:rsid w:val="00CF116C"/>
    <w:rsid w:val="00D00745"/>
    <w:rsid w:val="00D03595"/>
    <w:rsid w:val="00D1319A"/>
    <w:rsid w:val="00D15B04"/>
    <w:rsid w:val="00D2031B"/>
    <w:rsid w:val="00D209B0"/>
    <w:rsid w:val="00D22806"/>
    <w:rsid w:val="00D231B0"/>
    <w:rsid w:val="00D23EAC"/>
    <w:rsid w:val="00D25583"/>
    <w:rsid w:val="00D25A28"/>
    <w:rsid w:val="00D25EC1"/>
    <w:rsid w:val="00D25FE2"/>
    <w:rsid w:val="00D31B1C"/>
    <w:rsid w:val="00D32399"/>
    <w:rsid w:val="00D334E3"/>
    <w:rsid w:val="00D33707"/>
    <w:rsid w:val="00D3462E"/>
    <w:rsid w:val="00D37DA9"/>
    <w:rsid w:val="00D406A7"/>
    <w:rsid w:val="00D43252"/>
    <w:rsid w:val="00D44D86"/>
    <w:rsid w:val="00D4540B"/>
    <w:rsid w:val="00D50B7D"/>
    <w:rsid w:val="00D52012"/>
    <w:rsid w:val="00D52588"/>
    <w:rsid w:val="00D53D19"/>
    <w:rsid w:val="00D57536"/>
    <w:rsid w:val="00D6633F"/>
    <w:rsid w:val="00D704E5"/>
    <w:rsid w:val="00D72727"/>
    <w:rsid w:val="00D731DD"/>
    <w:rsid w:val="00D73D7E"/>
    <w:rsid w:val="00D8478F"/>
    <w:rsid w:val="00D871AC"/>
    <w:rsid w:val="00D901A5"/>
    <w:rsid w:val="00D90395"/>
    <w:rsid w:val="00D90415"/>
    <w:rsid w:val="00D90C6C"/>
    <w:rsid w:val="00D917F9"/>
    <w:rsid w:val="00D91E8D"/>
    <w:rsid w:val="00D978C6"/>
    <w:rsid w:val="00DA0956"/>
    <w:rsid w:val="00DA121A"/>
    <w:rsid w:val="00DA1D54"/>
    <w:rsid w:val="00DA357F"/>
    <w:rsid w:val="00DA3E12"/>
    <w:rsid w:val="00DA542A"/>
    <w:rsid w:val="00DB0BFD"/>
    <w:rsid w:val="00DB5900"/>
    <w:rsid w:val="00DB66FA"/>
    <w:rsid w:val="00DC0D23"/>
    <w:rsid w:val="00DC18AD"/>
    <w:rsid w:val="00DC36B8"/>
    <w:rsid w:val="00DC584A"/>
    <w:rsid w:val="00DC5972"/>
    <w:rsid w:val="00DD00F1"/>
    <w:rsid w:val="00DD138F"/>
    <w:rsid w:val="00DD3FE8"/>
    <w:rsid w:val="00DD641C"/>
    <w:rsid w:val="00DE0CB9"/>
    <w:rsid w:val="00DE178B"/>
    <w:rsid w:val="00DE5105"/>
    <w:rsid w:val="00DF1147"/>
    <w:rsid w:val="00DF1A1E"/>
    <w:rsid w:val="00DF4518"/>
    <w:rsid w:val="00DF45EB"/>
    <w:rsid w:val="00DF6A82"/>
    <w:rsid w:val="00DF7CAE"/>
    <w:rsid w:val="00E02011"/>
    <w:rsid w:val="00E04FFB"/>
    <w:rsid w:val="00E05E6D"/>
    <w:rsid w:val="00E06790"/>
    <w:rsid w:val="00E06CCB"/>
    <w:rsid w:val="00E133E5"/>
    <w:rsid w:val="00E13B19"/>
    <w:rsid w:val="00E1773B"/>
    <w:rsid w:val="00E20681"/>
    <w:rsid w:val="00E225EF"/>
    <w:rsid w:val="00E27AE7"/>
    <w:rsid w:val="00E324A0"/>
    <w:rsid w:val="00E33BEE"/>
    <w:rsid w:val="00E37495"/>
    <w:rsid w:val="00E423C0"/>
    <w:rsid w:val="00E50BC6"/>
    <w:rsid w:val="00E53624"/>
    <w:rsid w:val="00E550E7"/>
    <w:rsid w:val="00E57974"/>
    <w:rsid w:val="00E62258"/>
    <w:rsid w:val="00E62690"/>
    <w:rsid w:val="00E62965"/>
    <w:rsid w:val="00E6414C"/>
    <w:rsid w:val="00E6687A"/>
    <w:rsid w:val="00E672F0"/>
    <w:rsid w:val="00E7260F"/>
    <w:rsid w:val="00E82C50"/>
    <w:rsid w:val="00E83095"/>
    <w:rsid w:val="00E86772"/>
    <w:rsid w:val="00E8702D"/>
    <w:rsid w:val="00E87C7D"/>
    <w:rsid w:val="00E90695"/>
    <w:rsid w:val="00E916A9"/>
    <w:rsid w:val="00E916DE"/>
    <w:rsid w:val="00E92473"/>
    <w:rsid w:val="00E9388E"/>
    <w:rsid w:val="00E96630"/>
    <w:rsid w:val="00EA3AA7"/>
    <w:rsid w:val="00EA586A"/>
    <w:rsid w:val="00EB5B1B"/>
    <w:rsid w:val="00EB6177"/>
    <w:rsid w:val="00EC10B9"/>
    <w:rsid w:val="00EC1A07"/>
    <w:rsid w:val="00ED18DC"/>
    <w:rsid w:val="00ED6201"/>
    <w:rsid w:val="00ED7A2A"/>
    <w:rsid w:val="00ED7F40"/>
    <w:rsid w:val="00EE3065"/>
    <w:rsid w:val="00EE4832"/>
    <w:rsid w:val="00EF1D7F"/>
    <w:rsid w:val="00EF4426"/>
    <w:rsid w:val="00F0137E"/>
    <w:rsid w:val="00F0148F"/>
    <w:rsid w:val="00F01B6E"/>
    <w:rsid w:val="00F0348C"/>
    <w:rsid w:val="00F06FC0"/>
    <w:rsid w:val="00F07771"/>
    <w:rsid w:val="00F21786"/>
    <w:rsid w:val="00F2346A"/>
    <w:rsid w:val="00F237F4"/>
    <w:rsid w:val="00F33308"/>
    <w:rsid w:val="00F347BC"/>
    <w:rsid w:val="00F3742B"/>
    <w:rsid w:val="00F40CCF"/>
    <w:rsid w:val="00F41E7B"/>
    <w:rsid w:val="00F41FDB"/>
    <w:rsid w:val="00F42082"/>
    <w:rsid w:val="00F5337D"/>
    <w:rsid w:val="00F5390C"/>
    <w:rsid w:val="00F56D63"/>
    <w:rsid w:val="00F609A9"/>
    <w:rsid w:val="00F6280E"/>
    <w:rsid w:val="00F63A40"/>
    <w:rsid w:val="00F7472D"/>
    <w:rsid w:val="00F80C99"/>
    <w:rsid w:val="00F867EC"/>
    <w:rsid w:val="00F906FE"/>
    <w:rsid w:val="00F91B2B"/>
    <w:rsid w:val="00F96CB6"/>
    <w:rsid w:val="00FA28CC"/>
    <w:rsid w:val="00FA3135"/>
    <w:rsid w:val="00FA3269"/>
    <w:rsid w:val="00FA6CE5"/>
    <w:rsid w:val="00FB468B"/>
    <w:rsid w:val="00FB4D0C"/>
    <w:rsid w:val="00FC03CD"/>
    <w:rsid w:val="00FC0646"/>
    <w:rsid w:val="00FC0826"/>
    <w:rsid w:val="00FC161F"/>
    <w:rsid w:val="00FC2FC6"/>
    <w:rsid w:val="00FC55A7"/>
    <w:rsid w:val="00FC68B7"/>
    <w:rsid w:val="00FD0A90"/>
    <w:rsid w:val="00FD1D35"/>
    <w:rsid w:val="00FD4B6B"/>
    <w:rsid w:val="00FD6E23"/>
    <w:rsid w:val="00FE58E6"/>
    <w:rsid w:val="00FE69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75AFCD2"/>
  <w15:chartTrackingRefBased/>
  <w15:docId w15:val="{E6DA5FC0-D263-4162-95C0-B6EE2B04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3C6"/>
    <w:pPr>
      <w:spacing w:after="240"/>
    </w:pPr>
    <w:rPr>
      <w:lang w:val="en-GB"/>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pPr>
      <w:spacing w:after="120"/>
      <w:ind w:left="1134" w:right="1134"/>
      <w:jc w:val="both"/>
    </w:pPr>
  </w:style>
  <w:style w:type="paragraph" w:customStyle="1" w:styleId="HMG">
    <w:name w:val="_ H __M_G"/>
    <w:basedOn w:val="Normal"/>
    <w:next w:val="Normal"/>
    <w:pPr>
      <w:keepNext/>
      <w:keepLines/>
      <w:tabs>
        <w:tab w:val="right" w:pos="851"/>
      </w:tabs>
      <w:spacing w:before="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line="420" w:lineRule="exact"/>
      <w:ind w:left="1134" w:right="1134"/>
    </w:pPr>
    <w:rPr>
      <w:b/>
      <w:sz w:val="40"/>
    </w:rPr>
  </w:style>
  <w:style w:type="paragraph" w:customStyle="1" w:styleId="SLG">
    <w:name w:val="__S_L_G"/>
    <w:basedOn w:val="Normal"/>
    <w:next w:val="Normal"/>
    <w:rsid w:val="008A6B25"/>
    <w:pPr>
      <w:keepNext/>
      <w:keepLines/>
      <w:spacing w:before="240" w:line="580" w:lineRule="exact"/>
      <w:ind w:left="1134" w:right="1134"/>
    </w:pPr>
    <w:rPr>
      <w:b/>
      <w:sz w:val="56"/>
    </w:rPr>
  </w:style>
  <w:style w:type="paragraph" w:customStyle="1" w:styleId="SSG">
    <w:name w:val="__S_S_G"/>
    <w:basedOn w:val="Normal"/>
    <w:next w:val="Normal"/>
    <w:rsid w:val="00C745C3"/>
    <w:pPr>
      <w:keepNext/>
      <w:keepLines/>
      <w:spacing w:before="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line="420" w:lineRule="exact"/>
      <w:ind w:left="1134" w:right="1134"/>
    </w:pPr>
    <w:rPr>
      <w:b/>
      <w:sz w:val="40"/>
    </w:rPr>
  </w:style>
  <w:style w:type="paragraph" w:customStyle="1" w:styleId="Bullet1G">
    <w:name w:val="_Bullet 1_G"/>
    <w:basedOn w:val="Normal"/>
    <w:uiPriority w:val="99"/>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link w:val="H1GChar"/>
    <w:uiPriority w:val="99"/>
    <w:qFormat/>
    <w:pPr>
      <w:keepNext/>
      <w:keepLines/>
      <w:tabs>
        <w:tab w:val="right" w:pos="851"/>
      </w:tabs>
      <w:spacing w:before="36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ooter">
    <w:name w:val="footer"/>
    <w:aliases w:val="3_G"/>
    <w:basedOn w:val="Normal"/>
    <w:rsid w:val="009F2EAC"/>
    <w:rPr>
      <w:sz w:val="16"/>
    </w:rPr>
  </w:style>
  <w:style w:type="paragraph" w:styleId="Header">
    <w:name w:val="header"/>
    <w:aliases w:val="6_G"/>
    <w:basedOn w:val="Normal"/>
    <w:link w:val="HeaderChar"/>
    <w:rsid w:val="00050F6B"/>
    <w:pPr>
      <w:pBdr>
        <w:bottom w:val="single" w:sz="4" w:space="4" w:color="auto"/>
      </w:pBdr>
    </w:pPr>
    <w:rPr>
      <w:b/>
      <w:sz w:val="18"/>
    </w:rPr>
  </w:style>
  <w:style w:type="character" w:customStyle="1" w:styleId="HeaderChar">
    <w:name w:val="Header Char"/>
    <w:aliases w:val="6_G Char"/>
    <w:link w:val="Header"/>
    <w:rsid w:val="006643C6"/>
    <w:rPr>
      <w:b/>
      <w:sz w:val="18"/>
      <w:lang w:val="en-GB" w:eastAsia="en-US" w:bidi="ar-SA"/>
    </w:rPr>
  </w:style>
  <w:style w:type="table" w:styleId="TableGrid">
    <w:name w:val="Table Grid"/>
    <w:basedOn w:val="TableNormal"/>
    <w:semiHidden/>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character" w:customStyle="1" w:styleId="HChGChar">
    <w:name w:val="_ H _Ch_G Char"/>
    <w:link w:val="HChG"/>
    <w:qFormat/>
    <w:rsid w:val="006643C6"/>
    <w:rPr>
      <w:b/>
      <w:sz w:val="28"/>
      <w:lang w:val="en-GB" w:eastAsia="en-US" w:bidi="ar-SA"/>
    </w:rPr>
  </w:style>
  <w:style w:type="paragraph" w:customStyle="1" w:styleId="Standardowy">
    <w:name w:val="Standardowy"/>
    <w:rsid w:val="001F12DF"/>
    <w:rPr>
      <w:rFonts w:ascii="Arial" w:hAnsi="Arial"/>
      <w:snapToGrid w:val="0"/>
      <w:sz w:val="24"/>
      <w:lang w:val="en-GB"/>
    </w:rPr>
  </w:style>
  <w:style w:type="table" w:customStyle="1" w:styleId="TableGrid1">
    <w:name w:val="Table Grid1"/>
    <w:basedOn w:val="TableNormal"/>
    <w:next w:val="TableGrid"/>
    <w:rsid w:val="002574B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06"/>
    <w:pPr>
      <w:spacing w:after="0"/>
    </w:pPr>
    <w:rPr>
      <w:rFonts w:ascii="Tahoma" w:hAnsi="Tahoma" w:cs="Tahoma"/>
      <w:sz w:val="16"/>
      <w:szCs w:val="16"/>
    </w:rPr>
  </w:style>
  <w:style w:type="character" w:customStyle="1" w:styleId="BalloonTextChar">
    <w:name w:val="Balloon Text Char"/>
    <w:link w:val="BalloonText"/>
    <w:rsid w:val="00D22806"/>
    <w:rPr>
      <w:rFonts w:ascii="Tahoma" w:hAnsi="Tahoma" w:cs="Tahoma"/>
      <w:sz w:val="16"/>
      <w:szCs w:val="16"/>
      <w:lang w:eastAsia="en-US"/>
    </w:rPr>
  </w:style>
  <w:style w:type="character" w:customStyle="1" w:styleId="SingleTxtGCar">
    <w:name w:val="_ Single Txt_G Car"/>
    <w:link w:val="SingleTxtG"/>
    <w:rsid w:val="00FA3269"/>
    <w:rPr>
      <w:lang w:val="en-GB" w:eastAsia="en-US"/>
    </w:rPr>
  </w:style>
  <w:style w:type="character" w:customStyle="1" w:styleId="H1GChar">
    <w:name w:val="_ H_1_G Char"/>
    <w:link w:val="H1G"/>
    <w:uiPriority w:val="99"/>
    <w:qFormat/>
    <w:rsid w:val="00D6633F"/>
    <w:rPr>
      <w:b/>
      <w:sz w:val="24"/>
      <w:lang w:eastAsia="en-US"/>
    </w:rPr>
  </w:style>
  <w:style w:type="character" w:customStyle="1" w:styleId="SingleTxtGChar">
    <w:name w:val="_ Single Txt_G Char"/>
    <w:qFormat/>
    <w:locked/>
    <w:rsid w:val="0079577B"/>
    <w:rPr>
      <w:lang w:val="en-GB" w:eastAsia="en-US"/>
    </w:rPr>
  </w:style>
  <w:style w:type="character" w:styleId="UnresolvedMention">
    <w:name w:val="Unresolved Mention"/>
    <w:basedOn w:val="DefaultParagraphFont"/>
    <w:uiPriority w:val="99"/>
    <w:semiHidden/>
    <w:unhideWhenUsed/>
    <w:rsid w:val="00C03A88"/>
    <w:rPr>
      <w:color w:val="605E5C"/>
      <w:shd w:val="clear" w:color="auto" w:fill="E1DFDD"/>
    </w:rPr>
  </w:style>
  <w:style w:type="paragraph" w:styleId="ListParagraph">
    <w:name w:val="List Paragraph"/>
    <w:basedOn w:val="Normal"/>
    <w:uiPriority w:val="34"/>
    <w:qFormat/>
    <w:rsid w:val="00E06CCB"/>
    <w:pPr>
      <w:spacing w:after="200" w:line="276" w:lineRule="auto"/>
      <w:ind w:left="720"/>
      <w:contextualSpacing/>
    </w:pPr>
    <w:rPr>
      <w:rFonts w:ascii="Calibri" w:hAnsi="Calibri"/>
      <w:color w:val="00000A"/>
      <w:sz w:val="22"/>
      <w:szCs w:val="22"/>
    </w:rPr>
  </w:style>
  <w:style w:type="character" w:customStyle="1" w:styleId="H23GChar">
    <w:name w:val="_ H_2/3_G Char"/>
    <w:link w:val="H23G"/>
    <w:locked/>
    <w:rsid w:val="008E4437"/>
    <w:rPr>
      <w:b/>
      <w:lang w:val="en-GB"/>
    </w:rPr>
  </w:style>
  <w:style w:type="paragraph" w:customStyle="1" w:styleId="Titre31">
    <w:name w:val="Titre 31"/>
    <w:basedOn w:val="Normal"/>
    <w:next w:val="Normal"/>
    <w:qFormat/>
    <w:rsid w:val="00857A4B"/>
    <w:pPr>
      <w:suppressAutoHyphens/>
      <w:spacing w:after="0"/>
      <w:outlineLvl w:val="2"/>
    </w:pPr>
  </w:style>
  <w:style w:type="character" w:customStyle="1" w:styleId="FootnoteTextChar">
    <w:name w:val="Footnote Text Char"/>
    <w:aliases w:val="5_G Char"/>
    <w:link w:val="FootnoteText"/>
    <w:qFormat/>
    <w:rsid w:val="00857A4B"/>
    <w:rPr>
      <w:sz w:val="18"/>
      <w:lang w:val="en-GB"/>
    </w:rPr>
  </w:style>
  <w:style w:type="character" w:customStyle="1" w:styleId="Ancredenotedebasdepage">
    <w:name w:val="Ancre de note de bas de page"/>
    <w:rsid w:val="00857A4B"/>
    <w:rPr>
      <w:vertAlign w:val="superscript"/>
    </w:rPr>
  </w:style>
  <w:style w:type="paragraph" w:styleId="Revision">
    <w:name w:val="Revision"/>
    <w:hidden/>
    <w:uiPriority w:val="99"/>
    <w:semiHidden/>
    <w:rsid w:val="00D3239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Isabelle Porcu</DisplayName>
        <AccountId>1457</AccountId>
        <AccountType/>
      </UserInfo>
      <UserInfo>
        <DisplayName>Nadiya Dzyubynska</DisplayName>
        <AccountId>453</AccountId>
        <AccountType/>
      </UserInfo>
      <UserInfo>
        <DisplayName>Romain Hubert</DisplayName>
        <AccountId>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D161-BFF6-496B-A0B2-9A89EA679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29F96-A8B4-4B40-BF7F-A219AB10C455}">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9EC0D251-4914-43D2-8613-65A800ED9A57}">
  <ds:schemaRefs>
    <ds:schemaRef ds:uri="http://schemas.microsoft.com/sharepoint/v3/contenttype/forms"/>
  </ds:schemaRefs>
</ds:datastoreItem>
</file>

<file path=customXml/itemProps4.xml><?xml version="1.0" encoding="utf-8"?>
<ds:datastoreItem xmlns:ds="http://schemas.openxmlformats.org/officeDocument/2006/customXml" ds:itemID="{6010564E-BA80-421B-88E7-17F888C9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765</Words>
  <Characters>4058</Characters>
  <Application>Microsoft Office Word</Application>
  <DocSecurity>0</DocSecurity>
  <Lines>76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vt:lpstr>
      <vt:lpstr>INF</vt:lpstr>
    </vt:vector>
  </TitlesOfParts>
  <Company>UNECE</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dc:title>
  <dc:subject/>
  <dc:creator/>
  <cp:keywords/>
  <cp:lastModifiedBy>Isabelle Porcu</cp:lastModifiedBy>
  <cp:revision>53</cp:revision>
  <cp:lastPrinted>2023-07-24T12:13:00Z</cp:lastPrinted>
  <dcterms:created xsi:type="dcterms:W3CDTF">2023-08-28T10:15:00Z</dcterms:created>
  <dcterms:modified xsi:type="dcterms:W3CDTF">2023-09-04T08:11:00Z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ies>
</file>