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E2EA524" w14:textId="77777777" w:rsidTr="00B20551">
        <w:trPr>
          <w:cantSplit/>
          <w:trHeight w:hRule="exact" w:val="851"/>
        </w:trPr>
        <w:tc>
          <w:tcPr>
            <w:tcW w:w="1276" w:type="dxa"/>
            <w:tcBorders>
              <w:bottom w:val="single" w:sz="4" w:space="0" w:color="auto"/>
            </w:tcBorders>
            <w:vAlign w:val="bottom"/>
          </w:tcPr>
          <w:p w14:paraId="64C496D2" w14:textId="77777777" w:rsidR="009E6CB7" w:rsidRDefault="009E6CB7" w:rsidP="00B20551">
            <w:pPr>
              <w:spacing w:after="80"/>
            </w:pPr>
          </w:p>
        </w:tc>
        <w:tc>
          <w:tcPr>
            <w:tcW w:w="2268" w:type="dxa"/>
            <w:tcBorders>
              <w:bottom w:val="single" w:sz="4" w:space="0" w:color="auto"/>
            </w:tcBorders>
            <w:vAlign w:val="bottom"/>
          </w:tcPr>
          <w:p w14:paraId="64DAED59"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DD06139" w14:textId="3E104ACF" w:rsidR="009E6CB7" w:rsidRPr="00D47EEA" w:rsidRDefault="008F1933" w:rsidP="008F1933">
            <w:pPr>
              <w:jc w:val="right"/>
            </w:pPr>
            <w:r w:rsidRPr="008F1933">
              <w:rPr>
                <w:sz w:val="40"/>
              </w:rPr>
              <w:t>ECE</w:t>
            </w:r>
            <w:r>
              <w:t>/TRANS/WP.15/2023/7</w:t>
            </w:r>
          </w:p>
        </w:tc>
      </w:tr>
      <w:tr w:rsidR="009E6CB7" w14:paraId="199ABB7E" w14:textId="77777777" w:rsidTr="0035123E">
        <w:trPr>
          <w:cantSplit/>
          <w:trHeight w:hRule="exact" w:val="2835"/>
        </w:trPr>
        <w:tc>
          <w:tcPr>
            <w:tcW w:w="1276" w:type="dxa"/>
            <w:tcBorders>
              <w:top w:val="single" w:sz="4" w:space="0" w:color="auto"/>
              <w:bottom w:val="single" w:sz="12" w:space="0" w:color="auto"/>
            </w:tcBorders>
          </w:tcPr>
          <w:p w14:paraId="5E824352" w14:textId="77777777" w:rsidR="009E6CB7" w:rsidRDefault="00686A48" w:rsidP="00B20551">
            <w:pPr>
              <w:spacing w:before="120"/>
            </w:pPr>
            <w:r>
              <w:rPr>
                <w:noProof/>
                <w:lang w:val="fr-CH" w:eastAsia="fr-CH"/>
              </w:rPr>
              <w:drawing>
                <wp:inline distT="0" distB="0" distL="0" distR="0" wp14:anchorId="00844513" wp14:editId="6D5A940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5D9AB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4935DD0" w14:textId="77777777" w:rsidR="009E6CB7" w:rsidRDefault="008F1933" w:rsidP="008F1933">
            <w:pPr>
              <w:spacing w:before="240" w:line="240" w:lineRule="exact"/>
            </w:pPr>
            <w:r>
              <w:t>Distr.: General</w:t>
            </w:r>
          </w:p>
          <w:p w14:paraId="405FC3E8" w14:textId="238CA14E" w:rsidR="008F1933" w:rsidRDefault="0035123E" w:rsidP="008F1933">
            <w:pPr>
              <w:spacing w:line="240" w:lineRule="exact"/>
            </w:pPr>
            <w:r>
              <w:t>15</w:t>
            </w:r>
            <w:r w:rsidR="008F1933">
              <w:t xml:space="preserve"> August 2023</w:t>
            </w:r>
          </w:p>
          <w:p w14:paraId="477A7DA0" w14:textId="77777777" w:rsidR="008F1933" w:rsidRDefault="008F1933" w:rsidP="008F1933">
            <w:pPr>
              <w:spacing w:line="240" w:lineRule="exact"/>
            </w:pPr>
          </w:p>
          <w:p w14:paraId="10048CD0" w14:textId="41323206" w:rsidR="008F1933" w:rsidRDefault="008F1933" w:rsidP="008F1933">
            <w:pPr>
              <w:spacing w:line="240" w:lineRule="exact"/>
            </w:pPr>
            <w:r>
              <w:t>Original: English</w:t>
            </w:r>
          </w:p>
        </w:tc>
      </w:tr>
    </w:tbl>
    <w:p w14:paraId="36DEE176" w14:textId="77777777" w:rsidR="008F1933" w:rsidRDefault="008F1933" w:rsidP="00C411EB">
      <w:pPr>
        <w:spacing w:before="120"/>
        <w:rPr>
          <w:b/>
          <w:sz w:val="28"/>
          <w:szCs w:val="28"/>
        </w:rPr>
      </w:pPr>
      <w:r>
        <w:rPr>
          <w:b/>
          <w:sz w:val="28"/>
          <w:szCs w:val="28"/>
        </w:rPr>
        <w:t>Economic Commission for Europe</w:t>
      </w:r>
    </w:p>
    <w:p w14:paraId="1F7C41BD" w14:textId="77777777" w:rsidR="008F1933" w:rsidRDefault="008F1933" w:rsidP="00C411EB">
      <w:pPr>
        <w:spacing w:before="120"/>
        <w:rPr>
          <w:sz w:val="28"/>
          <w:szCs w:val="28"/>
        </w:rPr>
      </w:pPr>
      <w:r>
        <w:rPr>
          <w:sz w:val="28"/>
          <w:szCs w:val="28"/>
        </w:rPr>
        <w:t>Inland Transport Committee</w:t>
      </w:r>
    </w:p>
    <w:p w14:paraId="7CF2A947" w14:textId="77777777" w:rsidR="008F1933" w:rsidRPr="001330DE" w:rsidRDefault="008F1933" w:rsidP="00C411EB">
      <w:pPr>
        <w:spacing w:before="120"/>
        <w:rPr>
          <w:b/>
          <w:sz w:val="24"/>
          <w:szCs w:val="24"/>
        </w:rPr>
      </w:pPr>
      <w:r>
        <w:rPr>
          <w:b/>
          <w:sz w:val="24"/>
          <w:szCs w:val="24"/>
        </w:rPr>
        <w:t xml:space="preserve">Working Party on the Transport </w:t>
      </w:r>
      <w:r w:rsidRPr="001330DE">
        <w:rPr>
          <w:b/>
          <w:sz w:val="24"/>
          <w:szCs w:val="24"/>
        </w:rPr>
        <w:t>of Dangerous Goods</w:t>
      </w:r>
    </w:p>
    <w:p w14:paraId="529E2B09" w14:textId="77777777" w:rsidR="00604FD8" w:rsidRPr="001330DE" w:rsidRDefault="00604FD8" w:rsidP="00604FD8">
      <w:pPr>
        <w:spacing w:before="120"/>
        <w:rPr>
          <w:rFonts w:eastAsia="SimSun"/>
          <w:b/>
        </w:rPr>
      </w:pPr>
      <w:r>
        <w:rPr>
          <w:rFonts w:eastAsia="SimSun"/>
          <w:b/>
        </w:rPr>
        <w:t xml:space="preserve">114th </w:t>
      </w:r>
      <w:r w:rsidRPr="001330DE">
        <w:rPr>
          <w:rFonts w:eastAsia="SimSun"/>
          <w:b/>
        </w:rPr>
        <w:t xml:space="preserve">session </w:t>
      </w:r>
    </w:p>
    <w:p w14:paraId="18E5D4E2" w14:textId="77777777" w:rsidR="00604FD8" w:rsidRPr="00BA64A8" w:rsidRDefault="00604FD8" w:rsidP="00604FD8">
      <w:pPr>
        <w:rPr>
          <w:rFonts w:eastAsia="SimSun"/>
        </w:rPr>
      </w:pPr>
      <w:r w:rsidRPr="00BA64A8">
        <w:rPr>
          <w:rFonts w:eastAsia="SimSun"/>
        </w:rPr>
        <w:t>Geneva,</w:t>
      </w:r>
      <w:r>
        <w:rPr>
          <w:rFonts w:eastAsia="SimSun"/>
        </w:rPr>
        <w:t xml:space="preserve"> 6-10 November 2023</w:t>
      </w:r>
    </w:p>
    <w:p w14:paraId="4424A90F" w14:textId="095D8291" w:rsidR="00604FD8" w:rsidRPr="00C521A6" w:rsidRDefault="00604FD8" w:rsidP="00604FD8">
      <w:pPr>
        <w:autoSpaceDE w:val="0"/>
        <w:autoSpaceDN w:val="0"/>
        <w:adjustRightInd w:val="0"/>
      </w:pPr>
      <w:r>
        <w:t xml:space="preserve">Item </w:t>
      </w:r>
      <w:r w:rsidR="00DF3960">
        <w:t>2</w:t>
      </w:r>
      <w:r>
        <w:t xml:space="preserve"> of the provisional agenda</w:t>
      </w:r>
    </w:p>
    <w:p w14:paraId="4D767ED0" w14:textId="534C2DBA" w:rsidR="00604FD8" w:rsidRDefault="00D20A94" w:rsidP="00604FD8">
      <w:pPr>
        <w:rPr>
          <w:b/>
        </w:rPr>
      </w:pPr>
      <w:r w:rsidRPr="00D20A94">
        <w:rPr>
          <w:b/>
        </w:rPr>
        <w:t>Eighty-fifth session of the Inland Transport Committee</w:t>
      </w:r>
    </w:p>
    <w:p w14:paraId="48978480" w14:textId="00D13C22" w:rsidR="00076D2C" w:rsidRPr="00154B47" w:rsidRDefault="00076D2C" w:rsidP="007706D9">
      <w:pPr>
        <w:pStyle w:val="HChG"/>
      </w:pPr>
      <w:r w:rsidRPr="00154B47">
        <w:tab/>
      </w:r>
      <w:r w:rsidRPr="00154B47">
        <w:tab/>
      </w:r>
      <w:r>
        <w:t xml:space="preserve">Working Party’s </w:t>
      </w:r>
      <w:r w:rsidR="009503E7">
        <w:t>T</w:t>
      </w:r>
      <w:r>
        <w:t xml:space="preserve">erms of </w:t>
      </w:r>
      <w:r w:rsidR="009503E7">
        <w:t>R</w:t>
      </w:r>
      <w:r>
        <w:t>eference</w:t>
      </w:r>
    </w:p>
    <w:p w14:paraId="77C2FF09" w14:textId="77777777" w:rsidR="00076D2C" w:rsidRDefault="00076D2C" w:rsidP="007706D9">
      <w:pPr>
        <w:pStyle w:val="H1G"/>
        <w:rPr>
          <w:lang w:eastAsia="ru-RU"/>
        </w:rPr>
      </w:pPr>
      <w:r w:rsidRPr="00154B47">
        <w:rPr>
          <w:lang w:eastAsia="ru-RU"/>
        </w:rPr>
        <w:tab/>
      </w:r>
      <w:r w:rsidRPr="00154B47">
        <w:rPr>
          <w:lang w:eastAsia="ru-RU"/>
        </w:rPr>
        <w:tab/>
      </w:r>
      <w:r>
        <w:rPr>
          <w:lang w:eastAsia="ru-RU"/>
        </w:rPr>
        <w:t>Note by the secretariat</w:t>
      </w:r>
      <w:r w:rsidRPr="00154B47">
        <w:rPr>
          <w:rStyle w:val="FootnoteReference"/>
          <w:sz w:val="20"/>
          <w:vertAlign w:val="baseline"/>
          <w:lang w:eastAsia="ru-RU"/>
        </w:rPr>
        <w:footnoteReference w:customMarkFollows="1" w:id="2"/>
        <w:t>*</w:t>
      </w:r>
    </w:p>
    <w:p w14:paraId="2AB43EB2" w14:textId="3A96175B" w:rsidR="002B55AE" w:rsidRDefault="002B55AE" w:rsidP="002B55AE">
      <w:pPr>
        <w:pStyle w:val="HChG"/>
        <w:rPr>
          <w:lang w:eastAsia="zh-CN"/>
        </w:rPr>
      </w:pPr>
      <w:r>
        <w:rPr>
          <w:lang w:eastAsia="zh-CN"/>
        </w:rPr>
        <w:tab/>
      </w:r>
      <w:r>
        <w:rPr>
          <w:lang w:eastAsia="zh-CN"/>
        </w:rPr>
        <w:tab/>
        <w:t>Introduction</w:t>
      </w:r>
    </w:p>
    <w:p w14:paraId="7B5C168F" w14:textId="788E9AAA" w:rsidR="00683D33" w:rsidRDefault="002B55AE" w:rsidP="00736F67">
      <w:pPr>
        <w:pStyle w:val="SingleTxtG"/>
        <w:rPr>
          <w:lang w:eastAsia="zh-CN"/>
        </w:rPr>
      </w:pPr>
      <w:r>
        <w:rPr>
          <w:lang w:eastAsia="zh-CN"/>
        </w:rPr>
        <w:t>1.</w:t>
      </w:r>
      <w:r>
        <w:rPr>
          <w:lang w:eastAsia="zh-CN"/>
        </w:rPr>
        <w:tab/>
      </w:r>
      <w:r w:rsidR="00EE0300">
        <w:rPr>
          <w:lang w:eastAsia="zh-CN"/>
        </w:rPr>
        <w:t>During its 113</w:t>
      </w:r>
      <w:r w:rsidR="00EE0300" w:rsidRPr="00EE0300">
        <w:rPr>
          <w:vertAlign w:val="superscript"/>
          <w:lang w:eastAsia="zh-CN"/>
        </w:rPr>
        <w:t>th</w:t>
      </w:r>
      <w:r w:rsidR="00EE0300">
        <w:rPr>
          <w:lang w:eastAsia="zh-CN"/>
        </w:rPr>
        <w:t xml:space="preserve"> session, t</w:t>
      </w:r>
      <w:r w:rsidR="00EE0300" w:rsidRPr="006A048F">
        <w:rPr>
          <w:lang w:eastAsia="zh-CN"/>
        </w:rPr>
        <w:t xml:space="preserve">he Working Party noted with interest the continued work on the implementation of the </w:t>
      </w:r>
      <w:r w:rsidR="00EE0300">
        <w:rPr>
          <w:lang w:eastAsia="zh-CN"/>
        </w:rPr>
        <w:t>Inland Tran</w:t>
      </w:r>
      <w:r w:rsidR="00683D33">
        <w:rPr>
          <w:lang w:eastAsia="zh-CN"/>
        </w:rPr>
        <w:t xml:space="preserve">sport </w:t>
      </w:r>
      <w:r w:rsidR="00EE0300" w:rsidRPr="006A048F">
        <w:rPr>
          <w:lang w:eastAsia="zh-CN"/>
        </w:rPr>
        <w:t xml:space="preserve">Committee’s strategy until 2030. It noted that the Committee had encouraged all working groups to review their </w:t>
      </w:r>
      <w:r w:rsidR="005A4429">
        <w:rPr>
          <w:lang w:eastAsia="zh-CN"/>
        </w:rPr>
        <w:t xml:space="preserve">Terms of Reference </w:t>
      </w:r>
      <w:r w:rsidR="00EE0300" w:rsidRPr="006A048F">
        <w:rPr>
          <w:lang w:eastAsia="zh-CN"/>
        </w:rPr>
        <w:t xml:space="preserve">and, where appropriate, to harmonize them with those of the Committee. </w:t>
      </w:r>
    </w:p>
    <w:p w14:paraId="2ABB3EAD" w14:textId="01384BCF" w:rsidR="00007400" w:rsidRDefault="002B55AE" w:rsidP="00736F67">
      <w:pPr>
        <w:pStyle w:val="SingleTxtG"/>
        <w:rPr>
          <w:lang w:eastAsia="zh-CN"/>
        </w:rPr>
      </w:pPr>
      <w:r>
        <w:rPr>
          <w:lang w:eastAsia="zh-CN"/>
        </w:rPr>
        <w:t>2.</w:t>
      </w:r>
      <w:r>
        <w:rPr>
          <w:lang w:eastAsia="zh-CN"/>
        </w:rPr>
        <w:tab/>
      </w:r>
      <w:r w:rsidR="00EE0300" w:rsidRPr="006A048F">
        <w:rPr>
          <w:lang w:eastAsia="zh-CN"/>
        </w:rPr>
        <w:t xml:space="preserve">The secretariat </w:t>
      </w:r>
      <w:r w:rsidR="00683D33">
        <w:rPr>
          <w:lang w:eastAsia="zh-CN"/>
        </w:rPr>
        <w:t>p</w:t>
      </w:r>
      <w:r w:rsidR="00EE0300" w:rsidRPr="006A048F">
        <w:rPr>
          <w:lang w:eastAsia="zh-CN"/>
        </w:rPr>
        <w:t>repare</w:t>
      </w:r>
      <w:r w:rsidR="00683D33">
        <w:rPr>
          <w:lang w:eastAsia="zh-CN"/>
        </w:rPr>
        <w:t xml:space="preserve">d the following proposal of </w:t>
      </w:r>
      <w:r w:rsidR="00EE0300" w:rsidRPr="006A048F">
        <w:rPr>
          <w:lang w:eastAsia="zh-CN"/>
        </w:rPr>
        <w:t>amendment</w:t>
      </w:r>
      <w:r w:rsidR="00683D33">
        <w:rPr>
          <w:lang w:eastAsia="zh-CN"/>
        </w:rPr>
        <w:t>s</w:t>
      </w:r>
      <w:r w:rsidR="00EE0300" w:rsidRPr="006A048F">
        <w:rPr>
          <w:lang w:eastAsia="zh-CN"/>
        </w:rPr>
        <w:t xml:space="preserve"> to the </w:t>
      </w:r>
      <w:r w:rsidR="005A4429">
        <w:rPr>
          <w:lang w:eastAsia="zh-CN"/>
        </w:rPr>
        <w:t>Terms of Reference</w:t>
      </w:r>
      <w:r w:rsidR="00EE0300" w:rsidRPr="006A048F">
        <w:rPr>
          <w:lang w:eastAsia="zh-CN"/>
        </w:rPr>
        <w:t xml:space="preserve"> </w:t>
      </w:r>
      <w:r w:rsidR="00683D33">
        <w:rPr>
          <w:lang w:eastAsia="zh-CN"/>
        </w:rPr>
        <w:t xml:space="preserve">for </w:t>
      </w:r>
      <w:r w:rsidR="00007400">
        <w:rPr>
          <w:lang w:eastAsia="zh-CN"/>
        </w:rPr>
        <w:t xml:space="preserve">consideration by the Working Party. </w:t>
      </w:r>
    </w:p>
    <w:p w14:paraId="12D09336" w14:textId="70A29CC0" w:rsidR="00EE0300" w:rsidRDefault="002B55AE" w:rsidP="00736F67">
      <w:pPr>
        <w:pStyle w:val="SingleTxtG"/>
        <w:rPr>
          <w:lang w:eastAsia="zh-CN"/>
        </w:rPr>
      </w:pPr>
      <w:r>
        <w:rPr>
          <w:lang w:eastAsia="zh-CN"/>
        </w:rPr>
        <w:t>3.</w:t>
      </w:r>
      <w:r>
        <w:rPr>
          <w:lang w:eastAsia="zh-CN"/>
        </w:rPr>
        <w:tab/>
      </w:r>
      <w:r w:rsidR="00007400">
        <w:rPr>
          <w:lang w:eastAsia="zh-CN"/>
        </w:rPr>
        <w:t xml:space="preserve">This proposal is based on the current </w:t>
      </w:r>
      <w:r w:rsidR="005A4429">
        <w:rPr>
          <w:lang w:eastAsia="zh-CN"/>
        </w:rPr>
        <w:t>Terms of Reference</w:t>
      </w:r>
      <w:r w:rsidR="006255A0">
        <w:rPr>
          <w:lang w:eastAsia="zh-CN"/>
        </w:rPr>
        <w:t xml:space="preserve"> as contained in ECE/TRANS/WP.15/190/Add.1 and </w:t>
      </w:r>
      <w:r w:rsidR="00EE0300" w:rsidRPr="006A048F">
        <w:rPr>
          <w:lang w:eastAsia="zh-CN"/>
        </w:rPr>
        <w:t xml:space="preserve">on </w:t>
      </w:r>
      <w:r w:rsidR="00AB28C9">
        <w:rPr>
          <w:lang w:eastAsia="zh-CN"/>
        </w:rPr>
        <w:t xml:space="preserve">the </w:t>
      </w:r>
      <w:r w:rsidR="00AB28C9" w:rsidRPr="00AB28C9">
        <w:rPr>
          <w:lang w:eastAsia="zh-CN"/>
        </w:rPr>
        <w:t>Draft Recommendations for Harmonized Elements in the Terms of Reference of ITC Working Parties</w:t>
      </w:r>
      <w:r w:rsidR="00EE0300" w:rsidRPr="006A048F">
        <w:rPr>
          <w:lang w:eastAsia="zh-CN"/>
        </w:rPr>
        <w:t xml:space="preserve"> contained in </w:t>
      </w:r>
      <w:r w:rsidR="007E035E">
        <w:rPr>
          <w:lang w:eastAsia="zh-CN"/>
        </w:rPr>
        <w:t xml:space="preserve">Annex II of </w:t>
      </w:r>
      <w:r w:rsidR="00EE0300" w:rsidRPr="006A048F">
        <w:rPr>
          <w:lang w:eastAsia="zh-CN"/>
        </w:rPr>
        <w:t>Committee document ECE/TRANS/2023/4/Rev.1.</w:t>
      </w:r>
    </w:p>
    <w:p w14:paraId="00F746E4" w14:textId="6CC733C3" w:rsidR="00714C3F" w:rsidRDefault="00714C3F" w:rsidP="00736F67">
      <w:pPr>
        <w:pStyle w:val="SingleTxtG"/>
        <w:rPr>
          <w:lang w:eastAsia="zh-CN"/>
        </w:rPr>
      </w:pPr>
      <w:r>
        <w:rPr>
          <w:lang w:eastAsia="zh-CN"/>
        </w:rPr>
        <w:t>4.</w:t>
      </w:r>
      <w:r>
        <w:rPr>
          <w:lang w:eastAsia="zh-CN"/>
        </w:rPr>
        <w:tab/>
      </w:r>
      <w:r w:rsidR="004E5BB5" w:rsidRPr="00FC5927">
        <w:rPr>
          <w:lang w:eastAsia="zh-CN"/>
        </w:rPr>
        <w:t xml:space="preserve">In addition, as a follow-up to the discussion on </w:t>
      </w:r>
      <w:r w:rsidR="00183B21">
        <w:rPr>
          <w:lang w:eastAsia="zh-CN"/>
        </w:rPr>
        <w:t>document ECE/TRANS/WP.15/</w:t>
      </w:r>
      <w:r w:rsidR="004E5BB5" w:rsidRPr="00FC5927">
        <w:rPr>
          <w:lang w:eastAsia="zh-CN"/>
        </w:rPr>
        <w:t>2023/5/Rev.1</w:t>
      </w:r>
      <w:r w:rsidR="004E5BB5">
        <w:rPr>
          <w:lang w:eastAsia="zh-CN"/>
        </w:rPr>
        <w:t>, t</w:t>
      </w:r>
      <w:r>
        <w:rPr>
          <w:lang w:eastAsia="zh-CN"/>
        </w:rPr>
        <w:t xml:space="preserve">he Working Party may wish </w:t>
      </w:r>
      <w:r w:rsidR="004E5BB5">
        <w:rPr>
          <w:lang w:eastAsia="zh-CN"/>
        </w:rPr>
        <w:t xml:space="preserve">to add the text in square brackets below to its draft Terms of Reference. </w:t>
      </w:r>
    </w:p>
    <w:p w14:paraId="429F8AFA" w14:textId="43326D00" w:rsidR="003C382F" w:rsidRDefault="00FF7113" w:rsidP="00FF7113">
      <w:pPr>
        <w:pStyle w:val="HChG"/>
        <w:rPr>
          <w:lang w:eastAsia="zh-CN"/>
        </w:rPr>
      </w:pPr>
      <w:r>
        <w:rPr>
          <w:lang w:eastAsia="zh-CN"/>
        </w:rPr>
        <w:tab/>
      </w:r>
      <w:r>
        <w:rPr>
          <w:lang w:eastAsia="zh-CN"/>
        </w:rPr>
        <w:tab/>
        <w:t>Proposal</w:t>
      </w:r>
    </w:p>
    <w:p w14:paraId="24625EB6" w14:textId="0D4C3134" w:rsidR="00B34BE4" w:rsidRDefault="00B34BE4" w:rsidP="00AF3551">
      <w:pPr>
        <w:pStyle w:val="SingleTxtG"/>
      </w:pPr>
      <w:r>
        <w:t>5.</w:t>
      </w:r>
      <w:r>
        <w:tab/>
      </w:r>
      <w:r w:rsidR="004709E1">
        <w:t xml:space="preserve">Replace the </w:t>
      </w:r>
      <w:r w:rsidR="005A4429">
        <w:t>Terms of Reference</w:t>
      </w:r>
      <w:r w:rsidR="004709E1">
        <w:t xml:space="preserve"> in ECE/TRANS/WP.15/190/Add.1 by the following:</w:t>
      </w:r>
    </w:p>
    <w:p w14:paraId="244AADA7" w14:textId="6EBAC094" w:rsidR="00AF3551" w:rsidRDefault="00AF3551" w:rsidP="00C91BF8">
      <w:pPr>
        <w:pStyle w:val="SingleTxtG"/>
        <w:ind w:left="1701"/>
      </w:pPr>
      <w:r>
        <w:t>“1.</w:t>
      </w:r>
      <w:r>
        <w:tab/>
        <w:t xml:space="preserve">The Working Party </w:t>
      </w:r>
      <w:r w:rsidR="0015487C">
        <w:rPr>
          <w:lang w:eastAsia="zh-CN"/>
        </w:rPr>
        <w:t xml:space="preserve">on the Transport of Dangerous Goods (hereinafter referred to as WP.15) </w:t>
      </w:r>
      <w:r>
        <w:t xml:space="preserve">will act within the framework of the policies of the United Nations and the Economic Commission for Europe (hereafter ECE) and under the general supervision of its parent body, the Inland Transport Committee (hereafter ITC) and in conformity with the Terms of Reference of ECE (E/ECE/778/Rev.5) and ITC (E/RES/2022/2 and ECE/TRANS/316/Add.2). </w:t>
      </w:r>
    </w:p>
    <w:p w14:paraId="72F98EFD" w14:textId="1163A312" w:rsidR="00414828" w:rsidRDefault="00414828" w:rsidP="00C91BF8">
      <w:pPr>
        <w:pStyle w:val="SingleTxtG"/>
        <w:ind w:left="1701"/>
      </w:pPr>
      <w:r>
        <w:lastRenderedPageBreak/>
        <w:t>2.</w:t>
      </w:r>
      <w:r w:rsidR="00C4418C">
        <w:tab/>
      </w:r>
      <w:r>
        <w:t>WP.15 will operate in accordance with the Guidelines for the establishment and functioning of Working Parties within ECE as approved by the ECE Executive Committee at its fourth meeting on 14 July 2006 (ECE/EX/1). These guidelines refer to its status and characteristics, including the review of its mandate and extension every five years, its membership and officers, its methods of work and its secretariat provided by the ECE Sustainable Transport Division.</w:t>
      </w:r>
    </w:p>
    <w:p w14:paraId="54957C4A" w14:textId="619F0ABB" w:rsidR="00A84829" w:rsidRDefault="00A84829" w:rsidP="00C91BF8">
      <w:pPr>
        <w:pStyle w:val="SingleTxtG"/>
        <w:ind w:left="1701"/>
      </w:pPr>
      <w:r>
        <w:t>3.</w:t>
      </w:r>
      <w:r>
        <w:tab/>
      </w:r>
      <w:r w:rsidR="004D310A">
        <w:t>WP.15 will:</w:t>
      </w:r>
    </w:p>
    <w:p w14:paraId="35244F6C" w14:textId="4323C728" w:rsidR="00FF7113" w:rsidRDefault="00FF7113" w:rsidP="00C91BF8">
      <w:pPr>
        <w:pStyle w:val="SingleTxtG"/>
        <w:ind w:left="1701"/>
        <w:rPr>
          <w:lang w:eastAsia="zh-CN"/>
        </w:rPr>
      </w:pPr>
      <w:r>
        <w:rPr>
          <w:lang w:eastAsia="zh-CN"/>
        </w:rPr>
        <w:tab/>
        <w:t>(a)</w:t>
      </w:r>
      <w:r>
        <w:rPr>
          <w:lang w:eastAsia="zh-CN"/>
        </w:rPr>
        <w:tab/>
        <w:t>Initiate and pursue actions aimed at enhancing the safety and security of the inland transport of dangerous goods and protecting the environment during such transport</w:t>
      </w:r>
      <w:r w:rsidR="00AA6CBA">
        <w:rPr>
          <w:lang w:eastAsia="zh-CN"/>
        </w:rPr>
        <w:t>[</w:t>
      </w:r>
      <w:r w:rsidR="004E5BB5">
        <w:rPr>
          <w:lang w:eastAsia="zh-CN"/>
        </w:rPr>
        <w:t>, including the development of</w:t>
      </w:r>
      <w:r w:rsidR="004E5BB5" w:rsidRPr="00FC5927">
        <w:rPr>
          <w:lang w:eastAsia="zh-CN"/>
        </w:rPr>
        <w:t xml:space="preserve"> standards, recommended practices and guidance material</w:t>
      </w:r>
      <w:r w:rsidR="004E5BB5">
        <w:rPr>
          <w:lang w:eastAsia="zh-CN"/>
        </w:rPr>
        <w:t xml:space="preserve"> for transports not falling within the scope of RID, ADR and ADN</w:t>
      </w:r>
      <w:r w:rsidR="00AA6CBA">
        <w:rPr>
          <w:lang w:eastAsia="zh-CN"/>
        </w:rPr>
        <w:t>]</w:t>
      </w:r>
      <w:r>
        <w:rPr>
          <w:lang w:eastAsia="zh-CN"/>
        </w:rPr>
        <w:t>;</w:t>
      </w:r>
    </w:p>
    <w:p w14:paraId="3AB04EA1" w14:textId="77777777" w:rsidR="00FF7113" w:rsidRDefault="00FF7113" w:rsidP="00C91BF8">
      <w:pPr>
        <w:pStyle w:val="SingleTxtG"/>
        <w:ind w:left="1701"/>
        <w:rPr>
          <w:lang w:eastAsia="zh-CN"/>
        </w:rPr>
      </w:pPr>
      <w:r>
        <w:rPr>
          <w:lang w:eastAsia="zh-CN"/>
        </w:rPr>
        <w:tab/>
        <w:t>(b)</w:t>
      </w:r>
      <w:r>
        <w:rPr>
          <w:lang w:eastAsia="zh-CN"/>
        </w:rPr>
        <w:tab/>
        <w:t>Promote the facilitation of international transport of dangerous goods by harmonizing the relevant regulations and rules and the administrative procedures and documentation requirements to which this transport is subject;</w:t>
      </w:r>
    </w:p>
    <w:p w14:paraId="64797A41" w14:textId="77777777" w:rsidR="00FF7113" w:rsidRDefault="00FF7113" w:rsidP="00C91BF8">
      <w:pPr>
        <w:pStyle w:val="SingleTxtG"/>
        <w:ind w:left="1701"/>
        <w:rPr>
          <w:lang w:eastAsia="zh-CN"/>
        </w:rPr>
      </w:pPr>
      <w:r>
        <w:rPr>
          <w:lang w:eastAsia="zh-CN"/>
        </w:rPr>
        <w:tab/>
        <w:t>(c)</w:t>
      </w:r>
      <w:r>
        <w:rPr>
          <w:lang w:eastAsia="zh-CN"/>
        </w:rPr>
        <w:tab/>
        <w:t>Develop and update the European Agreement concerning the International Carriage of Dangerous Goods by Road (ADR), concluded in Geneva in 1957, the European Agreement concerning the International Carriage of Dangerous Goods by Inland Waterways (ADN), concluded in Geneva in 2000, and other relevant legal instruments on the transport of dangerous goods that ITC may charge it with administering;</w:t>
      </w:r>
    </w:p>
    <w:p w14:paraId="694069FF" w14:textId="77777777" w:rsidR="00FF7113" w:rsidRDefault="00FF7113" w:rsidP="00C91BF8">
      <w:pPr>
        <w:pStyle w:val="SingleTxtG"/>
        <w:ind w:left="1701"/>
        <w:rPr>
          <w:lang w:eastAsia="zh-CN"/>
        </w:rPr>
      </w:pPr>
      <w:r>
        <w:rPr>
          <w:lang w:eastAsia="zh-CN"/>
        </w:rPr>
        <w:tab/>
        <w:t>(d)</w:t>
      </w:r>
      <w:r>
        <w:rPr>
          <w:lang w:eastAsia="zh-CN"/>
        </w:rPr>
        <w:tab/>
        <w:t>Encourage the accession of new countries to the Agreements mentioned above;</w:t>
      </w:r>
    </w:p>
    <w:p w14:paraId="19B8D445" w14:textId="77777777" w:rsidR="00FF7113" w:rsidRDefault="00FF7113" w:rsidP="00C91BF8">
      <w:pPr>
        <w:pStyle w:val="SingleTxtG"/>
        <w:ind w:left="1701"/>
        <w:rPr>
          <w:lang w:eastAsia="zh-CN"/>
        </w:rPr>
      </w:pPr>
      <w:r>
        <w:rPr>
          <w:lang w:eastAsia="zh-CN"/>
        </w:rPr>
        <w:tab/>
        <w:t>(e)</w:t>
      </w:r>
      <w:r>
        <w:rPr>
          <w:lang w:eastAsia="zh-CN"/>
        </w:rPr>
        <w:tab/>
        <w:t>Ensure harmonization of ADR and ADN with other relevant legal instruments on the transport of dangerous goods by other modes of transport on the basis of the recommendations of the Committee of Experts on the Transport of Dangerous Goods and the Globally Harmonized System of Classification and Labelling of Chemicals of the United Nations Economic and Social Council;</w:t>
      </w:r>
    </w:p>
    <w:p w14:paraId="32EEE187" w14:textId="5A464E20" w:rsidR="00FF7113" w:rsidRDefault="00FF7113" w:rsidP="00C91BF8">
      <w:pPr>
        <w:pStyle w:val="SingleTxtG"/>
        <w:ind w:left="1701"/>
        <w:rPr>
          <w:lang w:eastAsia="zh-CN"/>
        </w:rPr>
      </w:pPr>
      <w:r>
        <w:rPr>
          <w:lang w:eastAsia="zh-CN"/>
        </w:rPr>
        <w:tab/>
        <w:t>(f)</w:t>
      </w:r>
      <w:r>
        <w:rPr>
          <w:lang w:eastAsia="zh-CN"/>
        </w:rPr>
        <w:tab/>
        <w:t xml:space="preserve">Encourage participation in its activities by fostering cooperation and collaboration with countries, the European Commission, international governmental and </w:t>
      </w:r>
      <w:proofErr w:type="spellStart"/>
      <w:r>
        <w:rPr>
          <w:lang w:eastAsia="zh-CN"/>
        </w:rPr>
        <w:t>non governmental</w:t>
      </w:r>
      <w:proofErr w:type="spellEnd"/>
      <w:r>
        <w:rPr>
          <w:lang w:eastAsia="zh-CN"/>
        </w:rPr>
        <w:t xml:space="preserve"> organizations concerned with the transport of dangerous goods and the other United Nations regional commissions and other organizations or bodies of the United Nations system with a view, among other things, to discussing and resolving problems relating to the interpretation or enforcement of the provisions of ADR, ADN or other relevant legal instruments;</w:t>
      </w:r>
    </w:p>
    <w:p w14:paraId="1707A616" w14:textId="371E529F" w:rsidR="00FF7113" w:rsidRDefault="00FF7113" w:rsidP="00C91BF8">
      <w:pPr>
        <w:pStyle w:val="SingleTxtG"/>
        <w:ind w:left="1701"/>
        <w:rPr>
          <w:lang w:eastAsia="zh-CN"/>
        </w:rPr>
      </w:pPr>
      <w:r>
        <w:rPr>
          <w:lang w:eastAsia="zh-CN"/>
        </w:rPr>
        <w:tab/>
        <w:t>(g)</w:t>
      </w:r>
      <w:r>
        <w:rPr>
          <w:lang w:eastAsia="zh-CN"/>
        </w:rPr>
        <w:tab/>
        <w:t>Collaborate closely with the other subsidiary bodies of ITC, particularly the World Forum for Harmonization of Vehicle Regulations (WP.29), the Working Party on Road Transport (SC.1), the Working Party on Road Traffic Safety (WP.1), the Working Party on Inland Water Transport (SC</w:t>
      </w:r>
      <w:r w:rsidR="00397195">
        <w:rPr>
          <w:lang w:eastAsia="zh-CN"/>
        </w:rPr>
        <w:t>.</w:t>
      </w:r>
      <w:r>
        <w:rPr>
          <w:lang w:eastAsia="zh-CN"/>
        </w:rPr>
        <w:t>3), the Working Party on Transport Statistics (WP.6) and any other relevant ECE body on matters of common interest relating to the transport of dangerous goods;</w:t>
      </w:r>
    </w:p>
    <w:p w14:paraId="687F566A" w14:textId="77777777" w:rsidR="00FF7113" w:rsidRDefault="00FF7113" w:rsidP="00C91BF8">
      <w:pPr>
        <w:pStyle w:val="SingleTxtG"/>
        <w:ind w:left="1701"/>
        <w:rPr>
          <w:lang w:eastAsia="zh-CN"/>
        </w:rPr>
      </w:pPr>
      <w:r>
        <w:rPr>
          <w:lang w:eastAsia="zh-CN"/>
        </w:rPr>
        <w:tab/>
        <w:t>(h)</w:t>
      </w:r>
      <w:r>
        <w:rPr>
          <w:lang w:eastAsia="zh-CN"/>
        </w:rPr>
        <w:tab/>
        <w:t>Draw up and implement a programme of work relating to its activities;</w:t>
      </w:r>
    </w:p>
    <w:p w14:paraId="724F69F7" w14:textId="77777777" w:rsidR="00FF7113" w:rsidRDefault="00FF7113" w:rsidP="00C91BF8">
      <w:pPr>
        <w:pStyle w:val="SingleTxtG"/>
        <w:ind w:left="1701"/>
        <w:rPr>
          <w:lang w:eastAsia="zh-CN"/>
        </w:rPr>
      </w:pPr>
      <w:r>
        <w:rPr>
          <w:lang w:eastAsia="zh-CN"/>
        </w:rPr>
        <w:tab/>
        <w:t>(</w:t>
      </w:r>
      <w:proofErr w:type="spellStart"/>
      <w:r>
        <w:rPr>
          <w:lang w:eastAsia="zh-CN"/>
        </w:rPr>
        <w:t>i</w:t>
      </w:r>
      <w:proofErr w:type="spellEnd"/>
      <w:r>
        <w:rPr>
          <w:lang w:eastAsia="zh-CN"/>
        </w:rPr>
        <w:t>)</w:t>
      </w:r>
      <w:r>
        <w:rPr>
          <w:lang w:eastAsia="zh-CN"/>
        </w:rPr>
        <w:tab/>
        <w:t>Create a working environment that facilitates fulfilment by the Contracting Parties of the obligations set forth in the legal instruments concerned by the activities of the Working Party, and an exchange of views on the interpretation of these instruments or the resolution of problems connected with their enforcement;</w:t>
      </w:r>
    </w:p>
    <w:p w14:paraId="1EC9404D" w14:textId="05CE0ECD" w:rsidR="00FF7113" w:rsidRDefault="00FF7113" w:rsidP="00C91BF8">
      <w:pPr>
        <w:pStyle w:val="SingleTxtG"/>
        <w:ind w:left="1701"/>
        <w:rPr>
          <w:lang w:eastAsia="zh-CN"/>
        </w:rPr>
      </w:pPr>
      <w:r>
        <w:rPr>
          <w:lang w:eastAsia="zh-CN"/>
        </w:rPr>
        <w:tab/>
        <w:t>(j)</w:t>
      </w:r>
      <w:r>
        <w:rPr>
          <w:lang w:eastAsia="zh-CN"/>
        </w:rPr>
        <w:tab/>
        <w:t>Ensure openness and transparency during its meetings.</w:t>
      </w:r>
    </w:p>
    <w:p w14:paraId="00130C49" w14:textId="7F3C1725" w:rsidR="00FF7113" w:rsidRDefault="005B45BE" w:rsidP="00C91BF8">
      <w:pPr>
        <w:tabs>
          <w:tab w:val="left" w:pos="1701"/>
          <w:tab w:val="left" w:pos="2268"/>
          <w:tab w:val="left" w:pos="2835"/>
        </w:tabs>
        <w:spacing w:after="120"/>
        <w:ind w:left="1701" w:right="1134"/>
        <w:jc w:val="both"/>
        <w:rPr>
          <w:lang w:eastAsia="zh-CN"/>
        </w:rPr>
      </w:pPr>
      <w:r>
        <w:rPr>
          <w:lang w:eastAsia="zh-CN"/>
        </w:rPr>
        <w:t>4</w:t>
      </w:r>
      <w:r w:rsidR="00FF7113">
        <w:rPr>
          <w:lang w:eastAsia="zh-CN"/>
        </w:rPr>
        <w:t>.</w:t>
      </w:r>
      <w:r w:rsidR="00FF7113">
        <w:rPr>
          <w:lang w:eastAsia="zh-CN"/>
        </w:rPr>
        <w:tab/>
        <w:t>These Terms of Reference and the Rules of Procedure apply to WP.15 and do not modify the provisions of the relevant legal instruments.”</w:t>
      </w:r>
    </w:p>
    <w:p w14:paraId="7BFF3AF3" w14:textId="16E5897C" w:rsidR="00B92EAE" w:rsidRDefault="00B92EAE" w:rsidP="00B92EAE">
      <w:pPr>
        <w:pStyle w:val="HChG"/>
        <w:rPr>
          <w:lang w:eastAsia="zh-CN"/>
        </w:rPr>
      </w:pPr>
      <w:r>
        <w:rPr>
          <w:lang w:eastAsia="zh-CN"/>
        </w:rPr>
        <w:lastRenderedPageBreak/>
        <w:tab/>
      </w:r>
      <w:r>
        <w:rPr>
          <w:lang w:eastAsia="zh-CN"/>
        </w:rPr>
        <w:tab/>
        <w:t>Follow-up</w:t>
      </w:r>
    </w:p>
    <w:p w14:paraId="6DA10823" w14:textId="386E3F51" w:rsidR="0015105B" w:rsidRDefault="00C91BF8" w:rsidP="002F5CE8">
      <w:pPr>
        <w:pStyle w:val="SingleTxtG"/>
        <w:rPr>
          <w:lang w:eastAsia="zh-CN"/>
        </w:rPr>
      </w:pPr>
      <w:r>
        <w:rPr>
          <w:lang w:eastAsia="zh-CN"/>
        </w:rPr>
        <w:t>6.</w:t>
      </w:r>
      <w:r>
        <w:rPr>
          <w:lang w:eastAsia="zh-CN"/>
        </w:rPr>
        <w:tab/>
      </w:r>
      <w:r w:rsidR="0015105B">
        <w:rPr>
          <w:lang w:eastAsia="zh-CN"/>
        </w:rPr>
        <w:t xml:space="preserve">The Working Party may wish to adopt these draft </w:t>
      </w:r>
      <w:r w:rsidR="00AA6CBA">
        <w:rPr>
          <w:lang w:eastAsia="zh-CN"/>
        </w:rPr>
        <w:t>amended</w:t>
      </w:r>
      <w:r w:rsidR="002B2764">
        <w:rPr>
          <w:lang w:eastAsia="zh-CN"/>
        </w:rPr>
        <w:t xml:space="preserve"> </w:t>
      </w:r>
      <w:r w:rsidR="005A4429">
        <w:rPr>
          <w:lang w:eastAsia="zh-CN"/>
        </w:rPr>
        <w:t>Terms of Reference</w:t>
      </w:r>
      <w:r w:rsidR="0015105B">
        <w:rPr>
          <w:lang w:eastAsia="zh-CN"/>
        </w:rPr>
        <w:t xml:space="preserve"> </w:t>
      </w:r>
      <w:r w:rsidR="002B2764">
        <w:rPr>
          <w:lang w:eastAsia="zh-CN"/>
        </w:rPr>
        <w:t xml:space="preserve">and </w:t>
      </w:r>
      <w:r w:rsidR="00F0232A">
        <w:rPr>
          <w:lang w:eastAsia="zh-CN"/>
        </w:rPr>
        <w:t>submit them to the ITC for adoption</w:t>
      </w:r>
      <w:r w:rsidR="00F17E5E">
        <w:rPr>
          <w:lang w:eastAsia="zh-CN"/>
        </w:rPr>
        <w:t xml:space="preserve"> a</w:t>
      </w:r>
      <w:r w:rsidR="0000276C">
        <w:rPr>
          <w:lang w:eastAsia="zh-CN"/>
        </w:rPr>
        <w:t xml:space="preserve">nd further request the ITC to </w:t>
      </w:r>
      <w:r w:rsidR="00262512" w:rsidRPr="00262512">
        <w:rPr>
          <w:lang w:eastAsia="zh-CN"/>
        </w:rPr>
        <w:t>subsequently</w:t>
      </w:r>
      <w:r w:rsidR="00262512">
        <w:rPr>
          <w:lang w:eastAsia="zh-CN"/>
        </w:rPr>
        <w:t xml:space="preserve"> </w:t>
      </w:r>
      <w:r w:rsidR="0000276C">
        <w:rPr>
          <w:lang w:eastAsia="zh-CN"/>
        </w:rPr>
        <w:t xml:space="preserve">bring them to the attention of </w:t>
      </w:r>
      <w:r w:rsidR="00DE521A">
        <w:rPr>
          <w:lang w:eastAsia="zh-CN"/>
        </w:rPr>
        <w:t xml:space="preserve">the </w:t>
      </w:r>
      <w:r w:rsidR="00DE521A" w:rsidRPr="00DE521A">
        <w:rPr>
          <w:lang w:eastAsia="zh-CN"/>
        </w:rPr>
        <w:t>Executive Committee (EXCOM)</w:t>
      </w:r>
      <w:r w:rsidR="0000276C">
        <w:rPr>
          <w:lang w:eastAsia="zh-CN"/>
        </w:rPr>
        <w:t xml:space="preserve"> </w:t>
      </w:r>
      <w:r w:rsidR="00C83523">
        <w:rPr>
          <w:lang w:eastAsia="zh-CN"/>
        </w:rPr>
        <w:t>for approval.</w:t>
      </w:r>
    </w:p>
    <w:p w14:paraId="66C5C6C8" w14:textId="49FCF4DD" w:rsidR="00C50DCC" w:rsidRDefault="00C91BF8" w:rsidP="002F5CE8">
      <w:pPr>
        <w:pStyle w:val="SingleTxtG"/>
        <w:rPr>
          <w:lang w:eastAsia="zh-CN"/>
        </w:rPr>
      </w:pPr>
      <w:r>
        <w:rPr>
          <w:lang w:eastAsia="zh-CN"/>
        </w:rPr>
        <w:t>7.</w:t>
      </w:r>
      <w:r>
        <w:rPr>
          <w:lang w:eastAsia="zh-CN"/>
        </w:rPr>
        <w:tab/>
      </w:r>
      <w:r w:rsidR="00882187" w:rsidRPr="00882187">
        <w:rPr>
          <w:lang w:eastAsia="zh-CN"/>
        </w:rPr>
        <w:t xml:space="preserve">Once the </w:t>
      </w:r>
      <w:r w:rsidR="005A4429">
        <w:rPr>
          <w:lang w:eastAsia="zh-CN"/>
        </w:rPr>
        <w:t>Terms of Reference</w:t>
      </w:r>
      <w:r w:rsidR="00882187">
        <w:rPr>
          <w:lang w:eastAsia="zh-CN"/>
        </w:rPr>
        <w:t xml:space="preserve"> will be approved by EXCOM, the </w:t>
      </w:r>
      <w:r w:rsidR="00CA6747">
        <w:rPr>
          <w:lang w:eastAsia="zh-CN"/>
        </w:rPr>
        <w:t xml:space="preserve">secretariat will prepare </w:t>
      </w:r>
      <w:r w:rsidR="007278B7">
        <w:rPr>
          <w:lang w:eastAsia="zh-CN"/>
        </w:rPr>
        <w:t xml:space="preserve">a </w:t>
      </w:r>
      <w:r w:rsidR="005A4429">
        <w:rPr>
          <w:lang w:eastAsia="zh-CN"/>
        </w:rPr>
        <w:t xml:space="preserve">new </w:t>
      </w:r>
      <w:r w:rsidR="007278B7">
        <w:rPr>
          <w:lang w:eastAsia="zh-CN"/>
        </w:rPr>
        <w:t xml:space="preserve">consolidated version of the </w:t>
      </w:r>
      <w:r w:rsidR="005A4429">
        <w:rPr>
          <w:lang w:eastAsia="zh-CN"/>
        </w:rPr>
        <w:t>Terms of Reference</w:t>
      </w:r>
      <w:r w:rsidR="007278B7">
        <w:rPr>
          <w:lang w:eastAsia="zh-CN"/>
        </w:rPr>
        <w:t xml:space="preserve"> and </w:t>
      </w:r>
      <w:r w:rsidR="005A4429">
        <w:rPr>
          <w:lang w:eastAsia="zh-CN"/>
        </w:rPr>
        <w:t>R</w:t>
      </w:r>
      <w:r w:rsidR="007278B7">
        <w:rPr>
          <w:lang w:eastAsia="zh-CN"/>
        </w:rPr>
        <w:t xml:space="preserve">ules of </w:t>
      </w:r>
      <w:r w:rsidR="005A4429">
        <w:rPr>
          <w:lang w:eastAsia="zh-CN"/>
        </w:rPr>
        <w:t>P</w:t>
      </w:r>
      <w:r w:rsidR="007278B7">
        <w:rPr>
          <w:lang w:eastAsia="zh-CN"/>
        </w:rPr>
        <w:t>rocedure to replace ECE/TRANS/WP.15/190/Add.1.</w:t>
      </w:r>
    </w:p>
    <w:p w14:paraId="7EF26FE0" w14:textId="29C2B493" w:rsidR="00C91BF8" w:rsidRPr="00C91BF8" w:rsidRDefault="00C91BF8" w:rsidP="00C91BF8">
      <w:pPr>
        <w:spacing w:before="240"/>
        <w:jc w:val="center"/>
        <w:rPr>
          <w:u w:val="single"/>
          <w:lang w:eastAsia="zh-CN"/>
        </w:rPr>
      </w:pPr>
      <w:r>
        <w:rPr>
          <w:u w:val="single"/>
          <w:lang w:eastAsia="zh-CN"/>
        </w:rPr>
        <w:tab/>
      </w:r>
      <w:r>
        <w:rPr>
          <w:u w:val="single"/>
          <w:lang w:eastAsia="zh-CN"/>
        </w:rPr>
        <w:tab/>
      </w:r>
      <w:r>
        <w:rPr>
          <w:u w:val="single"/>
          <w:lang w:eastAsia="zh-CN"/>
        </w:rPr>
        <w:tab/>
      </w:r>
    </w:p>
    <w:sectPr w:rsidR="00C91BF8" w:rsidRPr="00C91BF8" w:rsidSect="008F1933">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1625" w14:textId="77777777" w:rsidR="002209E7" w:rsidRDefault="002209E7"/>
  </w:endnote>
  <w:endnote w:type="continuationSeparator" w:id="0">
    <w:p w14:paraId="5D80C6AC" w14:textId="77777777" w:rsidR="002209E7" w:rsidRDefault="002209E7"/>
  </w:endnote>
  <w:endnote w:type="continuationNotice" w:id="1">
    <w:p w14:paraId="6989DF10" w14:textId="77777777" w:rsidR="002209E7" w:rsidRDefault="00220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3640" w14:textId="2957118E" w:rsidR="008F1933" w:rsidRPr="008F1933" w:rsidRDefault="008F1933" w:rsidP="008F1933">
    <w:pPr>
      <w:pStyle w:val="Footer"/>
      <w:tabs>
        <w:tab w:val="right" w:pos="9638"/>
      </w:tabs>
      <w:rPr>
        <w:sz w:val="18"/>
      </w:rPr>
    </w:pPr>
    <w:r w:rsidRPr="008F1933">
      <w:rPr>
        <w:b/>
        <w:sz w:val="18"/>
      </w:rPr>
      <w:fldChar w:fldCharType="begin"/>
    </w:r>
    <w:r w:rsidRPr="008F1933">
      <w:rPr>
        <w:b/>
        <w:sz w:val="18"/>
      </w:rPr>
      <w:instrText xml:space="preserve"> PAGE  \* MERGEFORMAT </w:instrText>
    </w:r>
    <w:r w:rsidRPr="008F1933">
      <w:rPr>
        <w:b/>
        <w:sz w:val="18"/>
      </w:rPr>
      <w:fldChar w:fldCharType="separate"/>
    </w:r>
    <w:r w:rsidRPr="008F1933">
      <w:rPr>
        <w:b/>
        <w:noProof/>
        <w:sz w:val="18"/>
      </w:rPr>
      <w:t>2</w:t>
    </w:r>
    <w:r w:rsidRPr="008F193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4591" w14:textId="09954651" w:rsidR="008F1933" w:rsidRPr="008F1933" w:rsidRDefault="008F1933" w:rsidP="008F1933">
    <w:pPr>
      <w:pStyle w:val="Footer"/>
      <w:tabs>
        <w:tab w:val="right" w:pos="9638"/>
      </w:tabs>
      <w:rPr>
        <w:b/>
        <w:sz w:val="18"/>
      </w:rPr>
    </w:pPr>
    <w:r>
      <w:tab/>
    </w:r>
    <w:r w:rsidRPr="008F1933">
      <w:rPr>
        <w:b/>
        <w:sz w:val="18"/>
      </w:rPr>
      <w:fldChar w:fldCharType="begin"/>
    </w:r>
    <w:r w:rsidRPr="008F1933">
      <w:rPr>
        <w:b/>
        <w:sz w:val="18"/>
      </w:rPr>
      <w:instrText xml:space="preserve"> PAGE  \* MERGEFORMAT </w:instrText>
    </w:r>
    <w:r w:rsidRPr="008F1933">
      <w:rPr>
        <w:b/>
        <w:sz w:val="18"/>
      </w:rPr>
      <w:fldChar w:fldCharType="separate"/>
    </w:r>
    <w:r w:rsidRPr="008F1933">
      <w:rPr>
        <w:b/>
        <w:noProof/>
        <w:sz w:val="18"/>
      </w:rPr>
      <w:t>3</w:t>
    </w:r>
    <w:r w:rsidRPr="008F193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0255" w14:textId="0103E693" w:rsidR="001937C5" w:rsidRDefault="001937C5" w:rsidP="001937C5">
    <w:pPr>
      <w:pStyle w:val="Footer"/>
    </w:pPr>
    <w:r w:rsidRPr="0027112F">
      <w:rPr>
        <w:noProof/>
        <w:lang w:val="en-US"/>
      </w:rPr>
      <w:drawing>
        <wp:anchor distT="0" distB="0" distL="114300" distR="114300" simplePos="0" relativeHeight="251659264" behindDoc="0" locked="1" layoutInCell="1" allowOverlap="1" wp14:anchorId="3A179290" wp14:editId="355E62D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DB1358D" w14:textId="03DA82C9" w:rsidR="001937C5" w:rsidRPr="001937C5" w:rsidRDefault="001937C5" w:rsidP="001937C5">
    <w:pPr>
      <w:pStyle w:val="Footer"/>
      <w:ind w:right="1134"/>
      <w:rPr>
        <w:sz w:val="20"/>
      </w:rPr>
    </w:pPr>
    <w:r>
      <w:rPr>
        <w:sz w:val="20"/>
      </w:rPr>
      <w:t>GE.23-15752(E)</w:t>
    </w:r>
    <w:r>
      <w:rPr>
        <w:noProof/>
        <w:sz w:val="20"/>
      </w:rPr>
      <w:drawing>
        <wp:anchor distT="0" distB="0" distL="114300" distR="114300" simplePos="0" relativeHeight="251660288" behindDoc="0" locked="0" layoutInCell="1" allowOverlap="1" wp14:anchorId="666C999C" wp14:editId="0F0B621F">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CAC4" w14:textId="77777777" w:rsidR="002209E7" w:rsidRPr="000B175B" w:rsidRDefault="002209E7" w:rsidP="000B175B">
      <w:pPr>
        <w:tabs>
          <w:tab w:val="right" w:pos="2155"/>
        </w:tabs>
        <w:spacing w:after="80"/>
        <w:ind w:left="680"/>
        <w:rPr>
          <w:u w:val="single"/>
        </w:rPr>
      </w:pPr>
      <w:r>
        <w:rPr>
          <w:u w:val="single"/>
        </w:rPr>
        <w:tab/>
      </w:r>
    </w:p>
  </w:footnote>
  <w:footnote w:type="continuationSeparator" w:id="0">
    <w:p w14:paraId="2ACF72A4" w14:textId="77777777" w:rsidR="002209E7" w:rsidRPr="00FC68B7" w:rsidRDefault="002209E7" w:rsidP="00FC68B7">
      <w:pPr>
        <w:tabs>
          <w:tab w:val="left" w:pos="2155"/>
        </w:tabs>
        <w:spacing w:after="80"/>
        <w:ind w:left="680"/>
        <w:rPr>
          <w:u w:val="single"/>
        </w:rPr>
      </w:pPr>
      <w:r>
        <w:rPr>
          <w:u w:val="single"/>
        </w:rPr>
        <w:tab/>
      </w:r>
    </w:p>
  </w:footnote>
  <w:footnote w:type="continuationNotice" w:id="1">
    <w:p w14:paraId="5525159D" w14:textId="77777777" w:rsidR="002209E7" w:rsidRDefault="002209E7"/>
  </w:footnote>
  <w:footnote w:id="2">
    <w:p w14:paraId="0EBEE2A0" w14:textId="3C11260D" w:rsidR="00076D2C" w:rsidRPr="00AD4A1B" w:rsidRDefault="00076D2C" w:rsidP="00076D2C">
      <w:pPr>
        <w:pStyle w:val="FootnoteText"/>
      </w:pPr>
      <w:r>
        <w:rPr>
          <w:rStyle w:val="FootnoteReference"/>
        </w:rPr>
        <w:tab/>
      </w:r>
      <w:r w:rsidRPr="00154B47">
        <w:rPr>
          <w:rStyle w:val="FootnoteReference"/>
          <w:sz w:val="20"/>
          <w:vertAlign w:val="baseline"/>
        </w:rPr>
        <w:t>*</w:t>
      </w:r>
      <w:r>
        <w:rPr>
          <w:rStyle w:val="FootnoteReference"/>
          <w:sz w:val="20"/>
          <w:vertAlign w:val="baseline"/>
        </w:rPr>
        <w:tab/>
      </w:r>
      <w:r w:rsidRPr="00655CB8">
        <w:t>A/77/6 (Sect. 20), table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2398" w14:textId="3E5EF787" w:rsidR="008F1933" w:rsidRPr="008F1933" w:rsidRDefault="008F1933">
    <w:pPr>
      <w:pStyle w:val="Header"/>
    </w:pPr>
    <w:r>
      <w:t>ECE/TRANS/WP.15/2023/7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AD7C" w14:textId="3BF66FB5" w:rsidR="008F1933" w:rsidRPr="008F1933" w:rsidRDefault="008F1933" w:rsidP="008F1933">
    <w:pPr>
      <w:pStyle w:val="Header"/>
      <w:jc w:val="right"/>
    </w:pPr>
    <w:r>
      <w:t>ECE/TRANS/WP.15/2023/7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CE1FE7"/>
    <w:multiLevelType w:val="hybridMultilevel"/>
    <w:tmpl w:val="B66A8CC4"/>
    <w:lvl w:ilvl="0" w:tplc="F552E7BC">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22194341">
    <w:abstractNumId w:val="1"/>
  </w:num>
  <w:num w:numId="2" w16cid:durableId="605964101">
    <w:abstractNumId w:val="0"/>
  </w:num>
  <w:num w:numId="3" w16cid:durableId="1281496898">
    <w:abstractNumId w:val="2"/>
  </w:num>
  <w:num w:numId="4" w16cid:durableId="1821732851">
    <w:abstractNumId w:val="3"/>
  </w:num>
  <w:num w:numId="5" w16cid:durableId="1572613872">
    <w:abstractNumId w:val="8"/>
  </w:num>
  <w:num w:numId="6" w16cid:durableId="1325007048">
    <w:abstractNumId w:val="9"/>
  </w:num>
  <w:num w:numId="7" w16cid:durableId="2025590209">
    <w:abstractNumId w:val="7"/>
  </w:num>
  <w:num w:numId="8" w16cid:durableId="1340159156">
    <w:abstractNumId w:val="6"/>
  </w:num>
  <w:num w:numId="9" w16cid:durableId="1773697953">
    <w:abstractNumId w:val="5"/>
  </w:num>
  <w:num w:numId="10" w16cid:durableId="2038192460">
    <w:abstractNumId w:val="4"/>
  </w:num>
  <w:num w:numId="11" w16cid:durableId="55322820">
    <w:abstractNumId w:val="15"/>
  </w:num>
  <w:num w:numId="12" w16cid:durableId="1518886822">
    <w:abstractNumId w:val="14"/>
  </w:num>
  <w:num w:numId="13" w16cid:durableId="1869759643">
    <w:abstractNumId w:val="10"/>
  </w:num>
  <w:num w:numId="14" w16cid:durableId="719747004">
    <w:abstractNumId w:val="12"/>
  </w:num>
  <w:num w:numId="15" w16cid:durableId="201096329">
    <w:abstractNumId w:val="16"/>
  </w:num>
  <w:num w:numId="16" w16cid:durableId="848298156">
    <w:abstractNumId w:val="13"/>
  </w:num>
  <w:num w:numId="17" w16cid:durableId="1474177743">
    <w:abstractNumId w:val="18"/>
  </w:num>
  <w:num w:numId="18" w16cid:durableId="833910481">
    <w:abstractNumId w:val="19"/>
  </w:num>
  <w:num w:numId="19" w16cid:durableId="291207007">
    <w:abstractNumId w:val="11"/>
  </w:num>
  <w:num w:numId="20" w16cid:durableId="689183016">
    <w:abstractNumId w:val="11"/>
  </w:num>
  <w:num w:numId="21" w16cid:durableId="21450741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33"/>
    <w:rsid w:val="0000276C"/>
    <w:rsid w:val="00002A7D"/>
    <w:rsid w:val="000038A8"/>
    <w:rsid w:val="00006790"/>
    <w:rsid w:val="00007400"/>
    <w:rsid w:val="00025397"/>
    <w:rsid w:val="00027624"/>
    <w:rsid w:val="00050F6B"/>
    <w:rsid w:val="00056D4F"/>
    <w:rsid w:val="000678CD"/>
    <w:rsid w:val="00072C8C"/>
    <w:rsid w:val="0007306F"/>
    <w:rsid w:val="00076D2C"/>
    <w:rsid w:val="00081CE0"/>
    <w:rsid w:val="00084D30"/>
    <w:rsid w:val="00090320"/>
    <w:rsid w:val="000931C0"/>
    <w:rsid w:val="0009732C"/>
    <w:rsid w:val="000A01F9"/>
    <w:rsid w:val="000A2E09"/>
    <w:rsid w:val="000B175B"/>
    <w:rsid w:val="000B3A0F"/>
    <w:rsid w:val="000D2897"/>
    <w:rsid w:val="000E0415"/>
    <w:rsid w:val="000F1984"/>
    <w:rsid w:val="000F7715"/>
    <w:rsid w:val="00137AF5"/>
    <w:rsid w:val="0015105B"/>
    <w:rsid w:val="0015487C"/>
    <w:rsid w:val="00156B99"/>
    <w:rsid w:val="00166124"/>
    <w:rsid w:val="00183B21"/>
    <w:rsid w:val="00184DDA"/>
    <w:rsid w:val="001900CD"/>
    <w:rsid w:val="00193424"/>
    <w:rsid w:val="001937C5"/>
    <w:rsid w:val="00195941"/>
    <w:rsid w:val="001A0452"/>
    <w:rsid w:val="001B4B04"/>
    <w:rsid w:val="001B5875"/>
    <w:rsid w:val="001C4B9C"/>
    <w:rsid w:val="001C6663"/>
    <w:rsid w:val="001C7895"/>
    <w:rsid w:val="001D26DF"/>
    <w:rsid w:val="001E555D"/>
    <w:rsid w:val="001F1599"/>
    <w:rsid w:val="001F19C4"/>
    <w:rsid w:val="002043F0"/>
    <w:rsid w:val="00211E0B"/>
    <w:rsid w:val="002209E7"/>
    <w:rsid w:val="00232575"/>
    <w:rsid w:val="002374C5"/>
    <w:rsid w:val="00247258"/>
    <w:rsid w:val="00257B12"/>
    <w:rsid w:val="00257CAC"/>
    <w:rsid w:val="00262512"/>
    <w:rsid w:val="00264441"/>
    <w:rsid w:val="0027237A"/>
    <w:rsid w:val="002731EE"/>
    <w:rsid w:val="00282D92"/>
    <w:rsid w:val="002974E9"/>
    <w:rsid w:val="002A7F94"/>
    <w:rsid w:val="002B109A"/>
    <w:rsid w:val="002B2764"/>
    <w:rsid w:val="002B55AE"/>
    <w:rsid w:val="002C4B0C"/>
    <w:rsid w:val="002C6D45"/>
    <w:rsid w:val="002D6E53"/>
    <w:rsid w:val="002F046D"/>
    <w:rsid w:val="002F26FB"/>
    <w:rsid w:val="002F3023"/>
    <w:rsid w:val="002F5CE8"/>
    <w:rsid w:val="00301764"/>
    <w:rsid w:val="003229D8"/>
    <w:rsid w:val="00336C97"/>
    <w:rsid w:val="00337F88"/>
    <w:rsid w:val="00342432"/>
    <w:rsid w:val="0035123E"/>
    <w:rsid w:val="0035223F"/>
    <w:rsid w:val="00352D4B"/>
    <w:rsid w:val="0035638C"/>
    <w:rsid w:val="00397195"/>
    <w:rsid w:val="003A20F3"/>
    <w:rsid w:val="003A46BB"/>
    <w:rsid w:val="003A4EC7"/>
    <w:rsid w:val="003A7295"/>
    <w:rsid w:val="003B1F60"/>
    <w:rsid w:val="003C2CC4"/>
    <w:rsid w:val="003C382F"/>
    <w:rsid w:val="003C4FE0"/>
    <w:rsid w:val="003D4B23"/>
    <w:rsid w:val="003D6ECF"/>
    <w:rsid w:val="003E278A"/>
    <w:rsid w:val="00413520"/>
    <w:rsid w:val="00414828"/>
    <w:rsid w:val="004231CB"/>
    <w:rsid w:val="00430D57"/>
    <w:rsid w:val="004325CB"/>
    <w:rsid w:val="00440A07"/>
    <w:rsid w:val="00462880"/>
    <w:rsid w:val="004709E1"/>
    <w:rsid w:val="00470FC0"/>
    <w:rsid w:val="00476F24"/>
    <w:rsid w:val="004C55B0"/>
    <w:rsid w:val="004D2659"/>
    <w:rsid w:val="004D310A"/>
    <w:rsid w:val="004E5BB5"/>
    <w:rsid w:val="004F6BA0"/>
    <w:rsid w:val="00503BEA"/>
    <w:rsid w:val="00533616"/>
    <w:rsid w:val="00535ABA"/>
    <w:rsid w:val="0053768B"/>
    <w:rsid w:val="005420F2"/>
    <w:rsid w:val="0054285C"/>
    <w:rsid w:val="00584173"/>
    <w:rsid w:val="00595520"/>
    <w:rsid w:val="005A3723"/>
    <w:rsid w:val="005A4429"/>
    <w:rsid w:val="005A44B9"/>
    <w:rsid w:val="005B1BA0"/>
    <w:rsid w:val="005B3DB3"/>
    <w:rsid w:val="005B45BE"/>
    <w:rsid w:val="005D15CA"/>
    <w:rsid w:val="005D7969"/>
    <w:rsid w:val="005F08DF"/>
    <w:rsid w:val="005F3066"/>
    <w:rsid w:val="005F3E61"/>
    <w:rsid w:val="006029D7"/>
    <w:rsid w:val="00604DDD"/>
    <w:rsid w:val="00604FD8"/>
    <w:rsid w:val="006115CC"/>
    <w:rsid w:val="00611FC4"/>
    <w:rsid w:val="006176FB"/>
    <w:rsid w:val="006217D9"/>
    <w:rsid w:val="006255A0"/>
    <w:rsid w:val="00630FCB"/>
    <w:rsid w:val="00640B26"/>
    <w:rsid w:val="0065766B"/>
    <w:rsid w:val="00670414"/>
    <w:rsid w:val="006770B2"/>
    <w:rsid w:val="00683D33"/>
    <w:rsid w:val="00686A48"/>
    <w:rsid w:val="006940E1"/>
    <w:rsid w:val="006A3C72"/>
    <w:rsid w:val="006A7392"/>
    <w:rsid w:val="006B03A1"/>
    <w:rsid w:val="006B67D9"/>
    <w:rsid w:val="006C5535"/>
    <w:rsid w:val="006D0589"/>
    <w:rsid w:val="006D71C3"/>
    <w:rsid w:val="006E564B"/>
    <w:rsid w:val="006E7154"/>
    <w:rsid w:val="007003CD"/>
    <w:rsid w:val="0070701E"/>
    <w:rsid w:val="00714C3F"/>
    <w:rsid w:val="007173E0"/>
    <w:rsid w:val="0072632A"/>
    <w:rsid w:val="007278B7"/>
    <w:rsid w:val="007358E8"/>
    <w:rsid w:val="00736ECE"/>
    <w:rsid w:val="00736F67"/>
    <w:rsid w:val="0074533B"/>
    <w:rsid w:val="007643BC"/>
    <w:rsid w:val="007706D9"/>
    <w:rsid w:val="007801C5"/>
    <w:rsid w:val="00780C68"/>
    <w:rsid w:val="007959FE"/>
    <w:rsid w:val="007A0CF1"/>
    <w:rsid w:val="007A2CF2"/>
    <w:rsid w:val="007A478E"/>
    <w:rsid w:val="007B6BA5"/>
    <w:rsid w:val="007C28CD"/>
    <w:rsid w:val="007C3390"/>
    <w:rsid w:val="007C42D8"/>
    <w:rsid w:val="007C4F4B"/>
    <w:rsid w:val="007D23F8"/>
    <w:rsid w:val="007D7362"/>
    <w:rsid w:val="007E035E"/>
    <w:rsid w:val="007F5CE2"/>
    <w:rsid w:val="007F6611"/>
    <w:rsid w:val="007F6671"/>
    <w:rsid w:val="00800522"/>
    <w:rsid w:val="00810BAC"/>
    <w:rsid w:val="008175E9"/>
    <w:rsid w:val="008242D7"/>
    <w:rsid w:val="0082577B"/>
    <w:rsid w:val="008272DD"/>
    <w:rsid w:val="00866893"/>
    <w:rsid w:val="00866F02"/>
    <w:rsid w:val="00867D18"/>
    <w:rsid w:val="00871F9A"/>
    <w:rsid w:val="00871FD5"/>
    <w:rsid w:val="0088172E"/>
    <w:rsid w:val="00881EFA"/>
    <w:rsid w:val="00882187"/>
    <w:rsid w:val="008879CB"/>
    <w:rsid w:val="008979B1"/>
    <w:rsid w:val="008A6B25"/>
    <w:rsid w:val="008A6C4F"/>
    <w:rsid w:val="008A77AE"/>
    <w:rsid w:val="008B389E"/>
    <w:rsid w:val="008D045E"/>
    <w:rsid w:val="008D3F25"/>
    <w:rsid w:val="008D4D82"/>
    <w:rsid w:val="008E0E46"/>
    <w:rsid w:val="008E7116"/>
    <w:rsid w:val="008F143B"/>
    <w:rsid w:val="008F1933"/>
    <w:rsid w:val="008F1BDD"/>
    <w:rsid w:val="008F3882"/>
    <w:rsid w:val="008F4B7C"/>
    <w:rsid w:val="00923015"/>
    <w:rsid w:val="009261DB"/>
    <w:rsid w:val="00926E47"/>
    <w:rsid w:val="00947162"/>
    <w:rsid w:val="009503E7"/>
    <w:rsid w:val="009610D0"/>
    <w:rsid w:val="0096375C"/>
    <w:rsid w:val="009662E6"/>
    <w:rsid w:val="0097095E"/>
    <w:rsid w:val="0098592B"/>
    <w:rsid w:val="00985FC4"/>
    <w:rsid w:val="00990766"/>
    <w:rsid w:val="00991261"/>
    <w:rsid w:val="009964C4"/>
    <w:rsid w:val="009A67B4"/>
    <w:rsid w:val="009A7B81"/>
    <w:rsid w:val="009D01C0"/>
    <w:rsid w:val="009D6A08"/>
    <w:rsid w:val="009E0A16"/>
    <w:rsid w:val="009E6CB7"/>
    <w:rsid w:val="009E7970"/>
    <w:rsid w:val="009F2EAC"/>
    <w:rsid w:val="009F57E3"/>
    <w:rsid w:val="00A10F4F"/>
    <w:rsid w:val="00A11067"/>
    <w:rsid w:val="00A1704A"/>
    <w:rsid w:val="00A425EB"/>
    <w:rsid w:val="00A546C9"/>
    <w:rsid w:val="00A72F22"/>
    <w:rsid w:val="00A733BC"/>
    <w:rsid w:val="00A748A6"/>
    <w:rsid w:val="00A76A69"/>
    <w:rsid w:val="00A84829"/>
    <w:rsid w:val="00A879A4"/>
    <w:rsid w:val="00AA0FF8"/>
    <w:rsid w:val="00AA6CBA"/>
    <w:rsid w:val="00AB28C9"/>
    <w:rsid w:val="00AC0F2C"/>
    <w:rsid w:val="00AC502A"/>
    <w:rsid w:val="00AF1A3F"/>
    <w:rsid w:val="00AF3551"/>
    <w:rsid w:val="00AF58C1"/>
    <w:rsid w:val="00B02FF6"/>
    <w:rsid w:val="00B04A3F"/>
    <w:rsid w:val="00B06643"/>
    <w:rsid w:val="00B10C66"/>
    <w:rsid w:val="00B15055"/>
    <w:rsid w:val="00B20551"/>
    <w:rsid w:val="00B23D55"/>
    <w:rsid w:val="00B30179"/>
    <w:rsid w:val="00B33FC7"/>
    <w:rsid w:val="00B34BE4"/>
    <w:rsid w:val="00B37B15"/>
    <w:rsid w:val="00B45C02"/>
    <w:rsid w:val="00B70B63"/>
    <w:rsid w:val="00B72A1E"/>
    <w:rsid w:val="00B81719"/>
    <w:rsid w:val="00B81E12"/>
    <w:rsid w:val="00B92EAE"/>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549A"/>
    <w:rsid w:val="00C066F3"/>
    <w:rsid w:val="00C408B7"/>
    <w:rsid w:val="00C411EB"/>
    <w:rsid w:val="00C4418C"/>
    <w:rsid w:val="00C463DD"/>
    <w:rsid w:val="00C50DCC"/>
    <w:rsid w:val="00C745C3"/>
    <w:rsid w:val="00C80864"/>
    <w:rsid w:val="00C83523"/>
    <w:rsid w:val="00C91BF8"/>
    <w:rsid w:val="00C978F5"/>
    <w:rsid w:val="00CA24A4"/>
    <w:rsid w:val="00CA6747"/>
    <w:rsid w:val="00CB2C45"/>
    <w:rsid w:val="00CB348D"/>
    <w:rsid w:val="00CB3FC6"/>
    <w:rsid w:val="00CB7BC8"/>
    <w:rsid w:val="00CD46F5"/>
    <w:rsid w:val="00CE4A8F"/>
    <w:rsid w:val="00CE78F6"/>
    <w:rsid w:val="00CF071D"/>
    <w:rsid w:val="00D0123D"/>
    <w:rsid w:val="00D15B04"/>
    <w:rsid w:val="00D2031B"/>
    <w:rsid w:val="00D20A94"/>
    <w:rsid w:val="00D25FE2"/>
    <w:rsid w:val="00D368BE"/>
    <w:rsid w:val="00D37DA9"/>
    <w:rsid w:val="00D406A7"/>
    <w:rsid w:val="00D40765"/>
    <w:rsid w:val="00D43252"/>
    <w:rsid w:val="00D44D86"/>
    <w:rsid w:val="00D50B7D"/>
    <w:rsid w:val="00D52012"/>
    <w:rsid w:val="00D704E5"/>
    <w:rsid w:val="00D72727"/>
    <w:rsid w:val="00D72FE9"/>
    <w:rsid w:val="00D92534"/>
    <w:rsid w:val="00D978C6"/>
    <w:rsid w:val="00DA0956"/>
    <w:rsid w:val="00DA357F"/>
    <w:rsid w:val="00DA3E12"/>
    <w:rsid w:val="00DB6908"/>
    <w:rsid w:val="00DC18AD"/>
    <w:rsid w:val="00DC7D3B"/>
    <w:rsid w:val="00DE521A"/>
    <w:rsid w:val="00DE78BA"/>
    <w:rsid w:val="00DF3960"/>
    <w:rsid w:val="00DF7CAE"/>
    <w:rsid w:val="00E330C3"/>
    <w:rsid w:val="00E423C0"/>
    <w:rsid w:val="00E6414C"/>
    <w:rsid w:val="00E7260F"/>
    <w:rsid w:val="00E8702D"/>
    <w:rsid w:val="00E905F4"/>
    <w:rsid w:val="00E916A9"/>
    <w:rsid w:val="00E916DE"/>
    <w:rsid w:val="00E925AD"/>
    <w:rsid w:val="00E96630"/>
    <w:rsid w:val="00ED18DC"/>
    <w:rsid w:val="00ED6201"/>
    <w:rsid w:val="00ED7A2A"/>
    <w:rsid w:val="00EE0300"/>
    <w:rsid w:val="00EF1D7F"/>
    <w:rsid w:val="00F0137E"/>
    <w:rsid w:val="00F0232A"/>
    <w:rsid w:val="00F13347"/>
    <w:rsid w:val="00F17E5E"/>
    <w:rsid w:val="00F21786"/>
    <w:rsid w:val="00F21860"/>
    <w:rsid w:val="00F36515"/>
    <w:rsid w:val="00F3742B"/>
    <w:rsid w:val="00F41FDB"/>
    <w:rsid w:val="00F50596"/>
    <w:rsid w:val="00F56D63"/>
    <w:rsid w:val="00F609A9"/>
    <w:rsid w:val="00F619BE"/>
    <w:rsid w:val="00F80C99"/>
    <w:rsid w:val="00F867EC"/>
    <w:rsid w:val="00F91B2B"/>
    <w:rsid w:val="00FC03CD"/>
    <w:rsid w:val="00FC0646"/>
    <w:rsid w:val="00FC5927"/>
    <w:rsid w:val="00FC68B7"/>
    <w:rsid w:val="00FE6985"/>
    <w:rsid w:val="00FF2E07"/>
    <w:rsid w:val="00FF711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1BF7E"/>
  <w15:docId w15:val="{115B6171-338F-4E35-A2E8-6917D140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076D2C"/>
    <w:rPr>
      <w:sz w:val="18"/>
      <w:lang w:val="en-GB"/>
    </w:rPr>
  </w:style>
  <w:style w:type="character" w:styleId="CommentReference">
    <w:name w:val="annotation reference"/>
    <w:basedOn w:val="DefaultParagraphFont"/>
    <w:semiHidden/>
    <w:unhideWhenUsed/>
    <w:rsid w:val="0015487C"/>
    <w:rPr>
      <w:sz w:val="16"/>
      <w:szCs w:val="16"/>
    </w:rPr>
  </w:style>
  <w:style w:type="paragraph" w:styleId="CommentText">
    <w:name w:val="annotation text"/>
    <w:basedOn w:val="Normal"/>
    <w:link w:val="CommentTextChar"/>
    <w:unhideWhenUsed/>
    <w:rsid w:val="0015487C"/>
    <w:pPr>
      <w:spacing w:line="240" w:lineRule="auto"/>
    </w:pPr>
  </w:style>
  <w:style w:type="character" w:customStyle="1" w:styleId="CommentTextChar">
    <w:name w:val="Comment Text Char"/>
    <w:basedOn w:val="DefaultParagraphFont"/>
    <w:link w:val="CommentText"/>
    <w:rsid w:val="0015487C"/>
    <w:rPr>
      <w:lang w:val="en-GB"/>
    </w:rPr>
  </w:style>
  <w:style w:type="paragraph" w:styleId="CommentSubject">
    <w:name w:val="annotation subject"/>
    <w:basedOn w:val="CommentText"/>
    <w:next w:val="CommentText"/>
    <w:link w:val="CommentSubjectChar"/>
    <w:semiHidden/>
    <w:unhideWhenUsed/>
    <w:rsid w:val="0015487C"/>
    <w:rPr>
      <w:b/>
      <w:bCs/>
    </w:rPr>
  </w:style>
  <w:style w:type="character" w:customStyle="1" w:styleId="CommentSubjectChar">
    <w:name w:val="Comment Subject Char"/>
    <w:basedOn w:val="CommentTextChar"/>
    <w:link w:val="CommentSubject"/>
    <w:semiHidden/>
    <w:rsid w:val="0015487C"/>
    <w:rPr>
      <w:b/>
      <w:bCs/>
      <w:lang w:val="en-GB"/>
    </w:rPr>
  </w:style>
  <w:style w:type="paragraph" w:styleId="Revision">
    <w:name w:val="Revision"/>
    <w:hidden/>
    <w:uiPriority w:val="99"/>
    <w:semiHidden/>
    <w:rsid w:val="0015487C"/>
    <w:pPr>
      <w:spacing w:line="240" w:lineRule="auto"/>
    </w:pPr>
    <w:rPr>
      <w:lang w:val="en-GB"/>
    </w:rPr>
  </w:style>
  <w:style w:type="paragraph" w:customStyle="1" w:styleId="Default">
    <w:name w:val="Default"/>
    <w:rsid w:val="00DE78BA"/>
    <w:pPr>
      <w:autoSpaceDE w:val="0"/>
      <w:autoSpaceDN w:val="0"/>
      <w:adjustRightInd w:val="0"/>
      <w:spacing w:line="240" w:lineRule="auto"/>
    </w:pPr>
    <w:rPr>
      <w:color w:val="00000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ion\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3.xml><?xml version="1.0" encoding="utf-8"?>
<ds:datastoreItem xmlns:ds="http://schemas.openxmlformats.org/officeDocument/2006/customXml" ds:itemID="{99D1396A-C589-46CF-BA2F-FE174BDBDBFD}"/>
</file>

<file path=customXml/itemProps4.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3</Pages>
  <Words>871</Words>
  <Characters>4919</Characters>
  <Application>Microsoft Office Word</Application>
  <DocSecurity>0</DocSecurity>
  <Lines>96</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ECE/TRANS/WP.15/2023/7</dc:title>
  <dc:subject>2315752</dc:subject>
  <dc:creator>Editorial</dc:creator>
  <cp:keywords/>
  <dc:description/>
  <cp:lastModifiedBy>Ma. Cristina Brigoli</cp:lastModifiedBy>
  <cp:revision>2</cp:revision>
  <cp:lastPrinted>2009-02-18T09:36:00Z</cp:lastPrinted>
  <dcterms:created xsi:type="dcterms:W3CDTF">2023-08-15T11:33:00Z</dcterms:created>
  <dcterms:modified xsi:type="dcterms:W3CDTF">2023-08-15T11:33:00Z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