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345E76C8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21C01B96" w14:textId="77777777" w:rsidR="002D5AAC" w:rsidRDefault="002D5AAC" w:rsidP="00656A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61EF0043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28EA0214" w14:textId="0AEC8D69" w:rsidR="002D5AAC" w:rsidRDefault="00656AA0" w:rsidP="00656AA0">
            <w:pPr>
              <w:jc w:val="right"/>
            </w:pPr>
            <w:r w:rsidRPr="00656AA0">
              <w:rPr>
                <w:sz w:val="40"/>
              </w:rPr>
              <w:t>ECE</w:t>
            </w:r>
            <w:r>
              <w:t>/TRANS/WP.15/2023/5/Rev.1</w:t>
            </w:r>
          </w:p>
        </w:tc>
      </w:tr>
      <w:tr w:rsidR="002D5AAC" w:rsidRPr="009A565D" w14:paraId="1E1C4343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6FFB55E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60723EB0" wp14:editId="19DBC0D4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ADDA167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58C995EE" w14:textId="77777777" w:rsidR="00656AA0" w:rsidRPr="00656AA0" w:rsidRDefault="00656AA0" w:rsidP="00656AA0">
            <w:pPr>
              <w:spacing w:before="240" w:line="240" w:lineRule="exact"/>
              <w:rPr>
                <w:lang w:val="en-US"/>
              </w:rPr>
            </w:pPr>
            <w:r w:rsidRPr="00656AA0">
              <w:rPr>
                <w:lang w:val="en-US"/>
              </w:rPr>
              <w:t>Distr.: General</w:t>
            </w:r>
          </w:p>
          <w:p w14:paraId="4889C2D2" w14:textId="77777777" w:rsidR="00656AA0" w:rsidRPr="00656AA0" w:rsidRDefault="00656AA0" w:rsidP="00656AA0">
            <w:pPr>
              <w:spacing w:line="240" w:lineRule="exact"/>
              <w:rPr>
                <w:lang w:val="en-US"/>
              </w:rPr>
            </w:pPr>
            <w:r w:rsidRPr="00656AA0">
              <w:rPr>
                <w:lang w:val="en-US"/>
              </w:rPr>
              <w:t>15 August 2023</w:t>
            </w:r>
          </w:p>
          <w:p w14:paraId="6803D9B0" w14:textId="08340544" w:rsidR="00656AA0" w:rsidRPr="00656AA0" w:rsidRDefault="00656AA0" w:rsidP="00656AA0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6385C67B" w14:textId="76C32840" w:rsidR="00656AA0" w:rsidRPr="00656AA0" w:rsidRDefault="00656AA0" w:rsidP="00656AA0">
            <w:pPr>
              <w:spacing w:line="240" w:lineRule="exact"/>
              <w:rPr>
                <w:lang w:val="en-US"/>
              </w:rPr>
            </w:pPr>
            <w:r w:rsidRPr="00656AA0">
              <w:rPr>
                <w:lang w:val="en-US"/>
              </w:rPr>
              <w:t>Original: English</w:t>
            </w:r>
          </w:p>
        </w:tc>
      </w:tr>
    </w:tbl>
    <w:p w14:paraId="3D4D2E5E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545983C4" w14:textId="77777777" w:rsidR="006E3D07" w:rsidRPr="00D77807" w:rsidRDefault="006E3D07" w:rsidP="006E3D07">
      <w:pPr>
        <w:spacing w:before="120"/>
        <w:rPr>
          <w:sz w:val="28"/>
          <w:szCs w:val="28"/>
        </w:rPr>
      </w:pPr>
      <w:r w:rsidRPr="00D77807">
        <w:rPr>
          <w:sz w:val="28"/>
          <w:szCs w:val="28"/>
        </w:rPr>
        <w:t>Комитет по внутреннему транспорту</w:t>
      </w:r>
    </w:p>
    <w:p w14:paraId="0920E3D4" w14:textId="77777777" w:rsidR="006E3D07" w:rsidRPr="00D77807" w:rsidRDefault="006E3D07" w:rsidP="006E3D07">
      <w:pPr>
        <w:spacing w:before="120"/>
        <w:rPr>
          <w:b/>
          <w:sz w:val="24"/>
          <w:szCs w:val="24"/>
        </w:rPr>
      </w:pPr>
      <w:r w:rsidRPr="00D77807">
        <w:rPr>
          <w:b/>
          <w:bCs/>
          <w:sz w:val="24"/>
          <w:szCs w:val="24"/>
        </w:rPr>
        <w:t>Рабочая группа по перевозкам опасных грузов</w:t>
      </w:r>
    </w:p>
    <w:p w14:paraId="4DD0E586" w14:textId="77777777" w:rsidR="006E3D07" w:rsidRPr="00D77807" w:rsidRDefault="006E3D07" w:rsidP="006E3D07">
      <w:pPr>
        <w:spacing w:before="120"/>
        <w:rPr>
          <w:rFonts w:eastAsia="SimSun"/>
          <w:b/>
        </w:rPr>
      </w:pPr>
      <w:r w:rsidRPr="00D77807">
        <w:rPr>
          <w:b/>
          <w:bCs/>
        </w:rPr>
        <w:t>Сто четырнадцатая сессия</w:t>
      </w:r>
      <w:r w:rsidRPr="00D77807">
        <w:t xml:space="preserve"> </w:t>
      </w:r>
    </w:p>
    <w:p w14:paraId="620237A5" w14:textId="77777777" w:rsidR="006E3D07" w:rsidRPr="00D77807" w:rsidRDefault="006E3D07" w:rsidP="006E3D07">
      <w:pPr>
        <w:rPr>
          <w:rFonts w:eastAsia="SimSun"/>
        </w:rPr>
      </w:pPr>
      <w:r w:rsidRPr="00D77807">
        <w:t>Женева, 6–10 ноября 2023 года</w:t>
      </w:r>
    </w:p>
    <w:p w14:paraId="0A1D9959" w14:textId="77777777" w:rsidR="006E3D07" w:rsidRPr="00D77807" w:rsidRDefault="006E3D07" w:rsidP="006E3D07">
      <w:pPr>
        <w:autoSpaceDE w:val="0"/>
        <w:autoSpaceDN w:val="0"/>
        <w:adjustRightInd w:val="0"/>
      </w:pPr>
      <w:r w:rsidRPr="00D77807">
        <w:t>Пункт 6 предварительной повестки дня</w:t>
      </w:r>
    </w:p>
    <w:p w14:paraId="2C90AE18" w14:textId="77777777" w:rsidR="006E3D07" w:rsidRPr="00D77807" w:rsidRDefault="006E3D07" w:rsidP="006E3D07">
      <w:pPr>
        <w:rPr>
          <w:b/>
          <w:bCs/>
          <w:szCs w:val="24"/>
        </w:rPr>
      </w:pPr>
      <w:r w:rsidRPr="00D77807">
        <w:rPr>
          <w:b/>
          <w:bCs/>
        </w:rPr>
        <w:t>Толкование ДОПОГ</w:t>
      </w:r>
    </w:p>
    <w:p w14:paraId="4573A27D" w14:textId="77777777" w:rsidR="006E3D07" w:rsidRPr="00D77807" w:rsidRDefault="006E3D07" w:rsidP="006E3D07">
      <w:pPr>
        <w:keepNext/>
        <w:keepLines/>
        <w:tabs>
          <w:tab w:val="right" w:pos="851"/>
        </w:tabs>
        <w:spacing w:before="300" w:after="200" w:line="280" w:lineRule="exact"/>
        <w:ind w:left="1134" w:right="1134" w:hanging="1134"/>
        <w:rPr>
          <w:b/>
          <w:sz w:val="28"/>
          <w:szCs w:val="28"/>
        </w:rPr>
      </w:pPr>
      <w:r w:rsidRPr="00D77807">
        <w:tab/>
      </w:r>
      <w:r w:rsidRPr="00D77807">
        <w:rPr>
          <w:sz w:val="28"/>
          <w:szCs w:val="28"/>
        </w:rPr>
        <w:tab/>
      </w:r>
      <w:r w:rsidRPr="00D77807">
        <w:rPr>
          <w:b/>
          <w:bCs/>
          <w:sz w:val="28"/>
          <w:szCs w:val="28"/>
        </w:rPr>
        <w:t>Сфера применения ДОПОГ</w:t>
      </w:r>
    </w:p>
    <w:p w14:paraId="002D721A" w14:textId="77777777" w:rsidR="006E3D07" w:rsidRPr="00D77807" w:rsidRDefault="006E3D07" w:rsidP="006E3D07">
      <w:pPr>
        <w:keepNext/>
        <w:keepLines/>
        <w:tabs>
          <w:tab w:val="right" w:pos="851"/>
        </w:tabs>
        <w:spacing w:before="300" w:after="200" w:line="260" w:lineRule="exact"/>
        <w:ind w:left="1134" w:right="1134" w:hanging="1134"/>
        <w:rPr>
          <w:bCs/>
          <w:szCs w:val="20"/>
          <w:lang w:eastAsia="ru-RU"/>
        </w:rPr>
      </w:pPr>
      <w:r w:rsidRPr="00D77807">
        <w:tab/>
      </w:r>
      <w:r w:rsidRPr="00D77807">
        <w:rPr>
          <w:sz w:val="24"/>
          <w:szCs w:val="24"/>
        </w:rPr>
        <w:tab/>
      </w:r>
      <w:r w:rsidRPr="00D77807">
        <w:rPr>
          <w:b/>
          <w:bCs/>
          <w:sz w:val="24"/>
          <w:szCs w:val="24"/>
        </w:rPr>
        <w:t>Записка секретариата</w:t>
      </w:r>
      <w:r w:rsidRPr="00D77807">
        <w:rPr>
          <w:rStyle w:val="aa"/>
          <w:bCs/>
          <w:sz w:val="20"/>
          <w:szCs w:val="20"/>
          <w:vertAlign w:val="baseline"/>
          <w:lang w:eastAsia="ru-RU"/>
        </w:rPr>
        <w:footnoteReference w:customMarkFollows="1" w:id="1"/>
        <w:t>*</w:t>
      </w:r>
    </w:p>
    <w:p w14:paraId="6A7EF701" w14:textId="77777777" w:rsidR="006E3D07" w:rsidRPr="00D77807" w:rsidRDefault="006E3D07" w:rsidP="006E3D07">
      <w:pPr>
        <w:keepNext/>
        <w:keepLines/>
        <w:tabs>
          <w:tab w:val="right" w:pos="851"/>
        </w:tabs>
        <w:spacing w:before="300" w:after="200" w:line="260" w:lineRule="exact"/>
        <w:ind w:left="1134" w:right="1134" w:hanging="1134"/>
        <w:rPr>
          <w:rFonts w:eastAsiaTheme="minorEastAsia"/>
          <w:bCs/>
          <w:szCs w:val="20"/>
          <w:lang w:eastAsia="zh-CN" w:bidi="ar-TN"/>
        </w:rPr>
      </w:pPr>
      <w:r w:rsidRPr="00D77807">
        <w:rPr>
          <w:b/>
          <w:bCs/>
          <w:sz w:val="24"/>
          <w:szCs w:val="24"/>
        </w:rPr>
        <w:tab/>
      </w:r>
      <w:r w:rsidRPr="00D77807">
        <w:rPr>
          <w:b/>
          <w:bCs/>
          <w:sz w:val="24"/>
          <w:szCs w:val="24"/>
        </w:rPr>
        <w:tab/>
      </w:r>
      <w:r w:rsidRPr="00D77807">
        <w:rPr>
          <w:rFonts w:eastAsiaTheme="minorEastAsia"/>
          <w:b/>
          <w:bCs/>
          <w:sz w:val="24"/>
          <w:szCs w:val="24"/>
          <w:lang w:eastAsia="zh-CN" w:bidi="ar-TN"/>
        </w:rPr>
        <w:t>Пересмотр</w:t>
      </w:r>
    </w:p>
    <w:tbl>
      <w:tblPr>
        <w:tblStyle w:val="ac"/>
        <w:tblW w:w="0" w:type="auto"/>
        <w:jc w:val="center"/>
        <w:tblLook w:val="05E0" w:firstRow="1" w:lastRow="1" w:firstColumn="1" w:lastColumn="1" w:noHBand="0" w:noVBand="1"/>
      </w:tblPr>
      <w:tblGrid>
        <w:gridCol w:w="9628"/>
      </w:tblGrid>
      <w:tr w:rsidR="006E3D07" w:rsidRPr="00D77807" w14:paraId="050E5DF2" w14:textId="77777777" w:rsidTr="00BA0DB6">
        <w:trPr>
          <w:jc w:val="center"/>
        </w:trPr>
        <w:tc>
          <w:tcPr>
            <w:tcW w:w="9637" w:type="dxa"/>
            <w:tcBorders>
              <w:bottom w:val="nil"/>
            </w:tcBorders>
          </w:tcPr>
          <w:p w14:paraId="23D6DDF9" w14:textId="77777777" w:rsidR="006E3D07" w:rsidRPr="00D77807" w:rsidRDefault="006E3D07" w:rsidP="00BA0DB6">
            <w:pPr>
              <w:tabs>
                <w:tab w:val="left" w:pos="255"/>
              </w:tabs>
              <w:spacing w:before="240" w:after="120"/>
              <w:rPr>
                <w:rFonts w:cs="Times New Roman"/>
                <w:sz w:val="24"/>
              </w:rPr>
            </w:pPr>
            <w:r w:rsidRPr="00D77807">
              <w:rPr>
                <w:rFonts w:cs="Times New Roman"/>
              </w:rPr>
              <w:tab/>
            </w:r>
            <w:r w:rsidRPr="00D77807">
              <w:rPr>
                <w:rFonts w:cs="Times New Roman"/>
                <w:i/>
                <w:sz w:val="24"/>
              </w:rPr>
              <w:t>Резюме</w:t>
            </w:r>
          </w:p>
        </w:tc>
      </w:tr>
      <w:tr w:rsidR="006E3D07" w:rsidRPr="00D77807" w14:paraId="369C4CB5" w14:textId="77777777" w:rsidTr="00BA0DB6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14:paraId="1336C124" w14:textId="77777777" w:rsidR="006E3D07" w:rsidRPr="00A36BD6" w:rsidRDefault="006E3D07" w:rsidP="00BA0DB6">
            <w:pPr>
              <w:pStyle w:val="SingleTxtG"/>
              <w:spacing w:after="100" w:line="238" w:lineRule="atLeast"/>
              <w:ind w:firstLine="567"/>
            </w:pPr>
            <w:r w:rsidRPr="00A36BD6">
              <w:t>На своей сто двенадцатой сессии Рабочая группа по перевозкам опасных грузов рассмотрела вопрос о том, входят ли двух- и трехколесные транспортные средства в сферу применения ДОПОГ или нет.</w:t>
            </w:r>
          </w:p>
        </w:tc>
      </w:tr>
      <w:tr w:rsidR="006E3D07" w:rsidRPr="00D77807" w14:paraId="5FF43F94" w14:textId="77777777" w:rsidTr="00BA0DB6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14:paraId="2537924C" w14:textId="02815FA2" w:rsidR="006E3D07" w:rsidRPr="00A36BD6" w:rsidRDefault="006E3D07" w:rsidP="00BA0DB6">
            <w:pPr>
              <w:pStyle w:val="SingleTxtG"/>
              <w:spacing w:after="100" w:line="238" w:lineRule="atLeast"/>
              <w:ind w:firstLine="567"/>
            </w:pPr>
            <w:r w:rsidRPr="00A36BD6">
              <w:t xml:space="preserve">Рабочая группа согласилась с необходимостью дальнейшего обсуждения этого вопроса и сочла, что особое внимание следует уделить другим нормативно-правовым документам, таким как Венская конвенция о праве международных договоров </w:t>
            </w:r>
            <w:r w:rsidRPr="00A36BD6">
              <w:br/>
              <w:t>1968 года.</w:t>
            </w:r>
          </w:p>
        </w:tc>
      </w:tr>
      <w:tr w:rsidR="006E3D07" w:rsidRPr="00D77807" w14:paraId="7B40938D" w14:textId="77777777" w:rsidTr="00BA0DB6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14:paraId="38380607" w14:textId="77777777" w:rsidR="006E3D07" w:rsidRPr="00A36BD6" w:rsidRDefault="006E3D07" w:rsidP="00BA0DB6">
            <w:pPr>
              <w:pStyle w:val="SingleTxtG"/>
              <w:spacing w:after="100" w:line="238" w:lineRule="atLeast"/>
              <w:ind w:firstLine="567"/>
            </w:pPr>
            <w:r w:rsidRPr="00A36BD6">
              <w:t>С учетом дальнейшего обсуждения секретариат подготовил настоящий документ после консультаций с Управлением по правовым вопросам Организации Объединенных Наций.</w:t>
            </w:r>
          </w:p>
          <w:p w14:paraId="584C1EA5" w14:textId="77777777" w:rsidR="006E3D07" w:rsidRPr="00A36BD6" w:rsidRDefault="006E3D07" w:rsidP="00BA0DB6">
            <w:pPr>
              <w:pStyle w:val="SingleTxtG"/>
              <w:spacing w:after="100" w:line="238" w:lineRule="atLeast"/>
              <w:ind w:firstLine="567"/>
            </w:pPr>
            <w:r w:rsidRPr="00A36BD6">
              <w:rPr>
                <w:shd w:val="clear" w:color="auto" w:fill="FFFFFF"/>
              </w:rPr>
              <w:t>В данном пересмотренном варианте изменено название раздела III.B и текст пункта 13 для включения ссылки на велосипеды со вспомогательным двигателем с максимальным объемом цилиндров 50 см³.</w:t>
            </w:r>
          </w:p>
        </w:tc>
      </w:tr>
      <w:tr w:rsidR="006E3D07" w:rsidRPr="00D77807" w14:paraId="28331D72" w14:textId="77777777" w:rsidTr="00BA0DB6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14:paraId="776992D6" w14:textId="77777777" w:rsidR="006E3D07" w:rsidRPr="00A36BD6" w:rsidRDefault="006E3D07" w:rsidP="00BA0DB6">
            <w:pPr>
              <w:pStyle w:val="SingleTxtG"/>
              <w:spacing w:after="100" w:line="238" w:lineRule="atLeast"/>
              <w:ind w:firstLine="567"/>
            </w:pPr>
            <w:r w:rsidRPr="00A36BD6">
              <w:t xml:space="preserve">Рабочей группе предлагается проанализировать данную информацию с учетом дополнительных подробностей об осуществлении, которые будут представлены участниками, и принять решение о возможных дальнейших мерах по обеспечению безопасной перевозки опасных грузов с помощью </w:t>
            </w:r>
            <w:proofErr w:type="spellStart"/>
            <w:r w:rsidRPr="00A36BD6">
              <w:t>микромобильных</w:t>
            </w:r>
            <w:proofErr w:type="spellEnd"/>
            <w:r w:rsidRPr="00A36BD6">
              <w:t xml:space="preserve"> транспортных средств и велосипедов.</w:t>
            </w:r>
          </w:p>
        </w:tc>
      </w:tr>
      <w:tr w:rsidR="006E3D07" w:rsidRPr="00D77807" w14:paraId="52A84D91" w14:textId="77777777" w:rsidTr="00BA0DB6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14:paraId="4BFD6213" w14:textId="77777777" w:rsidR="006E3D07" w:rsidRPr="00A36BD6" w:rsidRDefault="006E3D07" w:rsidP="00BA0DB6">
            <w:pPr>
              <w:pStyle w:val="SingleTxtG"/>
              <w:spacing w:after="0" w:line="238" w:lineRule="atLeast"/>
              <w:ind w:firstLine="567"/>
            </w:pPr>
            <w:r w:rsidRPr="00A36BD6">
              <w:rPr>
                <w:i/>
                <w:iCs/>
              </w:rPr>
              <w:t>Цели в области устойчивого развития (ЦУР):</w:t>
            </w:r>
            <w:r w:rsidRPr="00A36BD6">
              <w:t xml:space="preserve"> уточнение существующих положений и установление новых положений в целях обеспечения безопасной и надежной перевозки опасных грузов с помощью </w:t>
            </w:r>
            <w:proofErr w:type="spellStart"/>
            <w:r w:rsidRPr="00A36BD6">
              <w:t>микромобильных</w:t>
            </w:r>
            <w:proofErr w:type="spellEnd"/>
            <w:r w:rsidRPr="00A36BD6">
              <w:t xml:space="preserve"> транспортных средств и велосипедов будут способствовать достижению ЦУР 3 (Обеспечение здорового образа жизни и содействие благополучию для всех в любом возрасте), 11</w:t>
            </w:r>
            <w:r w:rsidRPr="00A36BD6">
              <w:rPr>
                <w:lang w:val="en-US"/>
              </w:rPr>
              <w:t> </w:t>
            </w:r>
            <w:r w:rsidRPr="00A36BD6">
              <w:t xml:space="preserve">(Обеспечение открытости, безопасности, жизнестойкости и экологической </w:t>
            </w:r>
            <w:r w:rsidRPr="00A36BD6">
              <w:lastRenderedPageBreak/>
              <w:t xml:space="preserve">устойчивости городов и населенных пунктов) и 13 (Принятие срочных мер по борьбе с изменением климата и его последствиями) путем определения способов снижения загрязнения воздуха и заторов в городах и обеспечения безопасного перемещения опасных грузов и возможности выбора моделей </w:t>
            </w:r>
            <w:proofErr w:type="spellStart"/>
            <w:r w:rsidRPr="00A36BD6">
              <w:t>микромобильности</w:t>
            </w:r>
            <w:proofErr w:type="spellEnd"/>
            <w:r w:rsidRPr="00A36BD6">
              <w:t xml:space="preserve"> для доставки опасных грузов в городах.</w:t>
            </w:r>
          </w:p>
        </w:tc>
      </w:tr>
      <w:tr w:rsidR="006E3D07" w:rsidRPr="00D77807" w14:paraId="3169A0DA" w14:textId="77777777" w:rsidTr="00BA0DB6">
        <w:trPr>
          <w:jc w:val="center"/>
        </w:trPr>
        <w:tc>
          <w:tcPr>
            <w:tcW w:w="9637" w:type="dxa"/>
            <w:tcBorders>
              <w:top w:val="nil"/>
              <w:bottom w:val="single" w:sz="4" w:space="0" w:color="auto"/>
            </w:tcBorders>
          </w:tcPr>
          <w:p w14:paraId="1DB48546" w14:textId="77777777" w:rsidR="006E3D07" w:rsidRPr="00D77807" w:rsidRDefault="006E3D07" w:rsidP="00BA0DB6">
            <w:pPr>
              <w:spacing w:line="220" w:lineRule="exact"/>
              <w:rPr>
                <w:rFonts w:cs="Times New Roman"/>
              </w:rPr>
            </w:pPr>
          </w:p>
        </w:tc>
      </w:tr>
    </w:tbl>
    <w:p w14:paraId="3C4C9D8B" w14:textId="77777777" w:rsidR="006E3D07" w:rsidRPr="00D77807" w:rsidRDefault="006E3D07" w:rsidP="006E3D07">
      <w:pPr>
        <w:pStyle w:val="HChG"/>
      </w:pPr>
      <w:r w:rsidRPr="00D77807">
        <w:rPr>
          <w:bCs/>
        </w:rPr>
        <w:tab/>
        <w:t>I.</w:t>
      </w:r>
      <w:r w:rsidRPr="00D77807">
        <w:tab/>
      </w:r>
      <w:r w:rsidRPr="00D77807">
        <w:rPr>
          <w:bCs/>
        </w:rPr>
        <w:t>Введение</w:t>
      </w:r>
    </w:p>
    <w:p w14:paraId="6244A8DF" w14:textId="77777777" w:rsidR="006E3D07" w:rsidRPr="00D77807" w:rsidRDefault="006E3D07" w:rsidP="006E3D07">
      <w:pPr>
        <w:pStyle w:val="SingleTxtG"/>
      </w:pPr>
      <w:r w:rsidRPr="00D77807">
        <w:t>1.</w:t>
      </w:r>
      <w:r w:rsidRPr="00D77807">
        <w:tab/>
        <w:t>На своей последней сессии Рабочая группа по перевозкам опасных грузов рассмотрела вопрос о том, входят ли двух- и трехколесные транспортные средства в сферу применения ДОПОГ или нет. Некоторые компании по доставке начали использовать такие транспортные средства, особенно в городах. Хотя в основном речь идет о местной проблеме, она может затрагивать и международные перевозки, например при доставке в приграничные населенные пункты.</w:t>
      </w:r>
    </w:p>
    <w:p w14:paraId="7F0F68DF" w14:textId="3407E577" w:rsidR="006E3D07" w:rsidRPr="00D77807" w:rsidRDefault="006E3D07" w:rsidP="006E3D07">
      <w:pPr>
        <w:pStyle w:val="SingleTxtG"/>
      </w:pPr>
      <w:r w:rsidRPr="00D77807">
        <w:t>2.</w:t>
      </w:r>
      <w:r w:rsidRPr="00D77807">
        <w:tab/>
        <w:t>Рабочая группа согласилась с необходимостью дальнейшего обсуждения этого вопроса и сочла, что особое внимание следует уделить другим нормативно-правовым</w:t>
      </w:r>
      <w:r>
        <w:t xml:space="preserve"> </w:t>
      </w:r>
      <w:r w:rsidRPr="00D77807">
        <w:t xml:space="preserve">документам, таким как Венская конвенция о праве международных договоров </w:t>
      </w:r>
      <w:r>
        <w:br/>
      </w:r>
      <w:r w:rsidRPr="00D77807">
        <w:t>1968 года. Она просила секретариат подготовить официальный документ для сто тринадцатой сессии, а до этого проконсультироваться с Управлением по правовым вопросам Организации Объединенных Наций.</w:t>
      </w:r>
    </w:p>
    <w:p w14:paraId="0D372881" w14:textId="77777777" w:rsidR="006E3D07" w:rsidRPr="00D77807" w:rsidRDefault="006E3D07" w:rsidP="006E3D07">
      <w:pPr>
        <w:pStyle w:val="SingleTxtG"/>
      </w:pPr>
      <w:r w:rsidRPr="00D77807">
        <w:t>3.</w:t>
      </w:r>
      <w:r w:rsidRPr="00D77807">
        <w:tab/>
        <w:t>Договорная секция Управления по правовым вопросам Организации Объединенных Наций пояснила, что она не уполномочена предоставлять юридические консультации Рабочей группе и что депозитарий не участвует в решении субстантивных вопросов осуществления соглашений, в отношении которых он выступает в качестве депозитария, таких как ДОПОГ. ДОПОГ не имеет общего органа по обеспечению соблюдения, и ответственность за его надлежащее применение несут национальные компетентные органы.</w:t>
      </w:r>
    </w:p>
    <w:p w14:paraId="18198926" w14:textId="77777777" w:rsidR="006E3D07" w:rsidRPr="00D77807" w:rsidRDefault="006E3D07" w:rsidP="006E3D07">
      <w:pPr>
        <w:pStyle w:val="SingleTxtG"/>
      </w:pPr>
      <w:r w:rsidRPr="00D77807">
        <w:t>4.</w:t>
      </w:r>
      <w:r w:rsidRPr="00D77807">
        <w:tab/>
        <w:t>Она предоставила консультации с точки зрения депозитария по поводу применения норм права международных договоров в отношении возможного расширения сферы применения ДОПОГ путем принятия нового протокола о внесении поправок (см. раздел VI).</w:t>
      </w:r>
    </w:p>
    <w:p w14:paraId="26AF37B2" w14:textId="77777777" w:rsidR="006E3D07" w:rsidRPr="00D77807" w:rsidRDefault="006E3D07" w:rsidP="006E3D07">
      <w:pPr>
        <w:pStyle w:val="HChG"/>
      </w:pPr>
      <w:r w:rsidRPr="00D77807">
        <w:rPr>
          <w:bCs/>
        </w:rPr>
        <w:tab/>
        <w:t>II.</w:t>
      </w:r>
      <w:r w:rsidRPr="00D77807">
        <w:tab/>
      </w:r>
      <w:r w:rsidRPr="00D77807">
        <w:rPr>
          <w:bCs/>
        </w:rPr>
        <w:t>Справочная информация</w:t>
      </w:r>
    </w:p>
    <w:p w14:paraId="2AF866AE" w14:textId="77777777" w:rsidR="006E3D07" w:rsidRPr="00D77807" w:rsidRDefault="006E3D07" w:rsidP="006E3D07">
      <w:pPr>
        <w:pStyle w:val="SingleTxtG"/>
      </w:pPr>
      <w:r w:rsidRPr="00D77807">
        <w:t>5.</w:t>
      </w:r>
      <w:r w:rsidRPr="00D77807">
        <w:tab/>
        <w:t>Статья 1 ДОПОГ гласит следующее:</w:t>
      </w:r>
    </w:p>
    <w:p w14:paraId="1687F1D6" w14:textId="77777777" w:rsidR="006E3D07" w:rsidRPr="00D77807" w:rsidRDefault="006E3D07" w:rsidP="006E3D07">
      <w:pPr>
        <w:pStyle w:val="SingleTxtG"/>
        <w:ind w:left="1701"/>
      </w:pPr>
      <w:r w:rsidRPr="00D77807">
        <w:t>«Для целей настоящего Соглашения:</w:t>
      </w:r>
    </w:p>
    <w:p w14:paraId="7855634C" w14:textId="77777777" w:rsidR="006E3D07" w:rsidRPr="00D77807" w:rsidRDefault="006E3D07" w:rsidP="006E3D07">
      <w:pPr>
        <w:pStyle w:val="SingleTxtG"/>
        <w:ind w:left="2268" w:hanging="567"/>
      </w:pPr>
      <w:r w:rsidRPr="00D77807">
        <w:t>a)</w:t>
      </w:r>
      <w:r w:rsidRPr="00D77807">
        <w:tab/>
        <w:t xml:space="preserve">термин “транспортные средства” означает автомобили, тягачи с полуприцепами, прицепы и полуприцепы, соответствующие определениям, приведенным в статье 4 Конвенции о дорожном движении от 19 сентября 1949 года, за исключением транспортных средств, принадлежащих вооруженным силам одной из Договаривающихся сторон или находящихся в ведении этих вооруженных сил; </w:t>
      </w:r>
    </w:p>
    <w:p w14:paraId="7ECF6287" w14:textId="77777777" w:rsidR="006E3D07" w:rsidRPr="00D77807" w:rsidRDefault="006E3D07" w:rsidP="006E3D07">
      <w:pPr>
        <w:pStyle w:val="SingleTxtG"/>
        <w:ind w:left="2268" w:hanging="567"/>
      </w:pPr>
      <w:r w:rsidRPr="00D77807">
        <w:t>b)</w:t>
      </w:r>
      <w:r w:rsidRPr="00D77807">
        <w:tab/>
        <w:t>термин “опасные грузы” означает вещества и изделия, которые не допускаются к международной дорожной перевозке согласно положениям приложений A и B или допускаются к ней с соблюдением определенных условий;</w:t>
      </w:r>
    </w:p>
    <w:p w14:paraId="7503C210" w14:textId="2DFAD535" w:rsidR="006E3D07" w:rsidRPr="00D77807" w:rsidRDefault="006E3D07" w:rsidP="006E3D07">
      <w:pPr>
        <w:pStyle w:val="SingleTxtG"/>
        <w:ind w:left="2268" w:hanging="567"/>
      </w:pPr>
      <w:r w:rsidRPr="00D77807">
        <w:t>c)</w:t>
      </w:r>
      <w:r w:rsidRPr="00D77807">
        <w:tab/>
        <w:t>термин “международная перевозка” означает всякую перевозку, производимую через территорию по крайней мере двух Договаривающихся сторон при помощи транспортных средств, определенных выше, в пункте a)».</w:t>
      </w:r>
    </w:p>
    <w:p w14:paraId="2C38C4BE" w14:textId="77777777" w:rsidR="006E3D07" w:rsidRPr="00D77807" w:rsidRDefault="006E3D07" w:rsidP="006E3D07">
      <w:pPr>
        <w:pStyle w:val="SingleTxtG"/>
      </w:pPr>
      <w:r w:rsidRPr="00D77807">
        <w:t>6.</w:t>
      </w:r>
      <w:r w:rsidRPr="00D77807">
        <w:tab/>
        <w:t>В статье 4 Конвенции о дорожном движении от 19 сентября 1949 года содержатся следующие определения:</w:t>
      </w:r>
    </w:p>
    <w:p w14:paraId="18E07A47" w14:textId="776F9CAD" w:rsidR="006E3D07" w:rsidRPr="00D77807" w:rsidRDefault="006E3D07" w:rsidP="006E3D07">
      <w:pPr>
        <w:pStyle w:val="SingleTxtG"/>
        <w:ind w:left="1701"/>
      </w:pPr>
      <w:r w:rsidRPr="00D77807">
        <w:lastRenderedPageBreak/>
        <w:t xml:space="preserve">термин </w:t>
      </w:r>
      <w:r>
        <w:t>«</w:t>
      </w:r>
      <w:r w:rsidRPr="00D77807">
        <w:t>автомобиль</w:t>
      </w:r>
      <w:r>
        <w:t>»</w:t>
      </w:r>
      <w:r w:rsidRPr="00D77807">
        <w:t xml:space="preserve"> означает всякое, снабженное двигателем, транспортное средство, предназначенное для движения по дорогам (но не по рельсам), </w:t>
      </w:r>
      <w:r>
        <w:br/>
      </w:r>
      <w:r w:rsidRPr="00D77807">
        <w:t>не связанное с электрическим проводом и предназначенное обычно для перевозки людей или грузов. В государствах, для которых приложение 1 имеет обязательную силу, велосипеды со вспомогательным двигателем, отвечающие условиям, указанным в этом приложении, будут считаться не подпадающими под это определение;</w:t>
      </w:r>
    </w:p>
    <w:p w14:paraId="76BFB3AE" w14:textId="5629D0D5" w:rsidR="006E3D07" w:rsidRPr="00D77807" w:rsidRDefault="006E3D07" w:rsidP="006E3D07">
      <w:pPr>
        <w:pStyle w:val="SingleTxtG"/>
        <w:ind w:left="1701"/>
      </w:pPr>
      <w:r w:rsidRPr="00D77807">
        <w:t xml:space="preserve">термин </w:t>
      </w:r>
      <w:r>
        <w:t>«</w:t>
      </w:r>
      <w:r w:rsidRPr="00D77807">
        <w:t>автомобиль с полуприцепом</w:t>
      </w:r>
      <w:r>
        <w:t>»</w:t>
      </w:r>
      <w:r w:rsidRPr="00D77807">
        <w:t xml:space="preserve"> означает любой автомобиль с приданным к нему прицепом без передней оси, сцепленные так, что передняя часть прицепа находится на тягаче и что значительная часть веса прицепа и его груза приходится на тягач. Такой прицеп называется полуприцепом; </w:t>
      </w:r>
    </w:p>
    <w:p w14:paraId="335D1BC3" w14:textId="21ACE300" w:rsidR="006E3D07" w:rsidRPr="00D77807" w:rsidRDefault="006E3D07" w:rsidP="006E3D07">
      <w:pPr>
        <w:pStyle w:val="SingleTxtG"/>
        <w:ind w:left="1701"/>
      </w:pPr>
      <w:r w:rsidRPr="00D77807">
        <w:t xml:space="preserve">термин </w:t>
      </w:r>
      <w:r>
        <w:t>«</w:t>
      </w:r>
      <w:r w:rsidRPr="00D77807">
        <w:t>прицеп</w:t>
      </w:r>
      <w:r>
        <w:t>»</w:t>
      </w:r>
      <w:r w:rsidRPr="00D77807">
        <w:t xml:space="preserve"> означает всякое транспортное средство, буксируемое автомобилем;</w:t>
      </w:r>
    </w:p>
    <w:p w14:paraId="15FEE3EE" w14:textId="0701F1D8" w:rsidR="006E3D07" w:rsidRPr="00D77807" w:rsidRDefault="006E3D07" w:rsidP="006E3D07">
      <w:pPr>
        <w:pStyle w:val="SingleTxtG"/>
        <w:ind w:left="1701"/>
      </w:pPr>
      <w:r w:rsidRPr="00D77807">
        <w:t xml:space="preserve">термин </w:t>
      </w:r>
      <w:r>
        <w:t>«</w:t>
      </w:r>
      <w:r w:rsidRPr="00D77807">
        <w:t>велосипед</w:t>
      </w:r>
      <w:r>
        <w:t>»</w:t>
      </w:r>
      <w:r w:rsidRPr="00D77807">
        <w:t xml:space="preserve"> означает всякий велосипед, не снабженный двигателем. </w:t>
      </w:r>
      <w:r>
        <w:br/>
      </w:r>
      <w:r w:rsidRPr="00D77807">
        <w:t>В государствах, для которых приложение 1 имеет обязательную силу, это определение распространяется на велосипеды, снабженные вспомогательным двигателем и отвечающие условиям, указанным в этом приложении.</w:t>
      </w:r>
    </w:p>
    <w:p w14:paraId="6E7ADE00" w14:textId="70A7AFE1" w:rsidR="006E3D07" w:rsidRPr="00D77807" w:rsidRDefault="006E3D07" w:rsidP="006E3D07">
      <w:pPr>
        <w:pStyle w:val="SingleTxtG"/>
      </w:pPr>
      <w:r w:rsidRPr="00D77807">
        <w:t>7.</w:t>
      </w:r>
      <w:r w:rsidRPr="00D77807">
        <w:tab/>
        <w:t xml:space="preserve">Приложение 1 к Конвенции о дорожном движении гласит следующее: «Велосипеды, снабженные вспомогательным двигателем внутреннего сгорания, </w:t>
      </w:r>
      <w:r>
        <w:br/>
      </w:r>
      <w:r w:rsidRPr="00D77807">
        <w:t>с объемом цилиндров, не превышающим 50 см</w:t>
      </w:r>
      <w:r w:rsidRPr="00D77807">
        <w:rPr>
          <w:vertAlign w:val="superscript"/>
        </w:rPr>
        <w:t>3</w:t>
      </w:r>
      <w:r w:rsidRPr="00D77807">
        <w:t>, не считаются автомобилями, если по своей конструкции они обладают обычными свойствами велосипедов».</w:t>
      </w:r>
    </w:p>
    <w:p w14:paraId="7AA39D35" w14:textId="77777777" w:rsidR="006E3D07" w:rsidRPr="00D77807" w:rsidRDefault="006E3D07" w:rsidP="006E3D07">
      <w:pPr>
        <w:pStyle w:val="SingleTxtG"/>
      </w:pPr>
      <w:r w:rsidRPr="00D77807">
        <w:t>8.</w:t>
      </w:r>
      <w:r w:rsidRPr="00D77807">
        <w:tab/>
        <w:t>Статья 2 ДОПОГ гласит следующее:</w:t>
      </w:r>
    </w:p>
    <w:p w14:paraId="71D2FA27" w14:textId="77777777" w:rsidR="006E3D07" w:rsidRPr="00D77807" w:rsidRDefault="006E3D07" w:rsidP="006E3D07">
      <w:pPr>
        <w:pStyle w:val="SingleTxtG"/>
        <w:ind w:left="2268" w:hanging="567"/>
      </w:pPr>
      <w:r w:rsidRPr="00D77807">
        <w:t>«1.</w:t>
      </w:r>
      <w:r w:rsidRPr="00D77807">
        <w:tab/>
        <w:t>При условии соблюдения положений пункта 3 статьи 4 опасные грузы, которые не допускаются к перевозке согласно приложению A, не должны быть предметом международной перевозки.</w:t>
      </w:r>
    </w:p>
    <w:p w14:paraId="45D3ACC5" w14:textId="77777777" w:rsidR="006E3D07" w:rsidRPr="00D77807" w:rsidRDefault="006E3D07" w:rsidP="006E3D07">
      <w:pPr>
        <w:pStyle w:val="SingleTxtG"/>
        <w:ind w:left="2268" w:hanging="567"/>
      </w:pPr>
      <w:r w:rsidRPr="00D77807">
        <w:t>2.</w:t>
      </w:r>
      <w:r w:rsidRPr="00D77807">
        <w:tab/>
        <w:t>Международная перевозка прочих опасных грузов разрешается при условии соблюдения:</w:t>
      </w:r>
    </w:p>
    <w:p w14:paraId="6497CC1E" w14:textId="77777777" w:rsidR="006E3D07" w:rsidRPr="00D77807" w:rsidRDefault="006E3D07" w:rsidP="006E3D07">
      <w:pPr>
        <w:pStyle w:val="SingleTxtG"/>
        <w:ind w:left="2835" w:hanging="567"/>
      </w:pPr>
      <w:r w:rsidRPr="00D77807">
        <w:t>a)</w:t>
      </w:r>
      <w:r w:rsidRPr="00D77807">
        <w:tab/>
        <w:t xml:space="preserve">предусмотренных в приложении А требований, которым должны удовлетворять рассматриваемые грузы, в частности требований, касающихся их упаковки и маркировки, и </w:t>
      </w:r>
    </w:p>
    <w:p w14:paraId="2E7E90D6" w14:textId="6C133559" w:rsidR="006E3D07" w:rsidRPr="00D77807" w:rsidRDefault="006E3D07" w:rsidP="006E3D07">
      <w:pPr>
        <w:pStyle w:val="SingleTxtG"/>
        <w:ind w:left="2835" w:hanging="567"/>
      </w:pPr>
      <w:r w:rsidRPr="00D77807">
        <w:t>b)</w:t>
      </w:r>
      <w:r w:rsidRPr="00D77807">
        <w:tab/>
        <w:t xml:space="preserve">предусмотренных в приложении B требований, касающихся, </w:t>
      </w:r>
      <w:r>
        <w:br/>
      </w:r>
      <w:r w:rsidRPr="00D77807">
        <w:t>в частности, конструкции, оборудования и движения транспортного средства, перевозящего рассматриваемые грузы, при условии соблюдения положений пункта 2 статьи 4».</w:t>
      </w:r>
    </w:p>
    <w:p w14:paraId="488737D6" w14:textId="77777777" w:rsidR="006E3D07" w:rsidRPr="00D77807" w:rsidRDefault="006E3D07" w:rsidP="006E3D07">
      <w:pPr>
        <w:pStyle w:val="HChG"/>
      </w:pPr>
      <w:r w:rsidRPr="00D77807">
        <w:rPr>
          <w:bCs/>
        </w:rPr>
        <w:tab/>
        <w:t>III.</w:t>
      </w:r>
      <w:r w:rsidRPr="00D77807">
        <w:tab/>
      </w:r>
      <w:r w:rsidRPr="00D77807">
        <w:rPr>
          <w:bCs/>
        </w:rPr>
        <w:t>Статус велосипедов и других двух- и трехколесных транспортных средств</w:t>
      </w:r>
    </w:p>
    <w:p w14:paraId="0675DB45" w14:textId="77777777" w:rsidR="006E3D07" w:rsidRPr="00D77807" w:rsidRDefault="006E3D07" w:rsidP="006E3D07">
      <w:pPr>
        <w:pStyle w:val="SingleTxtG"/>
      </w:pPr>
      <w:r w:rsidRPr="00D77807">
        <w:t>9.</w:t>
      </w:r>
      <w:r w:rsidRPr="00D77807">
        <w:tab/>
        <w:t>Учитывая эту справочную информацию, секретариат считает, что в отношении международных перевозок в Договаривающихся сторонах ДОПОГ применяется следующее.</w:t>
      </w:r>
    </w:p>
    <w:p w14:paraId="7269A754" w14:textId="704F1C0E" w:rsidR="006E3D07" w:rsidRPr="00D77807" w:rsidRDefault="006E3D07" w:rsidP="006E3D07">
      <w:pPr>
        <w:pStyle w:val="H1G"/>
      </w:pPr>
      <w:r w:rsidRPr="00D77807">
        <w:tab/>
        <w:t>A.</w:t>
      </w:r>
      <w:r w:rsidRPr="00D77807">
        <w:tab/>
        <w:t xml:space="preserve">Велосипеды со вспомогательным мотором объемом 50 см³ </w:t>
      </w:r>
      <w:r>
        <w:br/>
      </w:r>
      <w:r w:rsidRPr="006E3D07">
        <w:t>или</w:t>
      </w:r>
      <w:r w:rsidRPr="00D77807">
        <w:t xml:space="preserve"> более или велосипеды, не имеющие других средств тяги, </w:t>
      </w:r>
      <w:r>
        <w:br/>
      </w:r>
      <w:r w:rsidRPr="00D77807">
        <w:t>кроме мотора</w:t>
      </w:r>
    </w:p>
    <w:p w14:paraId="5A45235F" w14:textId="77777777" w:rsidR="006E3D07" w:rsidRPr="00D77807" w:rsidRDefault="006E3D07" w:rsidP="006E3D07">
      <w:pPr>
        <w:pStyle w:val="SingleTxtG"/>
      </w:pPr>
      <w:r w:rsidRPr="00D77807">
        <w:t>10.</w:t>
      </w:r>
      <w:r w:rsidRPr="00D77807">
        <w:tab/>
        <w:t>Велосипеды со вспомогательным мотором объемом 50 см³ или более или велосипеды, не имеющие других средств тяги, кроме мотора, являются автотранспортными средствами, и международная перевозка опасных грузов в соответствии с ДОПОГ разрешена при условии соблюдения требований ДОПОГ.</w:t>
      </w:r>
    </w:p>
    <w:p w14:paraId="296AD60B" w14:textId="26B9DD91" w:rsidR="006E3D07" w:rsidRPr="00D77807" w:rsidRDefault="006E3D07" w:rsidP="006E3D07">
      <w:pPr>
        <w:pStyle w:val="SingleTxtG"/>
      </w:pPr>
      <w:r w:rsidRPr="00D77807">
        <w:t>11.</w:t>
      </w:r>
      <w:r w:rsidRPr="00D77807">
        <w:tab/>
        <w:t xml:space="preserve">Однако некоторые положения ДОПОГ были разработаны без учета этих типов транспортных средств. Положения приложений А и В никогда не предназначались для </w:t>
      </w:r>
      <w:r w:rsidRPr="00D77807">
        <w:lastRenderedPageBreak/>
        <w:t>применения к перевозке на скутерах, мотоциклах и т.</w:t>
      </w:r>
      <w:r>
        <w:t> </w:t>
      </w:r>
      <w:r w:rsidRPr="00D77807">
        <w:t xml:space="preserve">д., поэтому действующие положения могут истолковываться по-разному. </w:t>
      </w:r>
    </w:p>
    <w:p w14:paraId="02A2385F" w14:textId="77777777" w:rsidR="006E3D07" w:rsidRPr="00D77807" w:rsidRDefault="006E3D07" w:rsidP="006E3D07">
      <w:pPr>
        <w:pStyle w:val="SingleTxtG"/>
      </w:pPr>
      <w:r w:rsidRPr="00D77807">
        <w:t>12.</w:t>
      </w:r>
      <w:r w:rsidRPr="00D77807">
        <w:tab/>
        <w:t>Рабочая группа, возможно, пожелает изменить положения ДОПОГ, чтобы уточнить, какие требования должны применяться к перевозкам опасных грузов с использованием этих транспортных средств (например, путем включения соответствующих определений для рассматриваемых транспортных средств в раздел</w:t>
      </w:r>
      <w:r w:rsidRPr="00D77807">
        <w:rPr>
          <w:lang w:val="en-US"/>
        </w:rPr>
        <w:t> </w:t>
      </w:r>
      <w:r w:rsidRPr="00D77807">
        <w:t xml:space="preserve">1.2.1 и некоторых положений в главы 7.1 или 7.2 и части 8 и 9 или путем включения нового раздела 1.1.6 с положениями, применимыми к этим транспортным средствам, которые охватываются </w:t>
      </w:r>
      <w:bookmarkStart w:id="0" w:name="_Hlk129278705"/>
      <w:r w:rsidRPr="00D77807">
        <w:t>пунктом а) статьи 1</w:t>
      </w:r>
      <w:bookmarkEnd w:id="0"/>
      <w:r w:rsidRPr="00D77807">
        <w:t xml:space="preserve">, но не частью 9). </w:t>
      </w:r>
    </w:p>
    <w:p w14:paraId="245935DB" w14:textId="77777777" w:rsidR="006E3D07" w:rsidRPr="00D77807" w:rsidRDefault="006E3D07" w:rsidP="006E3D07">
      <w:pPr>
        <w:pStyle w:val="H1G"/>
      </w:pPr>
      <w:r w:rsidRPr="00D77807">
        <w:rPr>
          <w:bCs/>
        </w:rPr>
        <w:tab/>
        <w:t>B.</w:t>
      </w:r>
      <w:r w:rsidRPr="00D77807">
        <w:tab/>
      </w:r>
      <w:r w:rsidRPr="00D77807">
        <w:rPr>
          <w:bCs/>
        </w:rPr>
        <w:t>Велосипеды со вспомогательным мотором с максимальным объемом цилиндров 50 см³</w:t>
      </w:r>
    </w:p>
    <w:p w14:paraId="0D73E5E2" w14:textId="556791AC" w:rsidR="006E3D07" w:rsidRPr="00D77807" w:rsidRDefault="006E3D07" w:rsidP="006E3D07">
      <w:pPr>
        <w:pStyle w:val="SingleTxtG"/>
      </w:pPr>
      <w:r w:rsidRPr="00D77807">
        <w:t>13.</w:t>
      </w:r>
      <w:r w:rsidRPr="00D77807">
        <w:tab/>
        <w:t>Велосипеды со вспомогательным мотором с максимальным объемом цилиндров 50 см³ (т.</w:t>
      </w:r>
      <w:r>
        <w:t> </w:t>
      </w:r>
      <w:r w:rsidRPr="00D77807">
        <w:t>е. велосипед можно перемещать, вращая педали</w:t>
      </w:r>
      <w:r w:rsidRPr="006E3D07">
        <w:t>,</w:t>
      </w:r>
      <w:r w:rsidRPr="00D77807">
        <w:t xml:space="preserve"> </w:t>
      </w:r>
      <w:r>
        <w:br/>
      </w:r>
      <w:r w:rsidRPr="00D77807">
        <w:t xml:space="preserve">без использования мотора) не являются автотранспортными средствами в соответствии с определением и не </w:t>
      </w:r>
      <w:r w:rsidRPr="00D77807">
        <w:rPr>
          <w:rFonts w:eastAsiaTheme="minorEastAsia"/>
          <w:lang w:eastAsia="zh-CN" w:bidi="ar-TN"/>
        </w:rPr>
        <w:t>входят в</w:t>
      </w:r>
      <w:r w:rsidRPr="00D77807">
        <w:t xml:space="preserve"> сферу применения ДОПОГ. </w:t>
      </w:r>
    </w:p>
    <w:p w14:paraId="3246D8FB" w14:textId="77777777" w:rsidR="006E3D07" w:rsidRPr="00D77807" w:rsidRDefault="006E3D07" w:rsidP="006E3D07">
      <w:pPr>
        <w:pStyle w:val="SingleTxtG"/>
      </w:pPr>
      <w:r w:rsidRPr="00D77807">
        <w:t>14.</w:t>
      </w:r>
      <w:r w:rsidRPr="00D77807">
        <w:tab/>
        <w:t>Согласно пункту с) статьи 1, перевозки, осуществляемые транспортными средствами, не указанными в пункте а) статьи 1, не подпадают под действие ДОПОГ. Перевозка опасных грузов такими велосипедами может быть запрещена или регулироваться другими правовыми документами, кроме ДОПОГ (в соответствии с национальным или региональным законодательством).</w:t>
      </w:r>
    </w:p>
    <w:p w14:paraId="62FEF2C4" w14:textId="77777777" w:rsidR="006E3D07" w:rsidRPr="00D77807" w:rsidRDefault="006E3D07" w:rsidP="006E3D07">
      <w:pPr>
        <w:pStyle w:val="SingleTxtG"/>
      </w:pPr>
      <w:r w:rsidRPr="00D77807">
        <w:t>15.</w:t>
      </w:r>
      <w:r w:rsidRPr="00D77807">
        <w:tab/>
        <w:t>Если Договаривающиеся стороны желают, чтобы ДОПОГ охватывало и регулировало перевозку опасных грузов с помощью таких велосипедов, необходимо созвать Конференцию Сторон для рассмотрения вопроса об изменении пункта а) статьи</w:t>
      </w:r>
      <w:r w:rsidRPr="00D77807">
        <w:rPr>
          <w:lang w:val="en-US"/>
        </w:rPr>
        <w:t> </w:t>
      </w:r>
      <w:r w:rsidRPr="00D77807">
        <w:t xml:space="preserve">1. </w:t>
      </w:r>
    </w:p>
    <w:p w14:paraId="69B44462" w14:textId="77777777" w:rsidR="006E3D07" w:rsidRPr="00D77807" w:rsidRDefault="006E3D07" w:rsidP="006E3D07">
      <w:pPr>
        <w:pStyle w:val="HChG"/>
      </w:pPr>
      <w:r w:rsidRPr="00D77807">
        <w:rPr>
          <w:bCs/>
        </w:rPr>
        <w:tab/>
        <w:t>IV.</w:t>
      </w:r>
      <w:r w:rsidRPr="00D77807">
        <w:tab/>
      </w:r>
      <w:r w:rsidRPr="00D77807">
        <w:rPr>
          <w:bCs/>
        </w:rPr>
        <w:t>Внутренние перевозки в Европейском союзе (ЕС), включая Европейское экономическое пространство</w:t>
      </w:r>
      <w:r w:rsidRPr="00D77807">
        <w:rPr>
          <w:bCs/>
          <w:lang w:val="en-US"/>
        </w:rPr>
        <w:t> </w:t>
      </w:r>
      <w:r w:rsidRPr="00D77807">
        <w:rPr>
          <w:bCs/>
        </w:rPr>
        <w:t>(ЕЭП)</w:t>
      </w:r>
    </w:p>
    <w:p w14:paraId="43B0551E" w14:textId="77777777" w:rsidR="006E3D07" w:rsidRPr="00D77807" w:rsidRDefault="006E3D07" w:rsidP="006E3D07">
      <w:pPr>
        <w:pStyle w:val="SingleTxtG"/>
      </w:pPr>
      <w:r w:rsidRPr="00D77807">
        <w:t>16.</w:t>
      </w:r>
      <w:r w:rsidRPr="00D77807">
        <w:tab/>
        <w:t>Ситуации, описанные в разделе III выше, применяются к международным перевозкам во всех Договаривающихся сторонах ДОПОГ, включая государства — члены Европейского экономического пространства.</w:t>
      </w:r>
    </w:p>
    <w:p w14:paraId="5EBE40DB" w14:textId="77777777" w:rsidR="006E3D07" w:rsidRPr="00D77807" w:rsidRDefault="006E3D07" w:rsidP="006E3D07">
      <w:pPr>
        <w:spacing w:after="120"/>
        <w:ind w:left="1134" w:right="1134"/>
        <w:jc w:val="both"/>
      </w:pPr>
      <w:r w:rsidRPr="00D77807">
        <w:t>17.</w:t>
      </w:r>
      <w:r w:rsidRPr="00D77807">
        <w:tab/>
        <w:t xml:space="preserve">Приложения А и В к ДОПОГ также были приняты государствами </w:t>
      </w:r>
      <w:r w:rsidRPr="00D77807">
        <w:rPr>
          <w:rFonts w:cs="Times New Roman"/>
        </w:rPr>
        <w:t>—</w:t>
      </w:r>
      <w:r w:rsidRPr="00D77807">
        <w:t xml:space="preserve"> членами ЕС в качестве основы для регулирования автомобильной перевозки опасных грузов в пределах их территорий и между ними (Директива 2008/68/ЕС Европейского парламента и Совета от 24 сентября 2008 года о внутренних перевозках опасных грузов с внесенными в нее поправками). Директива 2008/68/EC также распространяется на страны ЕЭП.</w:t>
      </w:r>
    </w:p>
    <w:p w14:paraId="43CAED0C" w14:textId="77777777" w:rsidR="006E3D07" w:rsidRPr="00D77807" w:rsidRDefault="006E3D07" w:rsidP="006E3D07">
      <w:pPr>
        <w:spacing w:after="120"/>
        <w:ind w:left="1134" w:right="1134"/>
        <w:jc w:val="both"/>
      </w:pPr>
      <w:r w:rsidRPr="00D77807">
        <w:t>18.</w:t>
      </w:r>
      <w:r w:rsidRPr="00D77807">
        <w:tab/>
        <w:t>Директива 2008/68/EC гласит, что: «</w:t>
      </w:r>
      <w:r w:rsidRPr="00D77807">
        <w:rPr>
          <w:i/>
          <w:iCs/>
        </w:rPr>
        <w:t>“транспортное средство”</w:t>
      </w:r>
      <w:r w:rsidRPr="00D77807">
        <w:t xml:space="preserve"> означает любое моторное транспортное средство, предназначенное для использования на автомобильной дороге, </w:t>
      </w:r>
      <w:r w:rsidRPr="00D77807">
        <w:rPr>
          <w:u w:val="single"/>
        </w:rPr>
        <w:t>имеющее не менее четырех колес</w:t>
      </w:r>
      <w:r w:rsidRPr="00DB137A">
        <w:t xml:space="preserve"> </w:t>
      </w:r>
      <w:r w:rsidRPr="00D77807">
        <w:t>и максимальную проектную скорость хода свыше 25 км/ч, а также любой прицеп, за исключением транспортных средств, передвигающихся по рельсам, дорожной техники и сельскохозяйственных и лесохозяйственных тракторов, не передвигающихся при перевозке опасных грузов на скорости, превышающей 40 км/ч;».</w:t>
      </w:r>
    </w:p>
    <w:p w14:paraId="5AF4B6E1" w14:textId="77777777" w:rsidR="006E3D07" w:rsidRPr="00D77807" w:rsidRDefault="006E3D07" w:rsidP="006E3D07">
      <w:pPr>
        <w:spacing w:after="120"/>
        <w:ind w:left="1134" w:right="1134"/>
        <w:jc w:val="both"/>
      </w:pPr>
      <w:r w:rsidRPr="00D77807">
        <w:t>19.</w:t>
      </w:r>
      <w:r w:rsidRPr="00D77807">
        <w:tab/>
        <w:t>Кроме того, пункт 4 статьи 1 директивы 2008/68/EC гласит следующее:</w:t>
      </w:r>
    </w:p>
    <w:p w14:paraId="7918C78D" w14:textId="77777777" w:rsidR="006E3D07" w:rsidRPr="00D77807" w:rsidRDefault="006E3D07" w:rsidP="006E3D07">
      <w:pPr>
        <w:tabs>
          <w:tab w:val="left" w:pos="2268"/>
        </w:tabs>
        <w:spacing w:after="120"/>
        <w:ind w:left="1701" w:right="1134"/>
        <w:jc w:val="both"/>
      </w:pPr>
      <w:r w:rsidRPr="00D77807">
        <w:t>«4.</w:t>
      </w:r>
      <w:r w:rsidRPr="00D77807">
        <w:tab/>
        <w:t>Государства-члены вправе устанавливать особые требования по обеспечению безопасности в отношении национальных и международных перевозок опасных грузов в пределах своих территорий в тех случаях, когда:</w:t>
      </w:r>
    </w:p>
    <w:p w14:paraId="46AC690E" w14:textId="77777777" w:rsidR="006E3D07" w:rsidRPr="00D77807" w:rsidRDefault="006E3D07" w:rsidP="006E3D07">
      <w:pPr>
        <w:pStyle w:val="af3"/>
        <w:numPr>
          <w:ilvl w:val="0"/>
          <w:numId w:val="22"/>
        </w:numPr>
        <w:spacing w:after="120"/>
        <w:ind w:left="1701" w:right="1134" w:firstLine="0"/>
        <w:jc w:val="both"/>
      </w:pPr>
      <w:r w:rsidRPr="00D77807">
        <w:lastRenderedPageBreak/>
        <w:t>перевозка опасных грузов транспортными средствами, товарными вагонами или судами внутреннего водного транспорта не подпадает под действие настоящей Директивы; ...</w:t>
      </w:r>
    </w:p>
    <w:p w14:paraId="5F47093D" w14:textId="77777777" w:rsidR="006E3D07" w:rsidRPr="00D77807" w:rsidRDefault="006E3D07" w:rsidP="006E3D07">
      <w:pPr>
        <w:spacing w:after="120"/>
        <w:ind w:left="1701" w:right="1134"/>
        <w:jc w:val="both"/>
      </w:pPr>
      <w:r w:rsidRPr="00D77807">
        <w:t>Они обязаны сообщать Европейской комиссии о наличии таких положений и об обосновании их введения.</w:t>
      </w:r>
    </w:p>
    <w:p w14:paraId="433A4A1E" w14:textId="009AFFB3" w:rsidR="006E3D07" w:rsidRPr="00D77807" w:rsidRDefault="006E3D07" w:rsidP="006E3D07">
      <w:pPr>
        <w:spacing w:after="120"/>
        <w:ind w:left="1701" w:right="1134"/>
        <w:jc w:val="both"/>
      </w:pPr>
      <w:r w:rsidRPr="00D77807">
        <w:t>Соответствующим образом Европейская комиссия обязана уведомлять другие государства</w:t>
      </w:r>
      <w:r>
        <w:t xml:space="preserve"> ⸺ </w:t>
      </w:r>
      <w:r w:rsidRPr="00D77807">
        <w:t>члены ЕС».</w:t>
      </w:r>
    </w:p>
    <w:p w14:paraId="2E3A3C63" w14:textId="7AE1D305" w:rsidR="006E3D07" w:rsidRPr="00D77807" w:rsidRDefault="006E3D07" w:rsidP="006E3D07">
      <w:pPr>
        <w:spacing w:after="120"/>
        <w:ind w:left="1134" w:right="1134"/>
        <w:jc w:val="both"/>
      </w:pPr>
      <w:r w:rsidRPr="00D77807">
        <w:t>20.</w:t>
      </w:r>
      <w:r w:rsidRPr="00D77807">
        <w:tab/>
        <w:t xml:space="preserve">Исходя из этого, можно сделать вывод, что транспортные средства, имеющие менее четырех колес, не входят в сферу действия директивы 2008/68/EC. Однако внутренние перевозки опасных грузов транспортными средствами с менее чем четырьмя колесами могут регулироваться странами </w:t>
      </w:r>
      <w:r w:rsidR="007B3E3E">
        <w:t>⸺</w:t>
      </w:r>
      <w:r w:rsidRPr="00D77807">
        <w:t xml:space="preserve"> членами Европейского союза и Европейского экономического пространства в соответствии со статьей 4 директивы</w:t>
      </w:r>
      <w:r w:rsidRPr="00D77807">
        <w:rPr>
          <w:lang w:val="en-US"/>
        </w:rPr>
        <w:t> </w:t>
      </w:r>
      <w:r w:rsidRPr="00D77807">
        <w:t>2008/68/EC.</w:t>
      </w:r>
    </w:p>
    <w:p w14:paraId="0B2B737E" w14:textId="77777777" w:rsidR="006E3D07" w:rsidRPr="00D77807" w:rsidRDefault="006E3D07" w:rsidP="006E3D07">
      <w:pPr>
        <w:pStyle w:val="HChG"/>
      </w:pPr>
      <w:r w:rsidRPr="00D77807">
        <w:rPr>
          <w:bCs/>
        </w:rPr>
        <w:tab/>
        <w:t>V.</w:t>
      </w:r>
      <w:r w:rsidRPr="00D77807">
        <w:tab/>
      </w:r>
      <w:r w:rsidRPr="00D77807">
        <w:rPr>
          <w:bCs/>
        </w:rPr>
        <w:t>Протокол о внесении поправок в пункт а) статьи 1 и</w:t>
      </w:r>
      <w:r w:rsidRPr="00D77807">
        <w:rPr>
          <w:bCs/>
          <w:lang w:val="en-US"/>
        </w:rPr>
        <w:t> </w:t>
      </w:r>
      <w:r w:rsidRPr="00D77807">
        <w:rPr>
          <w:bCs/>
        </w:rPr>
        <w:t>пункты 1 и 3 b) статьи 14 ДОПОГ</w:t>
      </w:r>
    </w:p>
    <w:p w14:paraId="1CFA4DDE" w14:textId="55502348" w:rsidR="006E3D07" w:rsidRPr="00D77807" w:rsidRDefault="006E3D07" w:rsidP="006E3D07">
      <w:pPr>
        <w:pStyle w:val="SingleTxtG"/>
      </w:pPr>
      <w:r w:rsidRPr="00D77807">
        <w:t>21.</w:t>
      </w:r>
      <w:r w:rsidRPr="00D77807">
        <w:tab/>
        <w:t xml:space="preserve">Протокол о внесении поправок в пункт а) статьи 1 и пункты 1 и 3 b) статьи 14 ДОПОГ содержит поправку к определению термина «транспортное средство» </w:t>
      </w:r>
      <w:r>
        <w:br/>
      </w:r>
      <w:r w:rsidRPr="00D77807">
        <w:t>в статье</w:t>
      </w:r>
      <w:r w:rsidRPr="00D77807">
        <w:rPr>
          <w:lang w:val="en-US"/>
        </w:rPr>
        <w:t> </w:t>
      </w:r>
      <w:r w:rsidRPr="00D77807">
        <w:t>1:</w:t>
      </w:r>
    </w:p>
    <w:p w14:paraId="4989EDC1" w14:textId="77777777" w:rsidR="006E3D07" w:rsidRPr="00D77807" w:rsidRDefault="006E3D07" w:rsidP="006E3D07">
      <w:pPr>
        <w:pStyle w:val="SingleTxtG"/>
        <w:ind w:left="1701"/>
        <w:rPr>
          <w:u w:val="single"/>
        </w:rPr>
      </w:pPr>
      <w:r w:rsidRPr="00D77807">
        <w:rPr>
          <w:u w:val="single"/>
        </w:rPr>
        <w:t>Поправка к пункту а) статьи 1 Соглашения</w:t>
      </w:r>
    </w:p>
    <w:p w14:paraId="4B72D01E" w14:textId="77777777" w:rsidR="006E3D07" w:rsidRPr="00D77807" w:rsidRDefault="006E3D07" w:rsidP="006E3D07">
      <w:pPr>
        <w:pStyle w:val="SingleTxtG"/>
        <w:ind w:left="1701"/>
      </w:pPr>
      <w:r w:rsidRPr="00D77807">
        <w:t>Пункт а) статьи 1 Соглашения изменяется следующим образом:</w:t>
      </w:r>
    </w:p>
    <w:p w14:paraId="0EA6E1EC" w14:textId="77777777" w:rsidR="006E3D07" w:rsidRPr="00D77807" w:rsidRDefault="006E3D07" w:rsidP="006E3D07">
      <w:pPr>
        <w:pStyle w:val="SingleTxtG"/>
        <w:ind w:left="1701"/>
      </w:pPr>
      <w:r w:rsidRPr="00D77807">
        <w:t xml:space="preserve">«a) термин “транспортное средство” означает любой автомобиль, не являющийся транспортным средством, принадлежащим вооруженным силам одной из Договаривающихся Сторон или находящимся в ведении этих вооруженных сил, предназначенный для использования на дороге, являющийся укомплектованным или неукомплектованным, </w:t>
      </w:r>
      <w:r w:rsidRPr="00D77807">
        <w:rPr>
          <w:u w:val="single"/>
        </w:rPr>
        <w:t>имеющий не менее четырех колес</w:t>
      </w:r>
      <w:r w:rsidRPr="00EF393F">
        <w:t xml:space="preserve"> </w:t>
      </w:r>
      <w:r w:rsidRPr="00D77807">
        <w:t>и развивающий максимальную расчетную скорость более 25 км/ч, а также прицепы к нему, за исключением транспортных средств, перемещающихся по рельсам, сельскохозяйственных и лесовозных тракторов и любых передвижных механизмов».</w:t>
      </w:r>
    </w:p>
    <w:p w14:paraId="3335D81A" w14:textId="375A6CD5" w:rsidR="006E3D07" w:rsidRPr="00D77807" w:rsidRDefault="006E3D07" w:rsidP="006E3D07">
      <w:pPr>
        <w:pStyle w:val="SingleTxtG"/>
      </w:pPr>
      <w:r w:rsidRPr="00D77807">
        <w:t>22.</w:t>
      </w:r>
      <w:r w:rsidRPr="00D77807">
        <w:tab/>
        <w:t>Эта поправка была принята Конференцией Сторон на основе предложения Австрии о замене ссылки на статью 4 Конвенции о дорожном движении от 19 сентября 1949 года, которая была отменена, полным определением, соответствующим определению, которое используется в директиве 92/53/ЕЕС</w:t>
      </w:r>
      <w:r w:rsidRPr="00D77807">
        <w:rPr>
          <w:sz w:val="18"/>
          <w:vertAlign w:val="superscript"/>
        </w:rPr>
        <w:footnoteReference w:id="2"/>
      </w:r>
      <w:r w:rsidRPr="00D77807">
        <w:t>. См. доклад Конференции Договаривающихся Сторон ДОПОГ (28 октября 1993 года) (</w:t>
      </w:r>
      <w:hyperlink r:id="rId8" w:history="1">
        <w:r w:rsidRPr="006E3D07">
          <w:rPr>
            <w:rStyle w:val="af1"/>
          </w:rPr>
          <w:t>TRANS/WP.15/CD/6</w:t>
        </w:r>
      </w:hyperlink>
      <w:r w:rsidRPr="00D77807">
        <w:t>).</w:t>
      </w:r>
    </w:p>
    <w:p w14:paraId="33B02E38" w14:textId="77777777" w:rsidR="006E3D07" w:rsidRPr="00D77807" w:rsidRDefault="006E3D07" w:rsidP="006E3D07">
      <w:pPr>
        <w:pStyle w:val="SingleTxtG"/>
        <w:rPr>
          <w:rFonts w:eastAsia="SimSun"/>
        </w:rPr>
      </w:pPr>
      <w:r w:rsidRPr="00D77807">
        <w:t>23.</w:t>
      </w:r>
      <w:r w:rsidRPr="00D77807">
        <w:tab/>
        <w:t>Протокол еще не вступил в силу. Он вступит в силу только тогда, когда все Договаривающиеся стороны ДОПОГ также ратифицируют его или присоединятся к нему.</w:t>
      </w:r>
    </w:p>
    <w:p w14:paraId="08E9ECD8" w14:textId="77777777" w:rsidR="006E3D07" w:rsidRPr="00D77807" w:rsidRDefault="006E3D07" w:rsidP="006E3D07">
      <w:pPr>
        <w:pStyle w:val="SingleTxtG"/>
      </w:pPr>
      <w:r w:rsidRPr="00D77807">
        <w:t>24.</w:t>
      </w:r>
      <w:r w:rsidRPr="00D77807">
        <w:tab/>
        <w:t>Ограничение в отношении наличия «не менее четырех колес» будет применяться также к ДОПОГ, если Протокол о внесении поправок 1993 года вступит в силу.</w:t>
      </w:r>
    </w:p>
    <w:p w14:paraId="112FCD6C" w14:textId="77777777" w:rsidR="006E3D07" w:rsidRPr="00D77807" w:rsidRDefault="006E3D07" w:rsidP="006E3D07">
      <w:pPr>
        <w:pStyle w:val="HChG"/>
      </w:pPr>
      <w:r w:rsidRPr="00D77807">
        <w:rPr>
          <w:bCs/>
        </w:rPr>
        <w:tab/>
        <w:t>VI.</w:t>
      </w:r>
      <w:r w:rsidRPr="00D77807">
        <w:tab/>
      </w:r>
      <w:r w:rsidRPr="00D77807">
        <w:rPr>
          <w:bCs/>
        </w:rPr>
        <w:t>Возможное расширение сферы применения ДОПОГ</w:t>
      </w:r>
    </w:p>
    <w:p w14:paraId="71E86F7D" w14:textId="77777777" w:rsidR="006E3D07" w:rsidRPr="00D77807" w:rsidRDefault="006E3D07" w:rsidP="006E3D07">
      <w:pPr>
        <w:pStyle w:val="SingleTxtG"/>
      </w:pPr>
      <w:r w:rsidRPr="00D77807">
        <w:t>25.</w:t>
      </w:r>
      <w:r w:rsidRPr="00D77807">
        <w:tab/>
        <w:t xml:space="preserve">На последней сессии некоторые делегации отметили тот факт, что, когда Протокол о внесении поправок принимался Конференцией Договаривающихся </w:t>
      </w:r>
      <w:r w:rsidRPr="00D77807">
        <w:lastRenderedPageBreak/>
        <w:t>Сторон ДОПОГ в 1993 году, вопрос об операциях по доставке с использованием транспортных средств/устройств, отличных от обычных грузовых автомобилей или фургонов, даже не рассматривался. В контексте экологизации городов стали использоваться альтернативные системы доставки с использованием транспортных средств, имеющих менее четырех колес, велосипедов и электровелосипедов. Большинство делегаций высказали мнение, что необходимо ввести некоторые правила для обеспечения безопасности таких перевозок, если такие транспортные средства используются для транспортировки опасных грузов. В отношении международных перевозок некоторые делегации рассматривали возможность расширения сферы применения ДОПОГ путем принятия нового протокола о внесении поправок. Однако ряд делегаций задались вопросом, возможно ли изменить сферу применения ДОПОГ до вступления в силу Протокола о внесении поправок 1993 года, особенно в свете статьи 18 Венской конвенции о праве международных договоров (1968 год).</w:t>
      </w:r>
    </w:p>
    <w:p w14:paraId="7D0A04A5" w14:textId="77777777" w:rsidR="006E3D07" w:rsidRPr="00D77807" w:rsidRDefault="006E3D07" w:rsidP="006E3D07">
      <w:pPr>
        <w:pStyle w:val="SingleTxtG"/>
      </w:pPr>
      <w:r w:rsidRPr="00D77807">
        <w:t>26.</w:t>
      </w:r>
      <w:r w:rsidRPr="00D77807">
        <w:tab/>
        <w:t>Статья 18 гласит следующее:</w:t>
      </w:r>
    </w:p>
    <w:p w14:paraId="04612010" w14:textId="77777777" w:rsidR="006E3D07" w:rsidRPr="00D77807" w:rsidRDefault="006E3D07" w:rsidP="006E3D07">
      <w:pPr>
        <w:pStyle w:val="SingleTxtG"/>
        <w:ind w:left="1701"/>
      </w:pPr>
      <w:r w:rsidRPr="00D77807">
        <w:t>«Статья 18</w:t>
      </w:r>
      <w:r w:rsidRPr="006E3D07">
        <w:t>.</w:t>
      </w:r>
      <w:r w:rsidRPr="00D77807">
        <w:t xml:space="preserve"> </w:t>
      </w:r>
      <w:r w:rsidRPr="00D77807">
        <w:rPr>
          <w:i/>
          <w:iCs/>
        </w:rPr>
        <w:t xml:space="preserve">Обязанность не лишать договор его объекта и цели до вступления договора в силу </w:t>
      </w:r>
    </w:p>
    <w:p w14:paraId="1D17AB81" w14:textId="77777777" w:rsidR="006E3D07" w:rsidRPr="00D77807" w:rsidRDefault="006E3D07" w:rsidP="006E3D07">
      <w:pPr>
        <w:pStyle w:val="SingleTxtG"/>
        <w:ind w:left="1701"/>
      </w:pPr>
      <w:r w:rsidRPr="00D77807">
        <w:t xml:space="preserve">Государство обязано воздерживаться от действий, которые лишили бы договор его объекта и цели, если: </w:t>
      </w:r>
    </w:p>
    <w:p w14:paraId="301B355A" w14:textId="77777777" w:rsidR="006E3D07" w:rsidRPr="00D77807" w:rsidRDefault="006E3D07" w:rsidP="006E3D07">
      <w:pPr>
        <w:pStyle w:val="SingleTxtG"/>
        <w:ind w:left="1701"/>
      </w:pPr>
      <w:r w:rsidRPr="00D77807">
        <w:t>a)</w:t>
      </w:r>
      <w:r w:rsidRPr="00D77807">
        <w:tab/>
        <w:t xml:space="preserve">оно подписало договор или обменялось документами, образующими договор, под условием ратификации, принятия или утверждения, до тех пор пока оно не выразит ясно своего намерения не стать участником этого договора; или </w:t>
      </w:r>
    </w:p>
    <w:p w14:paraId="1EDA8E19" w14:textId="77777777" w:rsidR="006E3D07" w:rsidRPr="00D77807" w:rsidRDefault="006E3D07" w:rsidP="006E3D07">
      <w:pPr>
        <w:pStyle w:val="SingleTxtG"/>
        <w:ind w:left="1701"/>
      </w:pPr>
      <w:r w:rsidRPr="00D77807">
        <w:t>b)</w:t>
      </w:r>
      <w:r w:rsidRPr="00D77807">
        <w:tab/>
        <w:t>оно выразило согласие на обязательность для него договора до вступления договора в силу и при условии, что такое вступление в силу не будет чрезмерно задерживаться».</w:t>
      </w:r>
    </w:p>
    <w:p w14:paraId="418A04BD" w14:textId="77777777" w:rsidR="006E3D07" w:rsidRPr="00D77807" w:rsidRDefault="006E3D07" w:rsidP="006E3D07">
      <w:pPr>
        <w:pStyle w:val="SingleTxtG"/>
      </w:pPr>
      <w:r w:rsidRPr="00D77807">
        <w:t>27.</w:t>
      </w:r>
      <w:r w:rsidRPr="00D77807">
        <w:tab/>
        <w:t>По мнению Договорной секции, согласно праву международных договоров тот факт, что Протокол о внесении поправок в пункт а) статьи 1 Соглашения еще не вступил в силу, не препятствует достижению сторонами договоренности о принятии поправок, которые расширят сферу применения ДОПОГ.</w:t>
      </w:r>
    </w:p>
    <w:p w14:paraId="66E48E37" w14:textId="77777777" w:rsidR="006E3D07" w:rsidRPr="00D77807" w:rsidRDefault="006E3D07" w:rsidP="006E3D07">
      <w:pPr>
        <w:pStyle w:val="SingleTxtG"/>
      </w:pPr>
      <w:r w:rsidRPr="00D77807">
        <w:t>28.</w:t>
      </w:r>
      <w:r w:rsidRPr="00D77807">
        <w:tab/>
        <w:t xml:space="preserve">При принятии любой новой поправки следует учитывать возможные несоответствия с упомянутым Протоколом о внесении поправок в пункт а) статьи 1. </w:t>
      </w:r>
    </w:p>
    <w:p w14:paraId="6930BFBA" w14:textId="77777777" w:rsidR="006E3D07" w:rsidRPr="00D77807" w:rsidRDefault="006E3D07" w:rsidP="006E3D07">
      <w:pPr>
        <w:pStyle w:val="SingleTxtG"/>
      </w:pPr>
      <w:r w:rsidRPr="00D77807">
        <w:t>29.</w:t>
      </w:r>
      <w:r w:rsidRPr="00D77807">
        <w:tab/>
        <w:t>Кроме того, статья 18 Венской конвенции о праве международных договоров касается обязанности не лишать договор его объекта и цели до вступления договора в силу. Установленное в нем правило само по себе не препятствует сторонам вносить дальнейшие поправки в договор в последовательных документах, если они того пожелают.</w:t>
      </w:r>
    </w:p>
    <w:p w14:paraId="0E38240E" w14:textId="77777777" w:rsidR="006E3D07" w:rsidRPr="00D77807" w:rsidRDefault="006E3D07" w:rsidP="006E3D07">
      <w:pPr>
        <w:pStyle w:val="HChG"/>
      </w:pPr>
      <w:r w:rsidRPr="00D77807">
        <w:rPr>
          <w:bCs/>
        </w:rPr>
        <w:tab/>
        <w:t>VII.</w:t>
      </w:r>
      <w:r w:rsidRPr="00D77807">
        <w:tab/>
      </w:r>
      <w:r w:rsidRPr="00D77807">
        <w:rPr>
          <w:bCs/>
        </w:rPr>
        <w:t>Последующие действия</w:t>
      </w:r>
    </w:p>
    <w:p w14:paraId="1ACBECA1" w14:textId="77777777" w:rsidR="006E3D07" w:rsidRPr="00D77807" w:rsidRDefault="006E3D07" w:rsidP="006E3D07">
      <w:pPr>
        <w:pStyle w:val="SingleTxtG"/>
      </w:pPr>
      <w:r w:rsidRPr="00D77807">
        <w:t>30.</w:t>
      </w:r>
      <w:r w:rsidRPr="00D77807">
        <w:tab/>
        <w:t xml:space="preserve">Представители стран, возможно, пожелают проинформировать Рабочую группу о том, регулируется ли в их странах перевозка опасных грузов с помощью велосипедов со вспомогательным мотором с максимальным объемом цилиндров менее 50 см³ и других транспортных средств, не охваченных ДОПОГ, и каким образом. </w:t>
      </w:r>
    </w:p>
    <w:p w14:paraId="1C41912A" w14:textId="77777777" w:rsidR="006E3D07" w:rsidRPr="00D77807" w:rsidRDefault="006E3D07" w:rsidP="006E3D07">
      <w:pPr>
        <w:pStyle w:val="SingleTxtG"/>
      </w:pPr>
      <w:r w:rsidRPr="00D77807">
        <w:t>31.</w:t>
      </w:r>
      <w:r w:rsidRPr="00D77807">
        <w:tab/>
        <w:t xml:space="preserve">Возможно, также будет полезно узнать, как определяются и классифицируются в Договаривающихся сторонах ДОПОГ </w:t>
      </w:r>
      <w:proofErr w:type="spellStart"/>
      <w:r w:rsidRPr="00D77807">
        <w:t>микромобильные</w:t>
      </w:r>
      <w:proofErr w:type="spellEnd"/>
      <w:r w:rsidRPr="00D77807">
        <w:t xml:space="preserve"> транспортные средства, такие как легкие электромобили/электровелосипеды, и какие категории используются для перевозки опасных грузов или могут использоваться в будущем.</w:t>
      </w:r>
    </w:p>
    <w:p w14:paraId="1A6AC656" w14:textId="77777777" w:rsidR="006E3D07" w:rsidRPr="00A25145" w:rsidRDefault="006E3D07" w:rsidP="006E3D07">
      <w:pPr>
        <w:pStyle w:val="SingleTxtG"/>
      </w:pPr>
      <w:r w:rsidRPr="00D77807">
        <w:t>32.</w:t>
      </w:r>
      <w:r w:rsidRPr="00D77807">
        <w:tab/>
        <w:t>Для содействия дальнейшему обсуждению желающим делегациям</w:t>
      </w:r>
      <w:r w:rsidRPr="006E3D07">
        <w:t xml:space="preserve"> </w:t>
      </w:r>
      <w:r w:rsidRPr="00D77807">
        <w:t>предлагается направить свои замечания до начала сессии в секретариат или представить их в форме неофициального документа.</w:t>
      </w:r>
    </w:p>
    <w:p w14:paraId="47055E85" w14:textId="77777777" w:rsidR="006E3D07" w:rsidRDefault="006E3D07" w:rsidP="006E3D07">
      <w:pPr>
        <w:spacing w:before="240"/>
        <w:jc w:val="center"/>
        <w:rPr>
          <w:u w:val="single"/>
        </w:rPr>
      </w:pPr>
      <w:r w:rsidRPr="00A25145">
        <w:rPr>
          <w:u w:val="single"/>
        </w:rPr>
        <w:tab/>
      </w:r>
      <w:r w:rsidRPr="00A25145">
        <w:rPr>
          <w:u w:val="single"/>
        </w:rPr>
        <w:tab/>
      </w:r>
      <w:r w:rsidRPr="00A25145">
        <w:rPr>
          <w:u w:val="single"/>
        </w:rPr>
        <w:tab/>
      </w:r>
    </w:p>
    <w:p w14:paraId="3915720C" w14:textId="302999FD" w:rsidR="00E12C5F" w:rsidRPr="008D53B6" w:rsidRDefault="00E12C5F" w:rsidP="00D9145B"/>
    <w:sectPr w:rsidR="00E12C5F" w:rsidRPr="008D53B6" w:rsidSect="00656AA0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C4CEE" w14:textId="77777777" w:rsidR="00A90F5D" w:rsidRPr="00A312BC" w:rsidRDefault="00A90F5D" w:rsidP="00A312BC"/>
  </w:endnote>
  <w:endnote w:type="continuationSeparator" w:id="0">
    <w:p w14:paraId="2680C6A8" w14:textId="77777777" w:rsidR="00A90F5D" w:rsidRPr="00A312BC" w:rsidRDefault="00A90F5D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DE888" w14:textId="7F30B9B2" w:rsidR="00656AA0" w:rsidRPr="00656AA0" w:rsidRDefault="00656AA0">
    <w:pPr>
      <w:pStyle w:val="a8"/>
    </w:pPr>
    <w:r w:rsidRPr="00656AA0">
      <w:rPr>
        <w:b/>
        <w:sz w:val="18"/>
      </w:rPr>
      <w:fldChar w:fldCharType="begin"/>
    </w:r>
    <w:r w:rsidRPr="00656AA0">
      <w:rPr>
        <w:b/>
        <w:sz w:val="18"/>
      </w:rPr>
      <w:instrText xml:space="preserve"> PAGE  \* MERGEFORMAT </w:instrText>
    </w:r>
    <w:r w:rsidRPr="00656AA0">
      <w:rPr>
        <w:b/>
        <w:sz w:val="18"/>
      </w:rPr>
      <w:fldChar w:fldCharType="separate"/>
    </w:r>
    <w:r w:rsidRPr="00656AA0">
      <w:rPr>
        <w:b/>
        <w:noProof/>
        <w:sz w:val="18"/>
      </w:rPr>
      <w:t>2</w:t>
    </w:r>
    <w:r w:rsidRPr="00656AA0">
      <w:rPr>
        <w:b/>
        <w:sz w:val="18"/>
      </w:rPr>
      <w:fldChar w:fldCharType="end"/>
    </w:r>
    <w:r>
      <w:rPr>
        <w:b/>
        <w:sz w:val="18"/>
      </w:rPr>
      <w:tab/>
    </w:r>
    <w:r>
      <w:t>GE.23-15621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90E8B" w14:textId="07FD1278" w:rsidR="00656AA0" w:rsidRPr="00656AA0" w:rsidRDefault="00656AA0" w:rsidP="00656AA0">
    <w:pPr>
      <w:pStyle w:val="a8"/>
      <w:tabs>
        <w:tab w:val="clear" w:pos="9639"/>
        <w:tab w:val="right" w:pos="9638"/>
      </w:tabs>
      <w:rPr>
        <w:b/>
        <w:sz w:val="18"/>
      </w:rPr>
    </w:pPr>
    <w:r>
      <w:t>GE.23-15621</w:t>
    </w:r>
    <w:r>
      <w:tab/>
    </w:r>
    <w:r w:rsidRPr="00656AA0">
      <w:rPr>
        <w:b/>
        <w:sz w:val="18"/>
      </w:rPr>
      <w:fldChar w:fldCharType="begin"/>
    </w:r>
    <w:r w:rsidRPr="00656AA0">
      <w:rPr>
        <w:b/>
        <w:sz w:val="18"/>
      </w:rPr>
      <w:instrText xml:space="preserve"> PAGE  \* MERGEFORMAT </w:instrText>
    </w:r>
    <w:r w:rsidRPr="00656AA0">
      <w:rPr>
        <w:b/>
        <w:sz w:val="18"/>
      </w:rPr>
      <w:fldChar w:fldCharType="separate"/>
    </w:r>
    <w:r w:rsidRPr="00656AA0">
      <w:rPr>
        <w:b/>
        <w:noProof/>
        <w:sz w:val="18"/>
      </w:rPr>
      <w:t>3</w:t>
    </w:r>
    <w:r w:rsidRPr="00656AA0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B4F80" w14:textId="06CE1DA6" w:rsidR="00042B72" w:rsidRPr="003C42C1" w:rsidRDefault="00656AA0" w:rsidP="003C42C1">
    <w:pPr>
      <w:tabs>
        <w:tab w:val="left" w:pos="1892"/>
      </w:tabs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35B2662E" wp14:editId="5F6BED18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23-15621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59AE46C" wp14:editId="2F899415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2C1">
      <w:rPr>
        <w:lang w:val="en-US"/>
      </w:rPr>
      <w:t xml:space="preserve">  110923  150923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14528" w14:textId="77777777" w:rsidR="00A90F5D" w:rsidRPr="001075E9" w:rsidRDefault="00A90F5D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87CD554" w14:textId="77777777" w:rsidR="00A90F5D" w:rsidRDefault="00A90F5D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1F34AE42" w14:textId="072B2459" w:rsidR="006E3D07" w:rsidRPr="00A25145" w:rsidRDefault="006E3D07" w:rsidP="006E3D07">
      <w:pPr>
        <w:pStyle w:val="ad"/>
      </w:pPr>
      <w:r>
        <w:tab/>
      </w:r>
      <w:r w:rsidRPr="00E90A57">
        <w:rPr>
          <w:sz w:val="20"/>
        </w:rPr>
        <w:t>*</w:t>
      </w:r>
      <w:r>
        <w:tab/>
      </w:r>
      <w:hyperlink r:id="rId1" w:history="1">
        <w:r w:rsidRPr="002B6C37">
          <w:rPr>
            <w:rStyle w:val="af1"/>
          </w:rPr>
          <w:t>A/77/6</w:t>
        </w:r>
      </w:hyperlink>
      <w:r>
        <w:t xml:space="preserve"> (разд. 20), таблица 20.6.</w:t>
      </w:r>
    </w:p>
  </w:footnote>
  <w:footnote w:id="2">
    <w:p w14:paraId="430DCF2D" w14:textId="2AE22104" w:rsidR="006E3D07" w:rsidRPr="000115F5" w:rsidRDefault="006E3D07" w:rsidP="006E3D07">
      <w:pPr>
        <w:pStyle w:val="ad"/>
        <w:rPr>
          <w:i/>
          <w:iCs/>
        </w:rPr>
      </w:pPr>
      <w:r>
        <w:tab/>
      </w:r>
      <w:r w:rsidRPr="006E3D07">
        <w:rPr>
          <w:rStyle w:val="aa"/>
        </w:rPr>
        <w:footnoteRef/>
      </w:r>
      <w:r>
        <w:tab/>
      </w:r>
      <w:r>
        <w:rPr>
          <w:i/>
          <w:iCs/>
        </w:rPr>
        <w:t>Директива 92/53/EEC Совета Европейских сообществ от 18 июня 1992 года</w:t>
      </w:r>
      <w:r w:rsidRPr="006E3D07">
        <w:rPr>
          <w:i/>
          <w:iCs/>
        </w:rPr>
        <w:t>, вносящая изменения в Директиву 70/156/</w:t>
      </w:r>
      <w:r w:rsidR="00C60386">
        <w:rPr>
          <w:i/>
          <w:iCs/>
        </w:rPr>
        <w:t>EEC</w:t>
      </w:r>
      <w:r w:rsidRPr="006E3D07">
        <w:rPr>
          <w:i/>
          <w:iCs/>
        </w:rPr>
        <w:t xml:space="preserve"> о сближении законодательства государств</w:t>
      </w:r>
      <w:r>
        <w:rPr>
          <w:i/>
          <w:iCs/>
        </w:rPr>
        <w:t xml:space="preserve"> ⸺ </w:t>
      </w:r>
      <w:r w:rsidRPr="006E3D07">
        <w:rPr>
          <w:i/>
          <w:iCs/>
        </w:rPr>
        <w:t xml:space="preserve">членов ЕС, касающегося процедуры одобрения типа моторных транспортных средств и их прицепов, опубликованная в </w:t>
      </w:r>
      <w:proofErr w:type="spellStart"/>
      <w:r w:rsidRPr="006E3D07">
        <w:rPr>
          <w:i/>
          <w:iCs/>
        </w:rPr>
        <w:t>Official</w:t>
      </w:r>
      <w:proofErr w:type="spellEnd"/>
      <w:r w:rsidRPr="006E3D07">
        <w:rPr>
          <w:i/>
          <w:iCs/>
        </w:rPr>
        <w:t xml:space="preserve"> Journal </w:t>
      </w:r>
      <w:proofErr w:type="spellStart"/>
      <w:r w:rsidRPr="006E3D07">
        <w:rPr>
          <w:i/>
          <w:iCs/>
        </w:rPr>
        <w:t>of</w:t>
      </w:r>
      <w:proofErr w:type="spellEnd"/>
      <w:r w:rsidRPr="006E3D07">
        <w:rPr>
          <w:i/>
          <w:iCs/>
        </w:rPr>
        <w:t xml:space="preserve"> </w:t>
      </w:r>
      <w:proofErr w:type="spellStart"/>
      <w:r w:rsidRPr="006E3D07">
        <w:rPr>
          <w:i/>
          <w:iCs/>
        </w:rPr>
        <w:t>the</w:t>
      </w:r>
      <w:proofErr w:type="spellEnd"/>
      <w:r w:rsidRPr="006E3D07">
        <w:rPr>
          <w:i/>
          <w:iCs/>
        </w:rPr>
        <w:t xml:space="preserve"> European </w:t>
      </w:r>
      <w:proofErr w:type="spellStart"/>
      <w:r w:rsidRPr="006E3D07">
        <w:rPr>
          <w:i/>
          <w:iCs/>
        </w:rPr>
        <w:t>Communities</w:t>
      </w:r>
      <w:proofErr w:type="spellEnd"/>
      <w:r w:rsidRPr="006E3D07">
        <w:rPr>
          <w:i/>
          <w:iCs/>
        </w:rPr>
        <w:t xml:space="preserve"> No. L 225 от 10 августа</w:t>
      </w:r>
      <w:r>
        <w:rPr>
          <w:i/>
          <w:iCs/>
        </w:rPr>
        <w:t xml:space="preserve"> 1992</w:t>
      </w:r>
      <w:r>
        <w:rPr>
          <w:i/>
          <w:iCs/>
          <w:lang w:val="en-US"/>
        </w:rPr>
        <w:t> </w:t>
      </w:r>
      <w:r>
        <w:rPr>
          <w:i/>
          <w:iCs/>
        </w:rPr>
        <w:t>года.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803F3" w14:textId="17C4D0E6" w:rsidR="00656AA0" w:rsidRPr="00656AA0" w:rsidRDefault="004D33AB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 w:rsidR="00A57CA8">
      <w:t>ECE/TRANS/WP.15/2023/5/Rev.1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55AF2" w14:textId="23760A66" w:rsidR="00656AA0" w:rsidRPr="00656AA0" w:rsidRDefault="004D33AB" w:rsidP="00656AA0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A57CA8">
      <w:t>ECE/TRANS/WP.15/2023/5/Rev.1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A0A97"/>
    <w:multiLevelType w:val="hybridMultilevel"/>
    <w:tmpl w:val="32B83680"/>
    <w:lvl w:ilvl="0" w:tplc="0C848F3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7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8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5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5"/>
  </w:num>
  <w:num w:numId="20" w16cid:durableId="807743971">
    <w:abstractNumId w:val="12"/>
  </w:num>
  <w:num w:numId="21" w16cid:durableId="1591162185">
    <w:abstractNumId w:val="14"/>
  </w:num>
  <w:num w:numId="22" w16cid:durableId="1309549128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5D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6C37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C42C1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56AA0"/>
    <w:rsid w:val="00680D03"/>
    <w:rsid w:val="00681A10"/>
    <w:rsid w:val="006A1ED8"/>
    <w:rsid w:val="006B6C84"/>
    <w:rsid w:val="006C2031"/>
    <w:rsid w:val="006D461A"/>
    <w:rsid w:val="006E3D07"/>
    <w:rsid w:val="006F35EE"/>
    <w:rsid w:val="007021FF"/>
    <w:rsid w:val="00712895"/>
    <w:rsid w:val="00734ACB"/>
    <w:rsid w:val="00757357"/>
    <w:rsid w:val="00792497"/>
    <w:rsid w:val="007B3E3E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A565D"/>
    <w:rsid w:val="009C59D7"/>
    <w:rsid w:val="009C6FE6"/>
    <w:rsid w:val="009D7E7D"/>
    <w:rsid w:val="00A14DA8"/>
    <w:rsid w:val="00A312BC"/>
    <w:rsid w:val="00A36BD6"/>
    <w:rsid w:val="00A57CA8"/>
    <w:rsid w:val="00A84021"/>
    <w:rsid w:val="00A84D35"/>
    <w:rsid w:val="00A90F5D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386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B137A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EF393F"/>
    <w:rsid w:val="00F2523A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F8E8A"/>
  <w15:docId w15:val="{CB97BAF5-0907-4253-994F-2258896F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Footnote Reference/"/>
    <w:basedOn w:val="a0"/>
    <w:uiPriority w:val="99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locked/>
    <w:rsid w:val="006E3D07"/>
    <w:rPr>
      <w:lang w:val="ru-RU" w:eastAsia="en-US"/>
    </w:rPr>
  </w:style>
  <w:style w:type="paragraph" w:styleId="af3">
    <w:name w:val="List Paragraph"/>
    <w:basedOn w:val="a"/>
    <w:uiPriority w:val="34"/>
    <w:rsid w:val="006E3D07"/>
    <w:pPr>
      <w:ind w:left="720"/>
      <w:contextualSpacing/>
    </w:pPr>
  </w:style>
  <w:style w:type="character" w:styleId="af4">
    <w:name w:val="Unresolved Mention"/>
    <w:basedOn w:val="a0"/>
    <w:uiPriority w:val="99"/>
    <w:semiHidden/>
    <w:unhideWhenUsed/>
    <w:rsid w:val="006E3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docs.org/ru/TRANS/WP.15/CD/6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undocs.org/ru/A/77/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ée un document." ma:contentTypeScope="" ma:versionID="d593cc96c5d428f23a5351564b268b6d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76aafa040e38551359a67edc98402bfa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7E9D08-F9D5-4158-84B1-D3A905BC36BA}"/>
</file>

<file path=customXml/itemProps2.xml><?xml version="1.0" encoding="utf-8"?>
<ds:datastoreItem xmlns:ds="http://schemas.openxmlformats.org/officeDocument/2006/customXml" ds:itemID="{39762441-5B09-4BEA-8721-7A038F4577F0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93</TotalTime>
  <Pages>6</Pages>
  <Words>2164</Words>
  <Characters>14392</Characters>
  <Application>Microsoft Office Word</Application>
  <DocSecurity>0</DocSecurity>
  <Lines>287</Lines>
  <Paragraphs>101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ECE/TRANS/WP.15/2023/5/Rev.1</vt:lpstr>
      <vt:lpstr>A/</vt:lpstr>
      <vt:lpstr>A/</vt:lpstr>
    </vt:vector>
  </TitlesOfParts>
  <Company>DCM</Company>
  <LinksUpToDate>false</LinksUpToDate>
  <CharactersWithSpaces>16455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ECE/TRANS/WP.15/2023/5/Rev.1</dc:title>
  <dc:subject/>
  <dc:creator>Ekaterina SALYNSKAYA</dc:creator>
  <cp:keywords/>
  <cp:lastModifiedBy>Ekaterina Salynskaya</cp:lastModifiedBy>
  <cp:revision>3</cp:revision>
  <cp:lastPrinted>2023-09-15T15:04:00Z</cp:lastPrinted>
  <dcterms:created xsi:type="dcterms:W3CDTF">2023-09-15T15:04:00Z</dcterms:created>
  <dcterms:modified xsi:type="dcterms:W3CDTF">2023-09-15T15:04:00Z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