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36C8C8E" w14:textId="77777777" w:rsidTr="00C97039">
        <w:trPr>
          <w:trHeight w:hRule="exact" w:val="851"/>
        </w:trPr>
        <w:tc>
          <w:tcPr>
            <w:tcW w:w="1276" w:type="dxa"/>
            <w:tcBorders>
              <w:bottom w:val="single" w:sz="4" w:space="0" w:color="auto"/>
            </w:tcBorders>
          </w:tcPr>
          <w:p w14:paraId="6B4DCD94" w14:textId="77777777" w:rsidR="00F35BAF" w:rsidRPr="00DB58B5" w:rsidRDefault="00F35BAF" w:rsidP="008E6598"/>
        </w:tc>
        <w:tc>
          <w:tcPr>
            <w:tcW w:w="2268" w:type="dxa"/>
            <w:tcBorders>
              <w:bottom w:val="single" w:sz="4" w:space="0" w:color="auto"/>
            </w:tcBorders>
            <w:vAlign w:val="bottom"/>
          </w:tcPr>
          <w:p w14:paraId="22D48AB9"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EDA9AAC" w14:textId="212B4222" w:rsidR="00F35BAF" w:rsidRPr="00DB58B5" w:rsidRDefault="008E6598" w:rsidP="008E6598">
            <w:pPr>
              <w:jc w:val="right"/>
            </w:pPr>
            <w:r w:rsidRPr="008E6598">
              <w:rPr>
                <w:sz w:val="40"/>
              </w:rPr>
              <w:t>ECE</w:t>
            </w:r>
            <w:r>
              <w:t>/TRANS/WP.15/2023/5/Rev.1</w:t>
            </w:r>
          </w:p>
        </w:tc>
      </w:tr>
      <w:tr w:rsidR="00F35BAF" w:rsidRPr="00DB58B5" w14:paraId="08566220" w14:textId="77777777" w:rsidTr="00C97039">
        <w:trPr>
          <w:trHeight w:hRule="exact" w:val="2835"/>
        </w:trPr>
        <w:tc>
          <w:tcPr>
            <w:tcW w:w="1276" w:type="dxa"/>
            <w:tcBorders>
              <w:top w:val="single" w:sz="4" w:space="0" w:color="auto"/>
              <w:bottom w:val="single" w:sz="12" w:space="0" w:color="auto"/>
            </w:tcBorders>
          </w:tcPr>
          <w:p w14:paraId="6658F5C8" w14:textId="77777777" w:rsidR="00F35BAF" w:rsidRPr="00DB58B5" w:rsidRDefault="00F35BAF" w:rsidP="00C97039">
            <w:pPr>
              <w:spacing w:before="120"/>
              <w:jc w:val="center"/>
            </w:pPr>
            <w:r>
              <w:rPr>
                <w:noProof/>
                <w:lang w:eastAsia="fr-CH"/>
              </w:rPr>
              <w:drawing>
                <wp:inline distT="0" distB="0" distL="0" distR="0" wp14:anchorId="7F566B80" wp14:editId="31671B5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D9DD7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388620E" w14:textId="77777777" w:rsidR="00F35BAF" w:rsidRDefault="008E6598" w:rsidP="00C97039">
            <w:pPr>
              <w:spacing w:before="240"/>
            </w:pPr>
            <w:r>
              <w:t>Distr. générale</w:t>
            </w:r>
          </w:p>
          <w:p w14:paraId="4F8DD4DA" w14:textId="3778DBD2" w:rsidR="008E6598" w:rsidRDefault="008E6598" w:rsidP="008E6598">
            <w:pPr>
              <w:spacing w:line="240" w:lineRule="exact"/>
            </w:pPr>
            <w:r>
              <w:t>15 août 2023</w:t>
            </w:r>
          </w:p>
          <w:p w14:paraId="06FF7182" w14:textId="77777777" w:rsidR="008E6598" w:rsidRDefault="008E6598" w:rsidP="008E6598">
            <w:pPr>
              <w:spacing w:line="240" w:lineRule="exact"/>
            </w:pPr>
            <w:r>
              <w:t>Français</w:t>
            </w:r>
          </w:p>
          <w:p w14:paraId="2A11CF9C" w14:textId="392A14D6" w:rsidR="008E6598" w:rsidRPr="00DB58B5" w:rsidRDefault="008E6598" w:rsidP="008E6598">
            <w:pPr>
              <w:spacing w:line="240" w:lineRule="exact"/>
            </w:pPr>
            <w:r>
              <w:t>Original : anglais</w:t>
            </w:r>
          </w:p>
        </w:tc>
      </w:tr>
    </w:tbl>
    <w:p w14:paraId="74FF1FEB" w14:textId="77777777" w:rsidR="007F20FA" w:rsidRPr="000312C0" w:rsidRDefault="007F20FA" w:rsidP="007F20FA">
      <w:pPr>
        <w:spacing w:before="120"/>
        <w:rPr>
          <w:b/>
          <w:sz w:val="28"/>
          <w:szCs w:val="28"/>
        </w:rPr>
      </w:pPr>
      <w:r w:rsidRPr="000312C0">
        <w:rPr>
          <w:b/>
          <w:sz w:val="28"/>
          <w:szCs w:val="28"/>
        </w:rPr>
        <w:t>Commission économique pour l’Europe</w:t>
      </w:r>
    </w:p>
    <w:p w14:paraId="7A786058" w14:textId="77777777" w:rsidR="007F20FA" w:rsidRDefault="007F20FA" w:rsidP="007F20FA">
      <w:pPr>
        <w:spacing w:before="120"/>
        <w:rPr>
          <w:sz w:val="28"/>
          <w:szCs w:val="28"/>
        </w:rPr>
      </w:pPr>
      <w:r w:rsidRPr="00685843">
        <w:rPr>
          <w:sz w:val="28"/>
          <w:szCs w:val="28"/>
        </w:rPr>
        <w:t>Comité des transports intérieurs</w:t>
      </w:r>
    </w:p>
    <w:p w14:paraId="1B5F6682" w14:textId="77777777" w:rsidR="008E6598" w:rsidRPr="009E01B8" w:rsidRDefault="008E6598" w:rsidP="00E85C74">
      <w:pPr>
        <w:spacing w:before="120"/>
        <w:rPr>
          <w:b/>
          <w:sz w:val="24"/>
          <w:szCs w:val="24"/>
        </w:rPr>
      </w:pPr>
      <w:r w:rsidRPr="009E01B8">
        <w:rPr>
          <w:b/>
          <w:sz w:val="24"/>
          <w:szCs w:val="24"/>
        </w:rPr>
        <w:t>Groupe de travail des transports de marchandises dangereuses</w:t>
      </w:r>
    </w:p>
    <w:p w14:paraId="35EC428C" w14:textId="6C3BD45B" w:rsidR="008E6598" w:rsidRPr="00992778" w:rsidRDefault="008E6598" w:rsidP="00E85C74">
      <w:pPr>
        <w:spacing w:before="120"/>
        <w:rPr>
          <w:b/>
        </w:rPr>
      </w:pPr>
      <w:r>
        <w:rPr>
          <w:b/>
        </w:rPr>
        <w:t>114</w:t>
      </w:r>
      <w:r w:rsidRPr="008E6598">
        <w:rPr>
          <w:b/>
          <w:vertAlign w:val="superscript"/>
        </w:rPr>
        <w:t>e</w:t>
      </w:r>
      <w:r>
        <w:rPr>
          <w:b/>
        </w:rPr>
        <w:t> </w:t>
      </w:r>
      <w:r w:rsidRPr="00992778">
        <w:rPr>
          <w:b/>
        </w:rPr>
        <w:t>session</w:t>
      </w:r>
    </w:p>
    <w:p w14:paraId="43C1D87A" w14:textId="4BAD21E6" w:rsidR="008E6598" w:rsidRDefault="008E6598" w:rsidP="00E85C74">
      <w:r>
        <w:t>Genève, 6-10 novembre 2023</w:t>
      </w:r>
    </w:p>
    <w:p w14:paraId="7E9A99C8" w14:textId="5F9E6D51" w:rsidR="008E6598" w:rsidRDefault="008E6598" w:rsidP="00E85C74">
      <w:r w:rsidRPr="00B93E72">
        <w:t>Point</w:t>
      </w:r>
      <w:r>
        <w:t> 6</w:t>
      </w:r>
      <w:r w:rsidRPr="00B93E72">
        <w:t xml:space="preserve"> de l’ordre du jour provisoire</w:t>
      </w:r>
    </w:p>
    <w:p w14:paraId="72E1F1FE" w14:textId="77777777" w:rsidR="008E6598" w:rsidRPr="00C73E55" w:rsidRDefault="008E6598" w:rsidP="008E6598">
      <w:pPr>
        <w:spacing w:line="240" w:lineRule="auto"/>
        <w:rPr>
          <w:b/>
          <w:bCs/>
          <w:lang w:val="fr-FR"/>
        </w:rPr>
      </w:pPr>
      <w:r w:rsidRPr="00C73E55">
        <w:rPr>
          <w:b/>
          <w:bCs/>
          <w:lang w:val="fr-FR"/>
        </w:rPr>
        <w:t>Interprétation de l</w:t>
      </w:r>
      <w:r>
        <w:rPr>
          <w:b/>
          <w:bCs/>
          <w:lang w:val="fr-FR"/>
        </w:rPr>
        <w:t>’</w:t>
      </w:r>
      <w:r w:rsidRPr="00C73E55">
        <w:rPr>
          <w:b/>
          <w:bCs/>
          <w:lang w:val="fr-FR"/>
        </w:rPr>
        <w:t>ADR</w:t>
      </w:r>
    </w:p>
    <w:p w14:paraId="610D960E" w14:textId="77777777" w:rsidR="008E6598" w:rsidRPr="00C73E55" w:rsidRDefault="008E6598" w:rsidP="008E6598">
      <w:pPr>
        <w:pStyle w:val="HChG"/>
        <w:rPr>
          <w:lang w:val="fr-FR"/>
        </w:rPr>
      </w:pPr>
      <w:r w:rsidRPr="00C73E55">
        <w:rPr>
          <w:lang w:val="fr-FR"/>
        </w:rPr>
        <w:tab/>
      </w:r>
      <w:r w:rsidRPr="00C73E55">
        <w:rPr>
          <w:lang w:val="fr-FR"/>
        </w:rPr>
        <w:tab/>
      </w:r>
      <w:r w:rsidRPr="008E6598">
        <w:t>Champ</w:t>
      </w:r>
      <w:r w:rsidRPr="00C73E55">
        <w:rPr>
          <w:lang w:val="fr-FR"/>
        </w:rPr>
        <w:t xml:space="preserve"> d</w:t>
      </w:r>
      <w:r>
        <w:rPr>
          <w:lang w:val="fr-FR"/>
        </w:rPr>
        <w:t>’</w:t>
      </w:r>
      <w:r w:rsidRPr="00C73E55">
        <w:rPr>
          <w:lang w:val="fr-FR"/>
        </w:rPr>
        <w:t>application de l</w:t>
      </w:r>
      <w:r>
        <w:rPr>
          <w:lang w:val="fr-FR"/>
        </w:rPr>
        <w:t>’</w:t>
      </w:r>
      <w:r w:rsidRPr="00C73E55">
        <w:rPr>
          <w:lang w:val="fr-FR"/>
        </w:rPr>
        <w:t>ADR</w:t>
      </w:r>
    </w:p>
    <w:p w14:paraId="61428FCB" w14:textId="1BAF6E5C" w:rsidR="008E6598" w:rsidRPr="00C73E55" w:rsidRDefault="008E6598" w:rsidP="008E6598">
      <w:pPr>
        <w:pStyle w:val="H1G"/>
        <w:rPr>
          <w:b w:val="0"/>
          <w:bCs/>
          <w:szCs w:val="24"/>
          <w:lang w:val="fr-FR" w:eastAsia="ru-RU"/>
        </w:rPr>
      </w:pPr>
      <w:r w:rsidRPr="00C73E55">
        <w:rPr>
          <w:lang w:val="fr-FR"/>
        </w:rPr>
        <w:tab/>
      </w:r>
      <w:r w:rsidRPr="00C73E55">
        <w:rPr>
          <w:lang w:val="fr-FR"/>
        </w:rPr>
        <w:tab/>
        <w:t xml:space="preserve">Note </w:t>
      </w:r>
      <w:r w:rsidRPr="008E6598">
        <w:t>du</w:t>
      </w:r>
      <w:r w:rsidRPr="00C73E55">
        <w:rPr>
          <w:lang w:val="fr-FR"/>
        </w:rPr>
        <w:t xml:space="preserve"> secrétariat</w:t>
      </w:r>
      <w:r w:rsidR="00B75FA7" w:rsidRPr="008D5903">
        <w:rPr>
          <w:rStyle w:val="Appelnotedebasdep"/>
          <w:b w:val="0"/>
          <w:bCs/>
          <w:sz w:val="20"/>
          <w:vertAlign w:val="baseline"/>
        </w:rPr>
        <w:footnoteReference w:customMarkFollows="1" w:id="2"/>
        <w:t>*</w:t>
      </w:r>
    </w:p>
    <w:p w14:paraId="29322662" w14:textId="5193507D" w:rsidR="00F9573C" w:rsidRDefault="008E6598" w:rsidP="008E6598">
      <w:pPr>
        <w:pStyle w:val="H23G"/>
        <w:rPr>
          <w:lang w:val="fr-FR"/>
        </w:rPr>
      </w:pPr>
      <w:r w:rsidRPr="00C73E55">
        <w:rPr>
          <w:lang w:val="fr-FR"/>
        </w:rPr>
        <w:tab/>
      </w:r>
      <w:r w:rsidRPr="00C73E55">
        <w:rPr>
          <w:lang w:val="fr-FR"/>
        </w:rPr>
        <w:tab/>
      </w:r>
      <w:r>
        <w:rPr>
          <w:lang w:val="fr-FR"/>
        </w:rPr>
        <w:t>Version révisée</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8E6598" w14:paraId="5C59AF2B" w14:textId="77777777" w:rsidTr="008E6598">
        <w:trPr>
          <w:jc w:val="center"/>
        </w:trPr>
        <w:tc>
          <w:tcPr>
            <w:tcW w:w="9628" w:type="dxa"/>
            <w:shd w:val="clear" w:color="auto" w:fill="auto"/>
          </w:tcPr>
          <w:p w14:paraId="19FEBB07" w14:textId="77777777" w:rsidR="008E6598" w:rsidRDefault="008E6598">
            <w:pPr>
              <w:spacing w:before="240" w:after="120"/>
              <w:ind w:left="255"/>
              <w:rPr>
                <w:i/>
                <w:sz w:val="24"/>
              </w:rPr>
            </w:pPr>
            <w:r>
              <w:rPr>
                <w:i/>
                <w:sz w:val="24"/>
              </w:rPr>
              <w:t>Résumé</w:t>
            </w:r>
          </w:p>
        </w:tc>
      </w:tr>
      <w:tr w:rsidR="008E6598" w14:paraId="18BD7C95" w14:textId="77777777" w:rsidTr="008E6598">
        <w:trPr>
          <w:jc w:val="center"/>
        </w:trPr>
        <w:tc>
          <w:tcPr>
            <w:tcW w:w="9628" w:type="dxa"/>
            <w:shd w:val="clear" w:color="auto" w:fill="auto"/>
          </w:tcPr>
          <w:p w14:paraId="77A1E43A" w14:textId="69D4EA0A" w:rsidR="008E6598" w:rsidRDefault="008E6598" w:rsidP="008E6598">
            <w:pPr>
              <w:pStyle w:val="SingleTxtG"/>
              <w:ind w:firstLine="567"/>
            </w:pPr>
            <w:r w:rsidRPr="00C73E55">
              <w:rPr>
                <w:lang w:val="fr-FR"/>
              </w:rPr>
              <w:t>À sa 112</w:t>
            </w:r>
            <w:r w:rsidRPr="00C73E55">
              <w:rPr>
                <w:vertAlign w:val="superscript"/>
                <w:lang w:val="fr-FR"/>
              </w:rPr>
              <w:t>e</w:t>
            </w:r>
            <w:r w:rsidRPr="00B75FA7">
              <w:rPr>
                <w:lang w:val="fr-FR"/>
              </w:rPr>
              <w:t> </w:t>
            </w:r>
            <w:r w:rsidRPr="00C73E55">
              <w:rPr>
                <w:lang w:val="fr-FR"/>
              </w:rPr>
              <w:t>session, le Groupe de travail des transports de marchandises dangereuses s</w:t>
            </w:r>
            <w:r>
              <w:rPr>
                <w:lang w:val="fr-FR"/>
              </w:rPr>
              <w:t>’</w:t>
            </w:r>
            <w:r w:rsidRPr="00C73E55">
              <w:rPr>
                <w:lang w:val="fr-FR"/>
              </w:rPr>
              <w:t>est penché sur la question de savoir si les véhicules à deux et trois roues entraient ou non dans le champ d</w:t>
            </w:r>
            <w:r>
              <w:rPr>
                <w:lang w:val="fr-FR"/>
              </w:rPr>
              <w:t>’</w:t>
            </w:r>
            <w:r w:rsidRPr="00C73E55">
              <w:rPr>
                <w:lang w:val="fr-FR"/>
              </w:rPr>
              <w:t>application de l</w:t>
            </w:r>
            <w:r>
              <w:rPr>
                <w:lang w:val="fr-FR"/>
              </w:rPr>
              <w:t>’</w:t>
            </w:r>
            <w:r w:rsidRPr="00C73E55">
              <w:rPr>
                <w:lang w:val="fr-FR"/>
              </w:rPr>
              <w:t>Accord relatif au transport international des marchandises dangereuses par route (ADR).</w:t>
            </w:r>
          </w:p>
        </w:tc>
      </w:tr>
      <w:tr w:rsidR="008E6598" w14:paraId="4B0C1C83" w14:textId="77777777" w:rsidTr="008E6598">
        <w:trPr>
          <w:jc w:val="center"/>
        </w:trPr>
        <w:tc>
          <w:tcPr>
            <w:tcW w:w="9628" w:type="dxa"/>
            <w:shd w:val="clear" w:color="auto" w:fill="auto"/>
          </w:tcPr>
          <w:p w14:paraId="43C72CBD" w14:textId="1EDBE5A9" w:rsidR="008E6598" w:rsidRPr="00C73E55" w:rsidRDefault="008E6598" w:rsidP="008E6598">
            <w:pPr>
              <w:pStyle w:val="SingleTxtG"/>
              <w:ind w:firstLine="567"/>
              <w:rPr>
                <w:lang w:val="fr-FR"/>
              </w:rPr>
            </w:pPr>
            <w:r w:rsidRPr="00C73E55">
              <w:rPr>
                <w:lang w:val="fr-FR"/>
              </w:rPr>
              <w:t>Le Groupe de travail est convenu que la question devait être examinée plus avant et qu</w:t>
            </w:r>
            <w:r>
              <w:rPr>
                <w:lang w:val="fr-FR"/>
              </w:rPr>
              <w:t>’</w:t>
            </w:r>
            <w:r w:rsidRPr="00C73E55">
              <w:rPr>
                <w:lang w:val="fr-FR"/>
              </w:rPr>
              <w:t>il fallait accorder une attention particulière aux autres textes réglementaires et législatifs, tels que la Convention de Vienne sur le droit des traités de 1968.</w:t>
            </w:r>
          </w:p>
        </w:tc>
      </w:tr>
      <w:tr w:rsidR="008E6598" w14:paraId="308D8826" w14:textId="77777777" w:rsidTr="008E6598">
        <w:trPr>
          <w:jc w:val="center"/>
        </w:trPr>
        <w:tc>
          <w:tcPr>
            <w:tcW w:w="9628" w:type="dxa"/>
            <w:shd w:val="clear" w:color="auto" w:fill="auto"/>
          </w:tcPr>
          <w:p w14:paraId="34D37DCA" w14:textId="62923CEF" w:rsidR="008E6598" w:rsidRPr="00C73E55" w:rsidRDefault="008E6598" w:rsidP="008E6598">
            <w:pPr>
              <w:pStyle w:val="SingleTxtG"/>
              <w:ind w:firstLine="567"/>
              <w:rPr>
                <w:lang w:val="fr-FR"/>
              </w:rPr>
            </w:pPr>
            <w:r w:rsidRPr="00C73E55">
              <w:rPr>
                <w:lang w:val="fr-FR"/>
              </w:rPr>
              <w:t>C</w:t>
            </w:r>
            <w:r>
              <w:rPr>
                <w:lang w:val="fr-FR"/>
              </w:rPr>
              <w:t>’</w:t>
            </w:r>
            <w:r w:rsidRPr="00C73E55">
              <w:rPr>
                <w:lang w:val="fr-FR"/>
              </w:rPr>
              <w:t>est dans cette perspective que le secrétariat a élaboré le présent document, après avoir consulté le Bureau des affaires juridiques de l</w:t>
            </w:r>
            <w:r>
              <w:rPr>
                <w:lang w:val="fr-FR"/>
              </w:rPr>
              <w:t>’</w:t>
            </w:r>
            <w:r w:rsidRPr="00C73E55">
              <w:rPr>
                <w:lang w:val="fr-FR"/>
              </w:rPr>
              <w:t>ONU.</w:t>
            </w:r>
          </w:p>
        </w:tc>
      </w:tr>
      <w:tr w:rsidR="008E6598" w14:paraId="763EAFB9" w14:textId="77777777" w:rsidTr="008E6598">
        <w:trPr>
          <w:jc w:val="center"/>
        </w:trPr>
        <w:tc>
          <w:tcPr>
            <w:tcW w:w="9628" w:type="dxa"/>
            <w:shd w:val="clear" w:color="auto" w:fill="auto"/>
          </w:tcPr>
          <w:p w14:paraId="417D1295" w14:textId="06AA82F5" w:rsidR="008E6598" w:rsidRPr="00C73E55" w:rsidRDefault="008E6598" w:rsidP="008E6598">
            <w:pPr>
              <w:pStyle w:val="SingleTxtG"/>
              <w:ind w:firstLine="567"/>
              <w:rPr>
                <w:lang w:val="fr-FR"/>
              </w:rPr>
            </w:pPr>
            <w:r>
              <w:rPr>
                <w:lang w:val="fr-FR"/>
              </w:rPr>
              <w:t>Dans la présente version révisée, l</w:t>
            </w:r>
            <w:r w:rsidRPr="00C73E55">
              <w:rPr>
                <w:lang w:val="fr-FR"/>
              </w:rPr>
              <w:t>e titre d</w:t>
            </w:r>
            <w:r>
              <w:rPr>
                <w:lang w:val="fr-FR"/>
              </w:rPr>
              <w:t>e la section</w:t>
            </w:r>
            <w:r>
              <w:rPr>
                <w:lang w:val="fr-FR"/>
              </w:rPr>
              <w:t> </w:t>
            </w:r>
            <w:r w:rsidRPr="00C73E55">
              <w:rPr>
                <w:lang w:val="fr-FR"/>
              </w:rPr>
              <w:t>III.</w:t>
            </w:r>
            <w:r>
              <w:rPr>
                <w:lang w:val="fr-FR"/>
              </w:rPr>
              <w:t> </w:t>
            </w:r>
            <w:r w:rsidRPr="00C73E55">
              <w:rPr>
                <w:lang w:val="fr-FR"/>
              </w:rPr>
              <w:t>B. et le texte du paragraphe</w:t>
            </w:r>
            <w:r>
              <w:rPr>
                <w:lang w:val="fr-FR"/>
              </w:rPr>
              <w:t> </w:t>
            </w:r>
            <w:r w:rsidRPr="00C73E55">
              <w:rPr>
                <w:lang w:val="fr-FR"/>
              </w:rPr>
              <w:t xml:space="preserve">13 </w:t>
            </w:r>
            <w:r>
              <w:rPr>
                <w:lang w:val="fr-FR"/>
              </w:rPr>
              <w:t>ont été modifiés</w:t>
            </w:r>
            <w:r w:rsidRPr="00C73E55">
              <w:rPr>
                <w:lang w:val="fr-FR"/>
              </w:rPr>
              <w:t xml:space="preserve"> pour faire référence aux cycles équipés d</w:t>
            </w:r>
            <w:r>
              <w:rPr>
                <w:lang w:val="fr-FR"/>
              </w:rPr>
              <w:t>’</w:t>
            </w:r>
            <w:r w:rsidRPr="00C73E55">
              <w:rPr>
                <w:lang w:val="fr-FR"/>
              </w:rPr>
              <w:t>un moteur auxiliaire d</w:t>
            </w:r>
            <w:r>
              <w:rPr>
                <w:lang w:val="fr-FR"/>
              </w:rPr>
              <w:t>’</w:t>
            </w:r>
            <w:r w:rsidRPr="00C73E55">
              <w:rPr>
                <w:lang w:val="fr-FR"/>
              </w:rPr>
              <w:t>une cylindrée maximum de 50</w:t>
            </w:r>
            <w:r>
              <w:rPr>
                <w:lang w:val="fr-FR"/>
              </w:rPr>
              <w:t> </w:t>
            </w:r>
            <w:r w:rsidRPr="00C73E55">
              <w:rPr>
                <w:lang w:val="fr-FR"/>
              </w:rPr>
              <w:t>cm³.</w:t>
            </w:r>
          </w:p>
        </w:tc>
      </w:tr>
      <w:tr w:rsidR="008E6598" w14:paraId="4ECBEC55" w14:textId="77777777" w:rsidTr="00B75FA7">
        <w:trPr>
          <w:jc w:val="center"/>
        </w:trPr>
        <w:tc>
          <w:tcPr>
            <w:tcW w:w="9628" w:type="dxa"/>
            <w:tcBorders>
              <w:bottom w:val="nil"/>
            </w:tcBorders>
            <w:shd w:val="clear" w:color="auto" w:fill="auto"/>
          </w:tcPr>
          <w:p w14:paraId="37D057FA" w14:textId="39A8FF6B" w:rsidR="008E6598" w:rsidRPr="00C73E55" w:rsidRDefault="008E6598" w:rsidP="008E6598">
            <w:pPr>
              <w:pStyle w:val="SingleTxtG"/>
              <w:ind w:firstLine="567"/>
              <w:rPr>
                <w:lang w:val="fr-FR"/>
              </w:rPr>
            </w:pPr>
            <w:r w:rsidRPr="00C73E55">
              <w:rPr>
                <w:lang w:val="fr-FR"/>
              </w:rPr>
              <w:t>Le Groupe de travail est invité à analyser les informations ci-après et, compte également tenu des précisions supplémentaires concernant l</w:t>
            </w:r>
            <w:r>
              <w:rPr>
                <w:lang w:val="fr-FR"/>
              </w:rPr>
              <w:t>’</w:t>
            </w:r>
            <w:r w:rsidRPr="00C73E55">
              <w:rPr>
                <w:lang w:val="fr-FR"/>
              </w:rPr>
              <w:t>application de la réglementation qui seront fournies par les participants, à décider des éventuelles mesures à prendre afin de permettre le transport en toute sécurité de marchandises dangereuses par des véhicules de micromobilité et par des cycles.</w:t>
            </w:r>
          </w:p>
        </w:tc>
      </w:tr>
      <w:tr w:rsidR="008E6598" w14:paraId="6A837C6D" w14:textId="77777777" w:rsidTr="00B75FA7">
        <w:trPr>
          <w:jc w:val="center"/>
        </w:trPr>
        <w:tc>
          <w:tcPr>
            <w:tcW w:w="9628" w:type="dxa"/>
            <w:tcBorders>
              <w:top w:val="nil"/>
              <w:bottom w:val="nil"/>
            </w:tcBorders>
            <w:shd w:val="clear" w:color="auto" w:fill="auto"/>
          </w:tcPr>
          <w:p w14:paraId="28AC0689" w14:textId="7951B70A" w:rsidR="008E6598" w:rsidRPr="00C73E55" w:rsidRDefault="008E6598" w:rsidP="008E6598">
            <w:pPr>
              <w:pStyle w:val="SingleTxtG"/>
              <w:ind w:firstLine="567"/>
              <w:rPr>
                <w:lang w:val="fr-FR"/>
              </w:rPr>
            </w:pPr>
            <w:r w:rsidRPr="00C73E55">
              <w:rPr>
                <w:i/>
                <w:iCs/>
                <w:lang w:val="fr-FR"/>
              </w:rPr>
              <w:t>Objectifs de développement durable (ODD) </w:t>
            </w:r>
            <w:r w:rsidRPr="00C73E55">
              <w:rPr>
                <w:lang w:val="fr-FR"/>
              </w:rPr>
              <w:t>: La clarification des dispositions actuelles et l</w:t>
            </w:r>
            <w:r>
              <w:rPr>
                <w:lang w:val="fr-FR"/>
              </w:rPr>
              <w:t>’</w:t>
            </w:r>
            <w:r w:rsidRPr="00C73E55">
              <w:rPr>
                <w:lang w:val="fr-FR"/>
              </w:rPr>
              <w:t xml:space="preserve">élaboration de nouvelles dispositions visant à permettre le transport sûr et sans </w:t>
            </w:r>
            <w:r w:rsidRPr="00C73E55">
              <w:rPr>
                <w:spacing w:val="-2"/>
                <w:lang w:val="fr-FR"/>
              </w:rPr>
              <w:t>danger de marchandises dangereuses par des véhicules de micromobilité et par des cycles contribuera à la réalisation des ODD n</w:t>
            </w:r>
            <w:r w:rsidRPr="00C73E55">
              <w:rPr>
                <w:spacing w:val="-2"/>
                <w:vertAlign w:val="superscript"/>
                <w:lang w:val="fr-FR"/>
              </w:rPr>
              <w:t>os</w:t>
            </w:r>
            <w:r w:rsidRPr="00C73E55">
              <w:rPr>
                <w:spacing w:val="-2"/>
                <w:lang w:val="fr-FR"/>
              </w:rPr>
              <w:t> 3 (Permettre à tous de vivre en bonne santé et promouvoir le bien-être de tous à tout âge), 11 (Faire en sorte que les villes et les établissements humains soient ouverts à tous, sûrs, résilients et durables) et 13 (Prendre d</w:t>
            </w:r>
            <w:r>
              <w:rPr>
                <w:spacing w:val="-2"/>
                <w:lang w:val="fr-FR"/>
              </w:rPr>
              <w:t>’</w:t>
            </w:r>
            <w:r w:rsidRPr="00C73E55">
              <w:rPr>
                <w:spacing w:val="-2"/>
                <w:lang w:val="fr-FR"/>
              </w:rPr>
              <w:t xml:space="preserve">urgence des mesures </w:t>
            </w:r>
            <w:r w:rsidRPr="00C73E55">
              <w:rPr>
                <w:spacing w:val="-2"/>
                <w:lang w:val="fr-FR"/>
              </w:rPr>
              <w:lastRenderedPageBreak/>
              <w:t>pour lutter contre les changements climatiques et leurs répercussions) en offrant des moyens de réduire la pollution de l</w:t>
            </w:r>
            <w:r>
              <w:rPr>
                <w:spacing w:val="-2"/>
                <w:lang w:val="fr-FR"/>
              </w:rPr>
              <w:t>’</w:t>
            </w:r>
            <w:r w:rsidRPr="00C73E55">
              <w:rPr>
                <w:spacing w:val="-2"/>
                <w:lang w:val="fr-FR"/>
              </w:rPr>
              <w:t>air et les embouteillages dans les villes, en garantissant la sécurité du transport des marchandises dangereuses et en permettant le recours aux solutions de micromobilité pour les livraisons de marchandises dangereuses en milieu urbain.</w:t>
            </w:r>
          </w:p>
        </w:tc>
      </w:tr>
      <w:tr w:rsidR="008E6598" w14:paraId="035BC364" w14:textId="77777777" w:rsidTr="00B75FA7">
        <w:trPr>
          <w:jc w:val="center"/>
        </w:trPr>
        <w:tc>
          <w:tcPr>
            <w:tcW w:w="9628" w:type="dxa"/>
            <w:tcBorders>
              <w:top w:val="nil"/>
            </w:tcBorders>
            <w:shd w:val="clear" w:color="auto" w:fill="auto"/>
          </w:tcPr>
          <w:p w14:paraId="38612F2E" w14:textId="77777777" w:rsidR="008E6598" w:rsidRDefault="008E6598"/>
        </w:tc>
      </w:tr>
    </w:tbl>
    <w:p w14:paraId="2989BA9E" w14:textId="77777777" w:rsidR="008E6598" w:rsidRPr="00C73E55" w:rsidRDefault="008E6598" w:rsidP="008E6598">
      <w:pPr>
        <w:pStyle w:val="HChG"/>
        <w:rPr>
          <w:lang w:val="fr-FR"/>
        </w:rPr>
      </w:pPr>
      <w:r w:rsidRPr="00C73E55">
        <w:rPr>
          <w:lang w:val="fr-FR"/>
        </w:rPr>
        <w:tab/>
        <w:t>I.</w:t>
      </w:r>
      <w:r w:rsidRPr="00C73E55">
        <w:rPr>
          <w:lang w:val="fr-FR"/>
        </w:rPr>
        <w:tab/>
      </w:r>
      <w:r w:rsidRPr="008E6598">
        <w:t>Introduction</w:t>
      </w:r>
    </w:p>
    <w:p w14:paraId="23C8FEDD" w14:textId="77777777" w:rsidR="008E6598" w:rsidRPr="00C73E55" w:rsidRDefault="008E6598" w:rsidP="008E6598">
      <w:pPr>
        <w:pStyle w:val="SingleTxtG"/>
        <w:rPr>
          <w:lang w:val="fr-FR"/>
        </w:rPr>
      </w:pPr>
      <w:r w:rsidRPr="00C73E55">
        <w:rPr>
          <w:lang w:val="fr-FR"/>
        </w:rPr>
        <w:t>1.</w:t>
      </w:r>
      <w:r w:rsidRPr="00C73E55">
        <w:rPr>
          <w:lang w:val="fr-FR"/>
        </w:rPr>
        <w:tab/>
        <w:t>À sa dernière session, le Groupe de travail des transports de marchandises dangereuses s</w:t>
      </w:r>
      <w:r>
        <w:rPr>
          <w:lang w:val="fr-FR"/>
        </w:rPr>
        <w:t>’</w:t>
      </w:r>
      <w:r w:rsidRPr="00C73E55">
        <w:rPr>
          <w:lang w:val="fr-FR"/>
        </w:rPr>
        <w:t>est penché sur la question de savoir si les véhicules à deux et trois roues entraient ou non dans le champ d</w:t>
      </w:r>
      <w:r>
        <w:rPr>
          <w:lang w:val="fr-FR"/>
        </w:rPr>
        <w:t>’</w:t>
      </w:r>
      <w:r w:rsidRPr="00C73E55">
        <w:rPr>
          <w:lang w:val="fr-FR"/>
        </w:rPr>
        <w:t>application de l</w:t>
      </w:r>
      <w:r>
        <w:rPr>
          <w:lang w:val="fr-FR"/>
        </w:rPr>
        <w:t>’</w:t>
      </w:r>
      <w:r w:rsidRPr="00C73E55">
        <w:rPr>
          <w:lang w:val="fr-FR"/>
        </w:rPr>
        <w:t>ADR. Certaines entreprises de livraison ont commencé à utiliser ces véhicules, en particulier en milieu urbain. Bien qu</w:t>
      </w:r>
      <w:r>
        <w:rPr>
          <w:lang w:val="fr-FR"/>
        </w:rPr>
        <w:t>’</w:t>
      </w:r>
      <w:r w:rsidRPr="00C73E55">
        <w:rPr>
          <w:lang w:val="fr-FR"/>
        </w:rPr>
        <w:t>il s</w:t>
      </w:r>
      <w:r>
        <w:rPr>
          <w:lang w:val="fr-FR"/>
        </w:rPr>
        <w:t>’</w:t>
      </w:r>
      <w:r w:rsidRPr="00C73E55">
        <w:rPr>
          <w:lang w:val="fr-FR"/>
        </w:rPr>
        <w:t>agisse principalement d</w:t>
      </w:r>
      <w:r>
        <w:rPr>
          <w:lang w:val="fr-FR"/>
        </w:rPr>
        <w:t>’</w:t>
      </w:r>
      <w:r w:rsidRPr="00C73E55">
        <w:rPr>
          <w:lang w:val="fr-FR"/>
        </w:rPr>
        <w:t>un phénomène local, il peut également toucher les transports internationaux, par exemple s</w:t>
      </w:r>
      <w:r>
        <w:rPr>
          <w:lang w:val="fr-FR"/>
        </w:rPr>
        <w:t>’</w:t>
      </w:r>
      <w:r w:rsidRPr="00C73E55">
        <w:rPr>
          <w:lang w:val="fr-FR"/>
        </w:rPr>
        <w:t>agissant des livraisons dans les villes frontalières.</w:t>
      </w:r>
    </w:p>
    <w:p w14:paraId="70E6385A" w14:textId="12DEA021" w:rsidR="008E6598" w:rsidRPr="00C73E55" w:rsidRDefault="008E6598" w:rsidP="008E6598">
      <w:pPr>
        <w:pStyle w:val="SingleTxtG"/>
        <w:rPr>
          <w:lang w:val="fr-FR"/>
        </w:rPr>
      </w:pPr>
      <w:r w:rsidRPr="00C73E55">
        <w:rPr>
          <w:lang w:val="fr-FR"/>
        </w:rPr>
        <w:t>2.</w:t>
      </w:r>
      <w:r w:rsidRPr="00C73E55">
        <w:rPr>
          <w:lang w:val="fr-FR"/>
        </w:rPr>
        <w:tab/>
        <w:t>Le Groupe de travail est convenu que la question devait être examinée plus avant et qu</w:t>
      </w:r>
      <w:r>
        <w:rPr>
          <w:lang w:val="fr-FR"/>
        </w:rPr>
        <w:t>’</w:t>
      </w:r>
      <w:r w:rsidRPr="00C73E55">
        <w:rPr>
          <w:lang w:val="fr-FR"/>
        </w:rPr>
        <w:t>il fallait accorder une attention particulière aux autres textes réglementaires et législatifs, tels que la Convention de Vienne sur le droit des traités de 1968. Il a demandé au secrétariat de consulter le Bureau des affaires juridiques de l</w:t>
      </w:r>
      <w:r>
        <w:rPr>
          <w:lang w:val="fr-FR"/>
        </w:rPr>
        <w:t>’</w:t>
      </w:r>
      <w:r w:rsidRPr="00C73E55">
        <w:rPr>
          <w:lang w:val="fr-FR"/>
        </w:rPr>
        <w:t>ONU, puis d</w:t>
      </w:r>
      <w:r>
        <w:rPr>
          <w:lang w:val="fr-FR"/>
        </w:rPr>
        <w:t>’</w:t>
      </w:r>
      <w:r w:rsidRPr="00C73E55">
        <w:rPr>
          <w:lang w:val="fr-FR"/>
        </w:rPr>
        <w:t>établir un document officiel pour sa 113</w:t>
      </w:r>
      <w:r w:rsidRPr="00C73E55">
        <w:rPr>
          <w:vertAlign w:val="superscript"/>
          <w:lang w:val="fr-FR"/>
        </w:rPr>
        <w:t>e</w:t>
      </w:r>
      <w:r>
        <w:rPr>
          <w:lang w:val="fr-FR"/>
        </w:rPr>
        <w:t> </w:t>
      </w:r>
      <w:r w:rsidRPr="00C73E55">
        <w:rPr>
          <w:lang w:val="fr-FR"/>
        </w:rPr>
        <w:t>session.</w:t>
      </w:r>
    </w:p>
    <w:p w14:paraId="4B0CCD41" w14:textId="77777777" w:rsidR="008E6598" w:rsidRPr="00C73E55" w:rsidRDefault="008E6598" w:rsidP="008E6598">
      <w:pPr>
        <w:pStyle w:val="SingleTxtG"/>
        <w:rPr>
          <w:lang w:val="fr-FR"/>
        </w:rPr>
      </w:pPr>
      <w:r w:rsidRPr="00C73E55">
        <w:rPr>
          <w:lang w:val="fr-FR"/>
        </w:rPr>
        <w:t>3.</w:t>
      </w:r>
      <w:r w:rsidRPr="00C73E55">
        <w:rPr>
          <w:lang w:val="fr-FR"/>
        </w:rPr>
        <w:tab/>
        <w:t>La Section des traités du Bureau des affaires juridiques a précisé qu</w:t>
      </w:r>
      <w:r>
        <w:rPr>
          <w:lang w:val="fr-FR"/>
        </w:rPr>
        <w:t>’</w:t>
      </w:r>
      <w:r w:rsidRPr="00C73E55">
        <w:rPr>
          <w:lang w:val="fr-FR"/>
        </w:rPr>
        <w:t>elle n</w:t>
      </w:r>
      <w:r>
        <w:rPr>
          <w:lang w:val="fr-FR"/>
        </w:rPr>
        <w:t>’</w:t>
      </w:r>
      <w:r w:rsidRPr="00C73E55">
        <w:rPr>
          <w:lang w:val="fr-FR"/>
        </w:rPr>
        <w:t>avait pas pour vocation de donner des conseils juridiques au Groupe de travail et qu</w:t>
      </w:r>
      <w:r>
        <w:rPr>
          <w:lang w:val="fr-FR"/>
        </w:rPr>
        <w:t>’</w:t>
      </w:r>
      <w:r w:rsidRPr="00C73E55">
        <w:rPr>
          <w:lang w:val="fr-FR"/>
        </w:rPr>
        <w:t>un dépositaire ne devait pas intervenir dans l</w:t>
      </w:r>
      <w:r>
        <w:rPr>
          <w:lang w:val="fr-FR"/>
        </w:rPr>
        <w:t>’</w:t>
      </w:r>
      <w:r w:rsidRPr="00C73E55">
        <w:rPr>
          <w:lang w:val="fr-FR"/>
        </w:rPr>
        <w:t>application pratique des accords dont il était dépositaire, tels que l</w:t>
      </w:r>
      <w:r>
        <w:rPr>
          <w:lang w:val="fr-FR"/>
        </w:rPr>
        <w:t>’</w:t>
      </w:r>
      <w:r w:rsidRPr="00C73E55">
        <w:rPr>
          <w:lang w:val="fr-FR"/>
        </w:rPr>
        <w:t>ADR. Aucune autorité centrale n</w:t>
      </w:r>
      <w:r>
        <w:rPr>
          <w:lang w:val="fr-FR"/>
        </w:rPr>
        <w:t>’</w:t>
      </w:r>
      <w:r w:rsidRPr="00C73E55">
        <w:rPr>
          <w:lang w:val="fr-FR"/>
        </w:rPr>
        <w:t>est chargée de l</w:t>
      </w:r>
      <w:r>
        <w:rPr>
          <w:lang w:val="fr-FR"/>
        </w:rPr>
        <w:t>’</w:t>
      </w:r>
      <w:r w:rsidRPr="00C73E55">
        <w:rPr>
          <w:lang w:val="fr-FR"/>
        </w:rPr>
        <w:t>application de l</w:t>
      </w:r>
      <w:r>
        <w:rPr>
          <w:lang w:val="fr-FR"/>
        </w:rPr>
        <w:t>’</w:t>
      </w:r>
      <w:r w:rsidRPr="00C73E55">
        <w:rPr>
          <w:lang w:val="fr-FR"/>
        </w:rPr>
        <w:t>ADR ; cette responsabilité incombe aux autorités compétentes désignées au niveau national.</w:t>
      </w:r>
    </w:p>
    <w:p w14:paraId="452B1A7E" w14:textId="77777777" w:rsidR="008E6598" w:rsidRPr="00C73E55" w:rsidRDefault="008E6598" w:rsidP="008E6598">
      <w:pPr>
        <w:pStyle w:val="SingleTxtG"/>
        <w:rPr>
          <w:lang w:val="fr-FR"/>
        </w:rPr>
      </w:pPr>
      <w:r w:rsidRPr="00C73E55">
        <w:rPr>
          <w:lang w:val="fr-FR"/>
        </w:rPr>
        <w:t>4.</w:t>
      </w:r>
      <w:r w:rsidRPr="00C73E55">
        <w:rPr>
          <w:lang w:val="fr-FR"/>
        </w:rPr>
        <w:tab/>
        <w:t>La Section des traités a rendu un avis, prenant en compte le point de vue du dépositaire, sur les possibilités qu</w:t>
      </w:r>
      <w:r>
        <w:rPr>
          <w:lang w:val="fr-FR"/>
        </w:rPr>
        <w:t>’</w:t>
      </w:r>
      <w:r w:rsidRPr="00C73E55">
        <w:rPr>
          <w:lang w:val="fr-FR"/>
        </w:rPr>
        <w:t>offre le droit des traités quant à l</w:t>
      </w:r>
      <w:r>
        <w:rPr>
          <w:lang w:val="fr-FR"/>
        </w:rPr>
        <w:t>’</w:t>
      </w:r>
      <w:r w:rsidRPr="00C73E55">
        <w:rPr>
          <w:lang w:val="fr-FR"/>
        </w:rPr>
        <w:t>adoption d</w:t>
      </w:r>
      <w:r>
        <w:rPr>
          <w:lang w:val="fr-FR"/>
        </w:rPr>
        <w:t>’</w:t>
      </w:r>
      <w:r w:rsidRPr="00C73E55">
        <w:rPr>
          <w:lang w:val="fr-FR"/>
        </w:rPr>
        <w:t>un nouveau protocole d</w:t>
      </w:r>
      <w:r>
        <w:rPr>
          <w:lang w:val="fr-FR"/>
        </w:rPr>
        <w:t>’</w:t>
      </w:r>
      <w:r w:rsidRPr="00C73E55">
        <w:rPr>
          <w:lang w:val="fr-FR"/>
        </w:rPr>
        <w:t>amendement à l</w:t>
      </w:r>
      <w:r>
        <w:rPr>
          <w:lang w:val="fr-FR"/>
        </w:rPr>
        <w:t>’</w:t>
      </w:r>
      <w:r w:rsidRPr="00C73E55">
        <w:rPr>
          <w:lang w:val="fr-FR"/>
        </w:rPr>
        <w:t>ADR afin d</w:t>
      </w:r>
      <w:r>
        <w:rPr>
          <w:lang w:val="fr-FR"/>
        </w:rPr>
        <w:t>’</w:t>
      </w:r>
      <w:r w:rsidRPr="00C73E55">
        <w:rPr>
          <w:lang w:val="fr-FR"/>
        </w:rPr>
        <w:t>étendre son champ d</w:t>
      </w:r>
      <w:r>
        <w:rPr>
          <w:lang w:val="fr-FR"/>
        </w:rPr>
        <w:t>’</w:t>
      </w:r>
      <w:r w:rsidRPr="00C73E55">
        <w:rPr>
          <w:lang w:val="fr-FR"/>
        </w:rPr>
        <w:t>application (voir sect. VI).</w:t>
      </w:r>
    </w:p>
    <w:p w14:paraId="21A4327C" w14:textId="77777777" w:rsidR="008E6598" w:rsidRPr="00C73E55" w:rsidRDefault="008E6598" w:rsidP="008E6598">
      <w:pPr>
        <w:pStyle w:val="HChG"/>
        <w:rPr>
          <w:lang w:val="fr-FR"/>
        </w:rPr>
      </w:pPr>
      <w:r w:rsidRPr="00C73E55">
        <w:rPr>
          <w:lang w:val="fr-FR"/>
        </w:rPr>
        <w:tab/>
        <w:t>II.</w:t>
      </w:r>
      <w:r w:rsidRPr="00C73E55">
        <w:rPr>
          <w:lang w:val="fr-FR"/>
        </w:rPr>
        <w:tab/>
        <w:t xml:space="preserve">Cadre </w:t>
      </w:r>
      <w:r w:rsidRPr="008E6598">
        <w:t>général</w:t>
      </w:r>
    </w:p>
    <w:p w14:paraId="3331894D" w14:textId="77777777" w:rsidR="008E6598" w:rsidRPr="00C73E55" w:rsidRDefault="008E6598" w:rsidP="00B75FA7">
      <w:pPr>
        <w:pStyle w:val="SingleTxtG"/>
        <w:rPr>
          <w:lang w:val="fr-FR"/>
        </w:rPr>
      </w:pPr>
      <w:r w:rsidRPr="00C73E55">
        <w:rPr>
          <w:lang w:val="fr-FR"/>
        </w:rPr>
        <w:t>5.</w:t>
      </w:r>
      <w:r w:rsidRPr="00C73E55">
        <w:rPr>
          <w:lang w:val="fr-FR"/>
        </w:rPr>
        <w:tab/>
        <w:t>L</w:t>
      </w:r>
      <w:r>
        <w:rPr>
          <w:lang w:val="fr-FR"/>
        </w:rPr>
        <w:t>’</w:t>
      </w:r>
      <w:r w:rsidRPr="00C73E55">
        <w:rPr>
          <w:lang w:val="fr-FR"/>
        </w:rPr>
        <w:t>article premier de l</w:t>
      </w:r>
      <w:r>
        <w:rPr>
          <w:lang w:val="fr-FR"/>
        </w:rPr>
        <w:t>’</w:t>
      </w:r>
      <w:r w:rsidRPr="00C73E55">
        <w:rPr>
          <w:lang w:val="fr-FR"/>
        </w:rPr>
        <w:t>ADR dispose que :</w:t>
      </w:r>
    </w:p>
    <w:p w14:paraId="0E6D290A" w14:textId="0A6027F1" w:rsidR="008E6598" w:rsidRPr="00C73E55" w:rsidRDefault="008E6598" w:rsidP="008E6598">
      <w:pPr>
        <w:pStyle w:val="SingleTxtG"/>
        <w:ind w:left="1701"/>
        <w:rPr>
          <w:lang w:val="fr-FR"/>
        </w:rPr>
      </w:pPr>
      <w:r w:rsidRPr="00C73E55">
        <w:rPr>
          <w:lang w:val="fr-FR"/>
        </w:rPr>
        <w:t>« Aux fins du présent Accord, on entend</w:t>
      </w:r>
      <w:r>
        <w:rPr>
          <w:lang w:val="fr-FR"/>
        </w:rPr>
        <w:t> </w:t>
      </w:r>
      <w:r w:rsidRPr="00C73E55">
        <w:rPr>
          <w:lang w:val="fr-FR"/>
        </w:rPr>
        <w:t>:</w:t>
      </w:r>
    </w:p>
    <w:p w14:paraId="0CCC24DA" w14:textId="447FBADE" w:rsidR="008E6598" w:rsidRPr="00C73E55" w:rsidRDefault="008E6598" w:rsidP="008E6598">
      <w:pPr>
        <w:pStyle w:val="SingleTxtG"/>
        <w:ind w:left="2268" w:hanging="567"/>
        <w:rPr>
          <w:lang w:val="fr-FR"/>
        </w:rPr>
      </w:pPr>
      <w:r w:rsidRPr="00C73E55">
        <w:rPr>
          <w:lang w:val="fr-FR"/>
        </w:rPr>
        <w:t>a)</w:t>
      </w:r>
      <w:r w:rsidRPr="00C73E55">
        <w:rPr>
          <w:lang w:val="fr-FR"/>
        </w:rPr>
        <w:tab/>
        <w:t>Par “véhicules”, les automobiles, les véhicules articulés, les remorques et les semi-remorques, tels qu</w:t>
      </w:r>
      <w:r>
        <w:rPr>
          <w:lang w:val="fr-FR"/>
        </w:rPr>
        <w:t>’</w:t>
      </w:r>
      <w:r w:rsidRPr="00C73E55">
        <w:rPr>
          <w:lang w:val="fr-FR"/>
        </w:rPr>
        <w:t>ils sont définis par l</w:t>
      </w:r>
      <w:r>
        <w:rPr>
          <w:lang w:val="fr-FR"/>
        </w:rPr>
        <w:t>’</w:t>
      </w:r>
      <w:r w:rsidRPr="00C73E55">
        <w:rPr>
          <w:lang w:val="fr-FR"/>
        </w:rPr>
        <w:t>article</w:t>
      </w:r>
      <w:r w:rsidR="00B75FA7">
        <w:rPr>
          <w:lang w:val="fr-FR"/>
        </w:rPr>
        <w:t> </w:t>
      </w:r>
      <w:r w:rsidRPr="00C73E55">
        <w:rPr>
          <w:lang w:val="fr-FR"/>
        </w:rPr>
        <w:t>4 de la Convention sur la circulation routière en date du 19</w:t>
      </w:r>
      <w:r>
        <w:rPr>
          <w:lang w:val="fr-FR"/>
        </w:rPr>
        <w:t> </w:t>
      </w:r>
      <w:r w:rsidRPr="00C73E55">
        <w:rPr>
          <w:lang w:val="fr-FR"/>
        </w:rPr>
        <w:t>septembre 1949, à l</w:t>
      </w:r>
      <w:r>
        <w:rPr>
          <w:lang w:val="fr-FR"/>
        </w:rPr>
        <w:t>’</w:t>
      </w:r>
      <w:r w:rsidRPr="00C73E55">
        <w:rPr>
          <w:lang w:val="fr-FR"/>
        </w:rPr>
        <w:t>exception des véhicules qui appartiennent aux forces armées d</w:t>
      </w:r>
      <w:r>
        <w:rPr>
          <w:lang w:val="fr-FR"/>
        </w:rPr>
        <w:t>’</w:t>
      </w:r>
      <w:r w:rsidRPr="00C73E55">
        <w:rPr>
          <w:lang w:val="fr-FR"/>
        </w:rPr>
        <w:t>une Partie contractante ou se trouvent sous la responsabilité de ces forces armées ;</w:t>
      </w:r>
    </w:p>
    <w:p w14:paraId="0EAE65DD" w14:textId="11CF4E1A" w:rsidR="008E6598" w:rsidRPr="00C73E55" w:rsidRDefault="008E6598" w:rsidP="008E6598">
      <w:pPr>
        <w:pStyle w:val="SingleTxtG"/>
        <w:ind w:left="2268" w:hanging="567"/>
        <w:rPr>
          <w:lang w:val="fr-FR"/>
        </w:rPr>
      </w:pPr>
      <w:r w:rsidRPr="00C73E55">
        <w:rPr>
          <w:lang w:val="fr-FR"/>
        </w:rPr>
        <w:t>b)</w:t>
      </w:r>
      <w:r w:rsidRPr="00C73E55">
        <w:rPr>
          <w:lang w:val="fr-FR"/>
        </w:rPr>
        <w:tab/>
        <w:t>Par “marchandises dangereuses”, les matières et objets dont les annexes</w:t>
      </w:r>
      <w:r>
        <w:rPr>
          <w:lang w:val="fr-FR"/>
        </w:rPr>
        <w:t> </w:t>
      </w:r>
      <w:r w:rsidRPr="00C73E55">
        <w:rPr>
          <w:lang w:val="fr-FR"/>
        </w:rPr>
        <w:t>A et B interdisent le transport international par route ou ne l</w:t>
      </w:r>
      <w:r>
        <w:rPr>
          <w:lang w:val="fr-FR"/>
        </w:rPr>
        <w:t>’</w:t>
      </w:r>
      <w:r w:rsidRPr="00C73E55">
        <w:rPr>
          <w:lang w:val="fr-FR"/>
        </w:rPr>
        <w:t>autorisent que sous certaines conditions ;</w:t>
      </w:r>
    </w:p>
    <w:p w14:paraId="53867845" w14:textId="2B4BFB7A" w:rsidR="008E6598" w:rsidRPr="00C73E55" w:rsidRDefault="008E6598" w:rsidP="008E6598">
      <w:pPr>
        <w:pStyle w:val="SingleTxtG"/>
        <w:ind w:left="2268" w:hanging="567"/>
        <w:rPr>
          <w:lang w:val="fr-FR"/>
        </w:rPr>
      </w:pPr>
      <w:r w:rsidRPr="00C73E55">
        <w:rPr>
          <w:lang w:val="fr-FR"/>
        </w:rPr>
        <w:t>c)</w:t>
      </w:r>
      <w:r w:rsidRPr="00C73E55">
        <w:rPr>
          <w:lang w:val="fr-FR"/>
        </w:rPr>
        <w:tab/>
        <w:t>Par “transport international”, tout transport effectué sur le territoire d</w:t>
      </w:r>
      <w:r>
        <w:rPr>
          <w:lang w:val="fr-FR"/>
        </w:rPr>
        <w:t>’</w:t>
      </w:r>
      <w:r w:rsidRPr="00C73E55">
        <w:rPr>
          <w:lang w:val="fr-FR"/>
        </w:rPr>
        <w:t>au moins deux Parties contractantes par des véhicules définis en</w:t>
      </w:r>
      <w:r w:rsidR="00B75FA7">
        <w:rPr>
          <w:lang w:val="fr-FR"/>
        </w:rPr>
        <w:t> </w:t>
      </w:r>
      <w:r w:rsidRPr="00C73E55">
        <w:rPr>
          <w:lang w:val="fr-FR"/>
        </w:rPr>
        <w:t>a) ci-dessus. ».</w:t>
      </w:r>
    </w:p>
    <w:p w14:paraId="68C0D69D" w14:textId="41516270" w:rsidR="008E6598" w:rsidRPr="00C73E55" w:rsidRDefault="008E6598" w:rsidP="00B75FA7">
      <w:pPr>
        <w:pStyle w:val="SingleTxtG"/>
        <w:rPr>
          <w:lang w:val="fr-FR"/>
        </w:rPr>
      </w:pPr>
      <w:r w:rsidRPr="00C73E55">
        <w:rPr>
          <w:lang w:val="fr-FR"/>
        </w:rPr>
        <w:t>6.</w:t>
      </w:r>
      <w:r w:rsidRPr="00C73E55">
        <w:rPr>
          <w:lang w:val="fr-FR"/>
        </w:rPr>
        <w:tab/>
        <w:t>Les définitions suivantes figurent dans l</w:t>
      </w:r>
      <w:r>
        <w:rPr>
          <w:lang w:val="fr-FR"/>
        </w:rPr>
        <w:t>’</w:t>
      </w:r>
      <w:r w:rsidRPr="00C73E55">
        <w:rPr>
          <w:lang w:val="fr-FR"/>
        </w:rPr>
        <w:t>article</w:t>
      </w:r>
      <w:r w:rsidR="00B75FA7">
        <w:rPr>
          <w:lang w:val="fr-FR"/>
        </w:rPr>
        <w:t> </w:t>
      </w:r>
      <w:r w:rsidRPr="00C73E55">
        <w:rPr>
          <w:lang w:val="fr-FR"/>
        </w:rPr>
        <w:t>4 de la Convention sur la circulation routière du 19</w:t>
      </w:r>
      <w:r>
        <w:rPr>
          <w:lang w:val="fr-FR"/>
        </w:rPr>
        <w:t> </w:t>
      </w:r>
      <w:r w:rsidRPr="00C73E55">
        <w:rPr>
          <w:lang w:val="fr-FR"/>
        </w:rPr>
        <w:t>septembre 1949 :</w:t>
      </w:r>
    </w:p>
    <w:p w14:paraId="48F64649" w14:textId="77777777" w:rsidR="008E6598" w:rsidRPr="00C73E55" w:rsidRDefault="008E6598" w:rsidP="008E6598">
      <w:pPr>
        <w:pStyle w:val="SingleTxtG"/>
        <w:ind w:left="1701" w:firstLine="567"/>
        <w:rPr>
          <w:lang w:val="fr-FR"/>
        </w:rPr>
      </w:pPr>
      <w:r w:rsidRPr="00C73E55">
        <w:rPr>
          <w:lang w:val="fr-FR"/>
        </w:rPr>
        <w:t>« Le terme “automobile” désigne tous véhicules pourvus d</w:t>
      </w:r>
      <w:r>
        <w:rPr>
          <w:lang w:val="fr-FR"/>
        </w:rPr>
        <w:t>’</w:t>
      </w:r>
      <w:r w:rsidRPr="00C73E55">
        <w:rPr>
          <w:lang w:val="fr-FR"/>
        </w:rPr>
        <w:t>un dispositif mécanique de propulsion circulant sur la route par leurs moyens propres, autres que ceux qui se déplacent sur rails ou sont reliés à un conducteur électrique, et servant normalement au transport de personnes ou de marchandises. Tout État lié par l</w:t>
      </w:r>
      <w:r>
        <w:rPr>
          <w:lang w:val="fr-FR"/>
        </w:rPr>
        <w:t>’</w:t>
      </w:r>
      <w:r w:rsidRPr="00C73E55">
        <w:rPr>
          <w:lang w:val="fr-FR"/>
        </w:rPr>
        <w:t>annexe 1 exclura de cette définition les cycles à moteur auxiliaire présentant les caractéristiques qui sont déterminées dans ladite annexe ;</w:t>
      </w:r>
    </w:p>
    <w:p w14:paraId="2AF34506" w14:textId="47EF363D" w:rsidR="008E6598" w:rsidRPr="00C73E55" w:rsidRDefault="008E6598" w:rsidP="00B75FA7">
      <w:pPr>
        <w:pStyle w:val="SingleTxtG"/>
        <w:keepNext/>
        <w:keepLines/>
        <w:ind w:left="1701" w:firstLine="567"/>
        <w:rPr>
          <w:lang w:val="fr-FR"/>
        </w:rPr>
      </w:pPr>
      <w:r w:rsidRPr="00C73E55">
        <w:rPr>
          <w:lang w:val="fr-FR"/>
        </w:rPr>
        <w:lastRenderedPageBreak/>
        <w:t>Le terme “véhicule articulé” désigne toute automobile suivie d</w:t>
      </w:r>
      <w:r>
        <w:rPr>
          <w:lang w:val="fr-FR"/>
        </w:rPr>
        <w:t>’</w:t>
      </w:r>
      <w:r w:rsidRPr="00C73E55">
        <w:rPr>
          <w:lang w:val="fr-FR"/>
        </w:rPr>
        <w:t>une remorque sans essieu avant, accouplée de telle manière qu</w:t>
      </w:r>
      <w:r>
        <w:rPr>
          <w:lang w:val="fr-FR"/>
        </w:rPr>
        <w:t>’</w:t>
      </w:r>
      <w:r w:rsidRPr="00C73E55">
        <w:rPr>
          <w:lang w:val="fr-FR"/>
        </w:rPr>
        <w:t>une partie de la remorque repose sur le véhicule tracteur et qu</w:t>
      </w:r>
      <w:r>
        <w:rPr>
          <w:lang w:val="fr-FR"/>
        </w:rPr>
        <w:t>’</w:t>
      </w:r>
      <w:r w:rsidRPr="00C73E55">
        <w:rPr>
          <w:lang w:val="fr-FR"/>
        </w:rPr>
        <w:t>une partie appréciable du poids de cette remorque et de son chargement soit supportée par le tracteur. Une telle remorque est dénommée “semi</w:t>
      </w:r>
      <w:r w:rsidRPr="00C73E55">
        <w:rPr>
          <w:lang w:val="fr-FR"/>
        </w:rPr>
        <w:noBreakHyphen/>
        <w:t>remorque” ;</w:t>
      </w:r>
    </w:p>
    <w:p w14:paraId="51ABBD3D" w14:textId="77777777" w:rsidR="008E6598" w:rsidRPr="00C73E55" w:rsidRDefault="008E6598" w:rsidP="008E6598">
      <w:pPr>
        <w:pStyle w:val="SingleTxtG"/>
        <w:ind w:left="1701" w:firstLine="567"/>
        <w:rPr>
          <w:lang w:val="fr-FR"/>
        </w:rPr>
      </w:pPr>
      <w:r w:rsidRPr="00C73E55">
        <w:rPr>
          <w:lang w:val="fr-FR"/>
        </w:rPr>
        <w:t>Le terme “remorque” désigne tout véhicule destiné à être attelé à une automobile ;</w:t>
      </w:r>
    </w:p>
    <w:p w14:paraId="4487A0A1" w14:textId="172549E3" w:rsidR="008E6598" w:rsidRPr="00C73E55" w:rsidRDefault="008E6598" w:rsidP="008E6598">
      <w:pPr>
        <w:pStyle w:val="SingleTxtG"/>
        <w:ind w:left="1701" w:firstLine="567"/>
        <w:rPr>
          <w:lang w:val="fr-FR"/>
        </w:rPr>
      </w:pPr>
      <w:r w:rsidRPr="00C73E55">
        <w:rPr>
          <w:lang w:val="fr-FR"/>
        </w:rPr>
        <w:t>Le terme “cycle” désigne tout cycle non pourvu d</w:t>
      </w:r>
      <w:r>
        <w:rPr>
          <w:lang w:val="fr-FR"/>
        </w:rPr>
        <w:t>’</w:t>
      </w:r>
      <w:r w:rsidRPr="00C73E55">
        <w:rPr>
          <w:lang w:val="fr-FR"/>
        </w:rPr>
        <w:t>un dispositif automoteur. Tout État lié par l</w:t>
      </w:r>
      <w:r>
        <w:rPr>
          <w:lang w:val="fr-FR"/>
        </w:rPr>
        <w:t>’</w:t>
      </w:r>
      <w:r w:rsidRPr="00C73E55">
        <w:rPr>
          <w:lang w:val="fr-FR"/>
        </w:rPr>
        <w:t>annexe</w:t>
      </w:r>
      <w:r>
        <w:rPr>
          <w:lang w:val="fr-FR"/>
        </w:rPr>
        <w:t> </w:t>
      </w:r>
      <w:r w:rsidRPr="00C73E55">
        <w:rPr>
          <w:lang w:val="fr-FR"/>
        </w:rPr>
        <w:t>1 inclura dans la présente définition les cycles à moteur auxiliaire présentant les caractéristiques qui sont déterminées dans ladite annexe. ».</w:t>
      </w:r>
    </w:p>
    <w:p w14:paraId="222A27AB" w14:textId="709A5DB0" w:rsidR="008E6598" w:rsidRPr="00C73E55" w:rsidRDefault="008E6598" w:rsidP="008E6598">
      <w:pPr>
        <w:pStyle w:val="SingleTxtG"/>
        <w:rPr>
          <w:lang w:val="fr-FR"/>
        </w:rPr>
      </w:pPr>
      <w:r w:rsidRPr="00C73E55">
        <w:rPr>
          <w:lang w:val="fr-FR"/>
        </w:rPr>
        <w:t>7.</w:t>
      </w:r>
      <w:r w:rsidRPr="00C73E55">
        <w:rPr>
          <w:lang w:val="fr-FR"/>
        </w:rPr>
        <w:tab/>
        <w:t>Aux termes de l</w:t>
      </w:r>
      <w:r>
        <w:rPr>
          <w:lang w:val="fr-FR"/>
        </w:rPr>
        <w:t>’</w:t>
      </w:r>
      <w:r w:rsidRPr="00C73E55">
        <w:rPr>
          <w:lang w:val="fr-FR"/>
        </w:rPr>
        <w:t>annexe</w:t>
      </w:r>
      <w:r>
        <w:rPr>
          <w:lang w:val="fr-FR"/>
        </w:rPr>
        <w:t> </w:t>
      </w:r>
      <w:r w:rsidRPr="00C73E55">
        <w:rPr>
          <w:lang w:val="fr-FR"/>
        </w:rPr>
        <w:t>1 de la Convention sur la circulation routière : « Les cycles pourvus d</w:t>
      </w:r>
      <w:r>
        <w:rPr>
          <w:lang w:val="fr-FR"/>
        </w:rPr>
        <w:t>’</w:t>
      </w:r>
      <w:r w:rsidRPr="00C73E55">
        <w:rPr>
          <w:lang w:val="fr-FR"/>
        </w:rPr>
        <w:t>un moteur auxiliaire thermique d</w:t>
      </w:r>
      <w:r>
        <w:rPr>
          <w:lang w:val="fr-FR"/>
        </w:rPr>
        <w:t>’</w:t>
      </w:r>
      <w:r w:rsidRPr="00C73E55">
        <w:rPr>
          <w:lang w:val="fr-FR"/>
        </w:rPr>
        <w:t>une cylindrée maximum de 50</w:t>
      </w:r>
      <w:r>
        <w:rPr>
          <w:lang w:val="fr-FR"/>
        </w:rPr>
        <w:t> </w:t>
      </w:r>
      <w:r w:rsidRPr="00C73E55">
        <w:rPr>
          <w:lang w:val="fr-FR"/>
        </w:rPr>
        <w:t>cm</w:t>
      </w:r>
      <w:r w:rsidRPr="00C73E55">
        <w:rPr>
          <w:vertAlign w:val="superscript"/>
          <w:lang w:val="fr-FR"/>
        </w:rPr>
        <w:t>3</w:t>
      </w:r>
      <w:r w:rsidRPr="00C73E55">
        <w:rPr>
          <w:lang w:val="fr-FR"/>
        </w:rPr>
        <w:t xml:space="preserve"> ne sont pas considérés comme des automobiles, à condition qu</w:t>
      </w:r>
      <w:r>
        <w:rPr>
          <w:lang w:val="fr-FR"/>
        </w:rPr>
        <w:t>’</w:t>
      </w:r>
      <w:r w:rsidRPr="00C73E55">
        <w:rPr>
          <w:lang w:val="fr-FR"/>
        </w:rPr>
        <w:t>ils conservent toutes les caractéristiques normales des cycles quant à leur structure. ».</w:t>
      </w:r>
    </w:p>
    <w:p w14:paraId="4640832B" w14:textId="3C4394CC" w:rsidR="008E6598" w:rsidRPr="00C73E55" w:rsidRDefault="008E6598" w:rsidP="00B75FA7">
      <w:pPr>
        <w:pStyle w:val="SingleTxtG"/>
        <w:rPr>
          <w:lang w:val="fr-FR"/>
        </w:rPr>
      </w:pPr>
      <w:r w:rsidRPr="00C73E55">
        <w:rPr>
          <w:lang w:val="fr-FR"/>
        </w:rPr>
        <w:t>8.</w:t>
      </w:r>
      <w:r w:rsidRPr="00C73E55">
        <w:rPr>
          <w:lang w:val="fr-FR"/>
        </w:rPr>
        <w:tab/>
        <w:t>L</w:t>
      </w:r>
      <w:r>
        <w:rPr>
          <w:lang w:val="fr-FR"/>
        </w:rPr>
        <w:t>’</w:t>
      </w:r>
      <w:r w:rsidRPr="00C73E55">
        <w:rPr>
          <w:lang w:val="fr-FR"/>
        </w:rPr>
        <w:t>article</w:t>
      </w:r>
      <w:r>
        <w:rPr>
          <w:lang w:val="fr-FR"/>
        </w:rPr>
        <w:t> </w:t>
      </w:r>
      <w:r w:rsidRPr="00C73E55">
        <w:rPr>
          <w:lang w:val="fr-FR"/>
        </w:rPr>
        <w:t>2 de l</w:t>
      </w:r>
      <w:r>
        <w:rPr>
          <w:lang w:val="fr-FR"/>
        </w:rPr>
        <w:t>’</w:t>
      </w:r>
      <w:r w:rsidRPr="00C73E55">
        <w:rPr>
          <w:lang w:val="fr-FR"/>
        </w:rPr>
        <w:t>ADR dispose que</w:t>
      </w:r>
      <w:r w:rsidR="00B75FA7">
        <w:rPr>
          <w:lang w:val="fr-FR"/>
        </w:rPr>
        <w:t> </w:t>
      </w:r>
      <w:r w:rsidRPr="00C73E55">
        <w:rPr>
          <w:lang w:val="fr-FR"/>
        </w:rPr>
        <w:t>:</w:t>
      </w:r>
    </w:p>
    <w:p w14:paraId="33F4DD5E" w14:textId="1E013BDA" w:rsidR="008E6598" w:rsidRPr="00C73E55" w:rsidRDefault="008E6598" w:rsidP="008E6598">
      <w:pPr>
        <w:pStyle w:val="SingleTxtG"/>
        <w:ind w:left="2268" w:hanging="567"/>
        <w:rPr>
          <w:lang w:val="fr-FR"/>
        </w:rPr>
      </w:pPr>
      <w:r w:rsidRPr="00C73E55">
        <w:rPr>
          <w:lang w:val="fr-FR"/>
        </w:rPr>
        <w:t>« 1.</w:t>
      </w:r>
      <w:r w:rsidRPr="00C73E55">
        <w:rPr>
          <w:lang w:val="fr-FR"/>
        </w:rPr>
        <w:tab/>
        <w:t>Sous réserve des dispositions du paragraphe</w:t>
      </w:r>
      <w:r>
        <w:rPr>
          <w:lang w:val="fr-FR"/>
        </w:rPr>
        <w:t> </w:t>
      </w:r>
      <w:r w:rsidRPr="00C73E55">
        <w:rPr>
          <w:lang w:val="fr-FR"/>
        </w:rPr>
        <w:t>3 de l</w:t>
      </w:r>
      <w:r>
        <w:rPr>
          <w:lang w:val="fr-FR"/>
        </w:rPr>
        <w:t>’</w:t>
      </w:r>
      <w:r w:rsidRPr="00C73E55">
        <w:rPr>
          <w:lang w:val="fr-FR"/>
        </w:rPr>
        <w:t>article</w:t>
      </w:r>
      <w:r>
        <w:rPr>
          <w:lang w:val="fr-FR"/>
        </w:rPr>
        <w:t> </w:t>
      </w:r>
      <w:r w:rsidRPr="00C73E55">
        <w:rPr>
          <w:lang w:val="fr-FR"/>
        </w:rPr>
        <w:t>4, les marchandises dangereuses dont l</w:t>
      </w:r>
      <w:r>
        <w:rPr>
          <w:lang w:val="fr-FR"/>
        </w:rPr>
        <w:t>’</w:t>
      </w:r>
      <w:r w:rsidRPr="00C73E55">
        <w:rPr>
          <w:lang w:val="fr-FR"/>
        </w:rPr>
        <w:t>annexe</w:t>
      </w:r>
      <w:r>
        <w:rPr>
          <w:lang w:val="fr-FR"/>
        </w:rPr>
        <w:t> </w:t>
      </w:r>
      <w:r w:rsidRPr="00C73E55">
        <w:rPr>
          <w:lang w:val="fr-FR"/>
        </w:rPr>
        <w:t>A exclut le transport ne doivent pas faire l</w:t>
      </w:r>
      <w:r>
        <w:rPr>
          <w:lang w:val="fr-FR"/>
        </w:rPr>
        <w:t>’</w:t>
      </w:r>
      <w:r w:rsidRPr="00C73E55">
        <w:rPr>
          <w:lang w:val="fr-FR"/>
        </w:rPr>
        <w:t>objet d</w:t>
      </w:r>
      <w:r>
        <w:rPr>
          <w:lang w:val="fr-FR"/>
        </w:rPr>
        <w:t>’</w:t>
      </w:r>
      <w:r w:rsidRPr="00C73E55">
        <w:rPr>
          <w:lang w:val="fr-FR"/>
        </w:rPr>
        <w:t>un transport international.</w:t>
      </w:r>
    </w:p>
    <w:p w14:paraId="53DD2355" w14:textId="77777777" w:rsidR="008E6598" w:rsidRPr="00C73E55" w:rsidRDefault="008E6598" w:rsidP="00B75FA7">
      <w:pPr>
        <w:pStyle w:val="SingleTxtG"/>
        <w:ind w:left="2268" w:hanging="567"/>
        <w:rPr>
          <w:lang w:val="fr-FR"/>
        </w:rPr>
      </w:pPr>
      <w:r w:rsidRPr="00C73E55">
        <w:rPr>
          <w:lang w:val="fr-FR"/>
        </w:rPr>
        <w:t>2.</w:t>
      </w:r>
      <w:r w:rsidRPr="00C73E55">
        <w:rPr>
          <w:lang w:val="fr-FR"/>
        </w:rPr>
        <w:tab/>
        <w:t>Les transports internationaux des autres marchandises dangereuses sont autorisés, si sont remplies :</w:t>
      </w:r>
    </w:p>
    <w:p w14:paraId="65A158F5" w14:textId="0D6236E3" w:rsidR="008E6598" w:rsidRPr="00C73E55" w:rsidRDefault="008E6598" w:rsidP="008E6598">
      <w:pPr>
        <w:pStyle w:val="SingleTxtG"/>
        <w:ind w:left="2835" w:hanging="567"/>
        <w:rPr>
          <w:lang w:val="fr-FR"/>
        </w:rPr>
      </w:pPr>
      <w:r w:rsidRPr="00C73E55">
        <w:rPr>
          <w:lang w:val="fr-FR"/>
        </w:rPr>
        <w:t>a)</w:t>
      </w:r>
      <w:r w:rsidRPr="00C73E55">
        <w:rPr>
          <w:lang w:val="fr-FR"/>
        </w:rPr>
        <w:tab/>
        <w:t>Les conditions qu</w:t>
      </w:r>
      <w:r>
        <w:rPr>
          <w:lang w:val="fr-FR"/>
        </w:rPr>
        <w:t>’</w:t>
      </w:r>
      <w:r w:rsidRPr="00C73E55">
        <w:rPr>
          <w:lang w:val="fr-FR"/>
        </w:rPr>
        <w:t>impose l</w:t>
      </w:r>
      <w:r>
        <w:rPr>
          <w:lang w:val="fr-FR"/>
        </w:rPr>
        <w:t>’</w:t>
      </w:r>
      <w:r w:rsidRPr="00C73E55">
        <w:rPr>
          <w:lang w:val="fr-FR"/>
        </w:rPr>
        <w:t>annexe</w:t>
      </w:r>
      <w:r>
        <w:rPr>
          <w:lang w:val="fr-FR"/>
        </w:rPr>
        <w:t> </w:t>
      </w:r>
      <w:r w:rsidRPr="00C73E55">
        <w:rPr>
          <w:lang w:val="fr-FR"/>
        </w:rPr>
        <w:t>A pour les marchandises en cause, notamment pour leur emballage et leur étiquetage ; et</w:t>
      </w:r>
    </w:p>
    <w:p w14:paraId="79DE8A1D" w14:textId="2597CB4D" w:rsidR="008E6598" w:rsidRPr="008E6598" w:rsidRDefault="008E6598" w:rsidP="008E6598">
      <w:pPr>
        <w:pStyle w:val="SingleTxtG"/>
        <w:ind w:left="2835" w:hanging="567"/>
        <w:rPr>
          <w:spacing w:val="-1"/>
          <w:lang w:val="fr-FR"/>
        </w:rPr>
      </w:pPr>
      <w:r w:rsidRPr="008E6598">
        <w:rPr>
          <w:spacing w:val="-1"/>
          <w:lang w:val="fr-FR"/>
        </w:rPr>
        <w:t>b)</w:t>
      </w:r>
      <w:r w:rsidRPr="008E6598">
        <w:rPr>
          <w:spacing w:val="-1"/>
          <w:lang w:val="fr-FR"/>
        </w:rPr>
        <w:tab/>
        <w:t>Les conditions qu’impose l’annexe</w:t>
      </w:r>
      <w:r w:rsidRPr="008E6598">
        <w:rPr>
          <w:spacing w:val="-1"/>
          <w:lang w:val="fr-FR"/>
        </w:rPr>
        <w:t> </w:t>
      </w:r>
      <w:r w:rsidRPr="008E6598">
        <w:rPr>
          <w:spacing w:val="-1"/>
          <w:lang w:val="fr-FR"/>
        </w:rPr>
        <w:t>B, notamment pour la construction, l’équipement et la circulation du véhicule transportant les marchandises en cause, sous réserve des prescriptions du paragraphe</w:t>
      </w:r>
      <w:r w:rsidRPr="008E6598">
        <w:rPr>
          <w:spacing w:val="-1"/>
          <w:lang w:val="fr-FR"/>
        </w:rPr>
        <w:t> </w:t>
      </w:r>
      <w:r w:rsidRPr="008E6598">
        <w:rPr>
          <w:spacing w:val="-1"/>
          <w:lang w:val="fr-FR"/>
        </w:rPr>
        <w:t>2 de l’article 4. ».</w:t>
      </w:r>
    </w:p>
    <w:p w14:paraId="696575F1" w14:textId="77777777" w:rsidR="008E6598" w:rsidRPr="00C73E55" w:rsidRDefault="008E6598" w:rsidP="00B75FA7">
      <w:pPr>
        <w:pStyle w:val="HChG"/>
        <w:rPr>
          <w:lang w:val="fr-FR"/>
        </w:rPr>
      </w:pPr>
      <w:r w:rsidRPr="00C73E55">
        <w:rPr>
          <w:lang w:val="fr-FR"/>
        </w:rPr>
        <w:tab/>
        <w:t>III.</w:t>
      </w:r>
      <w:r w:rsidRPr="00C73E55">
        <w:rPr>
          <w:lang w:val="fr-FR"/>
        </w:rPr>
        <w:tab/>
        <w:t xml:space="preserve">Statut </w:t>
      </w:r>
      <w:r w:rsidRPr="00B75FA7">
        <w:t>des</w:t>
      </w:r>
      <w:r w:rsidRPr="00C73E55">
        <w:rPr>
          <w:lang w:val="fr-FR"/>
        </w:rPr>
        <w:t xml:space="preserve"> </w:t>
      </w:r>
      <w:r w:rsidRPr="008E6598">
        <w:t>cycles</w:t>
      </w:r>
      <w:r w:rsidRPr="00C73E55">
        <w:rPr>
          <w:lang w:val="fr-FR"/>
        </w:rPr>
        <w:t xml:space="preserve"> et des autres véhicules à deux et trois roues</w:t>
      </w:r>
    </w:p>
    <w:p w14:paraId="746A7EAE" w14:textId="77777777" w:rsidR="008E6598" w:rsidRPr="00C73E55" w:rsidRDefault="008E6598" w:rsidP="008E6598">
      <w:pPr>
        <w:pStyle w:val="SingleTxtG"/>
        <w:rPr>
          <w:lang w:val="fr-FR"/>
        </w:rPr>
      </w:pPr>
      <w:r w:rsidRPr="00C73E55">
        <w:rPr>
          <w:lang w:val="fr-FR"/>
        </w:rPr>
        <w:t>9.</w:t>
      </w:r>
      <w:r w:rsidRPr="00C73E55">
        <w:rPr>
          <w:lang w:val="fr-FR"/>
        </w:rPr>
        <w:tab/>
        <w:t>Au vu de ces informations, le secrétariat estime que les conditions suivantes s</w:t>
      </w:r>
      <w:r>
        <w:rPr>
          <w:lang w:val="fr-FR"/>
        </w:rPr>
        <w:t>’</w:t>
      </w:r>
      <w:r w:rsidRPr="00C73E55">
        <w:rPr>
          <w:lang w:val="fr-FR"/>
        </w:rPr>
        <w:t>appliquent aux transports internationaux effectués dans les Parties contractantes à l</w:t>
      </w:r>
      <w:r>
        <w:rPr>
          <w:lang w:val="fr-FR"/>
        </w:rPr>
        <w:t>’</w:t>
      </w:r>
      <w:r w:rsidRPr="00C73E55">
        <w:rPr>
          <w:lang w:val="fr-FR"/>
        </w:rPr>
        <w:t>ADR.</w:t>
      </w:r>
    </w:p>
    <w:p w14:paraId="348ADB23" w14:textId="6C1C3ABA" w:rsidR="008E6598" w:rsidRPr="00C73E55" w:rsidRDefault="008E6598" w:rsidP="008E6598">
      <w:pPr>
        <w:pStyle w:val="H1G"/>
        <w:rPr>
          <w:lang w:val="fr-FR"/>
        </w:rPr>
      </w:pPr>
      <w:r w:rsidRPr="00C73E55">
        <w:rPr>
          <w:lang w:val="fr-FR"/>
        </w:rPr>
        <w:tab/>
        <w:t>A.</w:t>
      </w:r>
      <w:r w:rsidRPr="00C73E55">
        <w:rPr>
          <w:lang w:val="fr-FR"/>
        </w:rPr>
        <w:tab/>
        <w:t>Cycles équipés d</w:t>
      </w:r>
      <w:r>
        <w:rPr>
          <w:lang w:val="fr-FR"/>
        </w:rPr>
        <w:t>’</w:t>
      </w:r>
      <w:r w:rsidRPr="00C73E55">
        <w:rPr>
          <w:lang w:val="fr-FR"/>
        </w:rPr>
        <w:t>un moteur auxiliaire de 50</w:t>
      </w:r>
      <w:r>
        <w:rPr>
          <w:lang w:val="fr-FR"/>
        </w:rPr>
        <w:t> </w:t>
      </w:r>
      <w:r w:rsidRPr="00C73E55">
        <w:rPr>
          <w:lang w:val="fr-FR"/>
        </w:rPr>
        <w:t xml:space="preserve">cm³ ou plus ou cycles </w:t>
      </w:r>
      <w:r w:rsidRPr="00C73E55">
        <w:rPr>
          <w:lang w:val="fr-FR"/>
        </w:rPr>
        <w:br/>
        <w:t>n</w:t>
      </w:r>
      <w:r>
        <w:rPr>
          <w:lang w:val="fr-FR"/>
        </w:rPr>
        <w:t>’</w:t>
      </w:r>
      <w:r w:rsidRPr="00C73E55">
        <w:rPr>
          <w:lang w:val="fr-FR"/>
        </w:rPr>
        <w:t>ayant pas d</w:t>
      </w:r>
      <w:r>
        <w:rPr>
          <w:lang w:val="fr-FR"/>
        </w:rPr>
        <w:t>’</w:t>
      </w:r>
      <w:r w:rsidRPr="00C73E55">
        <w:rPr>
          <w:lang w:val="fr-FR"/>
        </w:rPr>
        <w:t>autre moyen de propulsion qu</w:t>
      </w:r>
      <w:r>
        <w:rPr>
          <w:lang w:val="fr-FR"/>
        </w:rPr>
        <w:t>’</w:t>
      </w:r>
      <w:r w:rsidRPr="00C73E55">
        <w:rPr>
          <w:lang w:val="fr-FR"/>
        </w:rPr>
        <w:t>un moteur</w:t>
      </w:r>
    </w:p>
    <w:p w14:paraId="4E05A65B" w14:textId="08C88E4D" w:rsidR="008E6598" w:rsidRPr="00C73E55" w:rsidRDefault="008E6598" w:rsidP="008E6598">
      <w:pPr>
        <w:pStyle w:val="SingleTxtG"/>
        <w:rPr>
          <w:lang w:val="fr-FR"/>
        </w:rPr>
      </w:pPr>
      <w:r w:rsidRPr="00C73E55">
        <w:rPr>
          <w:lang w:val="fr-FR"/>
        </w:rPr>
        <w:t>10.</w:t>
      </w:r>
      <w:r w:rsidRPr="00C73E55">
        <w:rPr>
          <w:lang w:val="fr-FR"/>
        </w:rPr>
        <w:tab/>
        <w:t>Les cycles équipés d</w:t>
      </w:r>
      <w:r>
        <w:rPr>
          <w:lang w:val="fr-FR"/>
        </w:rPr>
        <w:t>’</w:t>
      </w:r>
      <w:r w:rsidRPr="00C73E55">
        <w:rPr>
          <w:lang w:val="fr-FR"/>
        </w:rPr>
        <w:t>un moteur auxiliaire de 50</w:t>
      </w:r>
      <w:r>
        <w:rPr>
          <w:lang w:val="fr-FR"/>
        </w:rPr>
        <w:t> </w:t>
      </w:r>
      <w:r w:rsidRPr="00C73E55">
        <w:rPr>
          <w:lang w:val="fr-FR"/>
        </w:rPr>
        <w:t>cm³ ou plus, ou les cycles n</w:t>
      </w:r>
      <w:r>
        <w:rPr>
          <w:lang w:val="fr-FR"/>
        </w:rPr>
        <w:t>’</w:t>
      </w:r>
      <w:r w:rsidRPr="00C73E55">
        <w:rPr>
          <w:lang w:val="fr-FR"/>
        </w:rPr>
        <w:t>ayant pas d</w:t>
      </w:r>
      <w:r>
        <w:rPr>
          <w:lang w:val="fr-FR"/>
        </w:rPr>
        <w:t>’</w:t>
      </w:r>
      <w:r w:rsidRPr="00C73E55">
        <w:rPr>
          <w:lang w:val="fr-FR"/>
        </w:rPr>
        <w:t>autre moyen de propulsion qu</w:t>
      </w:r>
      <w:r>
        <w:rPr>
          <w:lang w:val="fr-FR"/>
        </w:rPr>
        <w:t>’</w:t>
      </w:r>
      <w:r w:rsidRPr="00C73E55">
        <w:rPr>
          <w:lang w:val="fr-FR"/>
        </w:rPr>
        <w:t>un moteur, sont des véhicules à moteur qui peuvent à ce titre effectuer un transport international de marchandises dangereuses sous le régime de l</w:t>
      </w:r>
      <w:r>
        <w:rPr>
          <w:lang w:val="fr-FR"/>
        </w:rPr>
        <w:t>’</w:t>
      </w:r>
      <w:r w:rsidRPr="00C73E55">
        <w:rPr>
          <w:lang w:val="fr-FR"/>
        </w:rPr>
        <w:t>ADR conformément aux prescriptions de l</w:t>
      </w:r>
      <w:r>
        <w:rPr>
          <w:lang w:val="fr-FR"/>
        </w:rPr>
        <w:t>’</w:t>
      </w:r>
      <w:r w:rsidRPr="00C73E55">
        <w:rPr>
          <w:lang w:val="fr-FR"/>
        </w:rPr>
        <w:t>ADR.</w:t>
      </w:r>
    </w:p>
    <w:p w14:paraId="49CBC654" w14:textId="52FA7F86" w:rsidR="008E6598" w:rsidRPr="00C73E55" w:rsidRDefault="008E6598" w:rsidP="008E6598">
      <w:pPr>
        <w:pStyle w:val="SingleTxtG"/>
        <w:rPr>
          <w:lang w:val="fr-FR"/>
        </w:rPr>
      </w:pPr>
      <w:r w:rsidRPr="00C73E55">
        <w:rPr>
          <w:lang w:val="fr-FR"/>
        </w:rPr>
        <w:t>11.</w:t>
      </w:r>
      <w:r w:rsidRPr="00C73E55">
        <w:rPr>
          <w:lang w:val="fr-FR"/>
        </w:rPr>
        <w:tab/>
        <w:t>Certaines dispositions de l</w:t>
      </w:r>
      <w:r>
        <w:rPr>
          <w:lang w:val="fr-FR"/>
        </w:rPr>
        <w:t>’</w:t>
      </w:r>
      <w:r w:rsidRPr="00C73E55">
        <w:rPr>
          <w:lang w:val="fr-FR"/>
        </w:rPr>
        <w:t>ADR ont toutefois été élaborées sans qu</w:t>
      </w:r>
      <w:r>
        <w:rPr>
          <w:lang w:val="fr-FR"/>
        </w:rPr>
        <w:t>’</w:t>
      </w:r>
      <w:r w:rsidRPr="00C73E55">
        <w:rPr>
          <w:lang w:val="fr-FR"/>
        </w:rPr>
        <w:t>il soit tenu compte de ces types de véhicules. Les dispositions des annexes</w:t>
      </w:r>
      <w:r w:rsidR="00B75FA7">
        <w:rPr>
          <w:lang w:val="fr-FR"/>
        </w:rPr>
        <w:t> </w:t>
      </w:r>
      <w:r w:rsidRPr="00C73E55">
        <w:rPr>
          <w:lang w:val="fr-FR"/>
        </w:rPr>
        <w:t>A et B n</w:t>
      </w:r>
      <w:r>
        <w:rPr>
          <w:lang w:val="fr-FR"/>
        </w:rPr>
        <w:t>’</w:t>
      </w:r>
      <w:r w:rsidRPr="00C73E55">
        <w:rPr>
          <w:lang w:val="fr-FR"/>
        </w:rPr>
        <w:t>ont jamais été prévues pour le transport par scooter, motocycle, etc., et peuvent donc donner lieu à différentes interprétations.</w:t>
      </w:r>
    </w:p>
    <w:p w14:paraId="2984531E" w14:textId="2F691DAC" w:rsidR="008E6598" w:rsidRPr="00C73E55" w:rsidRDefault="008E6598" w:rsidP="008E6598">
      <w:pPr>
        <w:pStyle w:val="SingleTxtG"/>
        <w:rPr>
          <w:lang w:val="fr-FR"/>
        </w:rPr>
      </w:pPr>
      <w:r w:rsidRPr="00C73E55">
        <w:rPr>
          <w:lang w:val="fr-FR"/>
        </w:rPr>
        <w:t>12.</w:t>
      </w:r>
      <w:r w:rsidRPr="00C73E55">
        <w:rPr>
          <w:lang w:val="fr-FR"/>
        </w:rPr>
        <w:tab/>
        <w:t>Le Groupe de travail souhaitera peut-être modifier les dispositions de l</w:t>
      </w:r>
      <w:r>
        <w:rPr>
          <w:lang w:val="fr-FR"/>
        </w:rPr>
        <w:t>’</w:t>
      </w:r>
      <w:r w:rsidRPr="00C73E55">
        <w:rPr>
          <w:lang w:val="fr-FR"/>
        </w:rPr>
        <w:t>ADR afin de préciser quelles prescriptions devraient s</w:t>
      </w:r>
      <w:r>
        <w:rPr>
          <w:lang w:val="fr-FR"/>
        </w:rPr>
        <w:t>’</w:t>
      </w:r>
      <w:r w:rsidRPr="00C73E55">
        <w:rPr>
          <w:lang w:val="fr-FR"/>
        </w:rPr>
        <w:t>appliquer aux transports de marchandises dangereuses effectués au moyen de ces véhicules (par exemple en ajoutant dans le 1.2.1 des définitions pour les véhicules en question et en ajoutant certaines dispositions dans les chapitres 7.1 ou 7.2 et dans les parties</w:t>
      </w:r>
      <w:r w:rsidR="00B75FA7">
        <w:rPr>
          <w:lang w:val="fr-FR"/>
        </w:rPr>
        <w:t> </w:t>
      </w:r>
      <w:r w:rsidRPr="00C73E55">
        <w:rPr>
          <w:lang w:val="fr-FR"/>
        </w:rPr>
        <w:t>8 et 9 ou en créant une nouvelle section 1.1.6, qui contiendrait des dispositions applicables à ces véhicules, lesquels sont visés par l</w:t>
      </w:r>
      <w:r>
        <w:rPr>
          <w:lang w:val="fr-FR"/>
        </w:rPr>
        <w:t>’</w:t>
      </w:r>
      <w:r w:rsidRPr="00C73E55">
        <w:rPr>
          <w:lang w:val="fr-FR"/>
        </w:rPr>
        <w:t>article 1 a) mais pas par la partie</w:t>
      </w:r>
      <w:r>
        <w:rPr>
          <w:lang w:val="fr-FR"/>
        </w:rPr>
        <w:t> </w:t>
      </w:r>
      <w:r w:rsidRPr="00C73E55">
        <w:rPr>
          <w:lang w:val="fr-FR"/>
        </w:rPr>
        <w:t>9).</w:t>
      </w:r>
    </w:p>
    <w:p w14:paraId="54756E21" w14:textId="78D7C329" w:rsidR="008E6598" w:rsidRPr="00C73E55" w:rsidRDefault="008E6598" w:rsidP="008E6598">
      <w:pPr>
        <w:pStyle w:val="H1G"/>
        <w:rPr>
          <w:lang w:val="fr-FR"/>
        </w:rPr>
      </w:pPr>
      <w:r w:rsidRPr="00C73E55">
        <w:rPr>
          <w:lang w:val="fr-FR"/>
        </w:rPr>
        <w:lastRenderedPageBreak/>
        <w:tab/>
        <w:t>B.</w:t>
      </w:r>
      <w:r w:rsidRPr="00C73E55">
        <w:rPr>
          <w:lang w:val="fr-FR"/>
        </w:rPr>
        <w:tab/>
        <w:t>Cycles équipés d</w:t>
      </w:r>
      <w:r>
        <w:rPr>
          <w:lang w:val="fr-FR"/>
        </w:rPr>
        <w:t>’</w:t>
      </w:r>
      <w:r w:rsidRPr="00C73E55">
        <w:rPr>
          <w:lang w:val="fr-FR"/>
        </w:rPr>
        <w:t>un moteur auxiliaire d</w:t>
      </w:r>
      <w:r>
        <w:rPr>
          <w:lang w:val="fr-FR"/>
        </w:rPr>
        <w:t>’</w:t>
      </w:r>
      <w:r w:rsidRPr="00C73E55">
        <w:rPr>
          <w:lang w:val="fr-FR"/>
        </w:rPr>
        <w:t xml:space="preserve">une cylindrée </w:t>
      </w:r>
      <w:r>
        <w:rPr>
          <w:lang w:val="fr-FR"/>
        </w:rPr>
        <w:t>maximum</w:t>
      </w:r>
      <w:r w:rsidRPr="00C73E55">
        <w:rPr>
          <w:lang w:val="fr-FR"/>
        </w:rPr>
        <w:t xml:space="preserve"> </w:t>
      </w:r>
      <w:r w:rsidRPr="00C73E55">
        <w:rPr>
          <w:lang w:val="fr-FR"/>
        </w:rPr>
        <w:br/>
      </w:r>
      <w:r>
        <w:rPr>
          <w:lang w:val="fr-FR"/>
        </w:rPr>
        <w:t>de</w:t>
      </w:r>
      <w:r w:rsidRPr="00C73E55">
        <w:rPr>
          <w:lang w:val="fr-FR"/>
        </w:rPr>
        <w:t xml:space="preserve"> 50</w:t>
      </w:r>
      <w:r>
        <w:rPr>
          <w:lang w:val="fr-FR"/>
        </w:rPr>
        <w:t> </w:t>
      </w:r>
      <w:r w:rsidRPr="00C73E55">
        <w:rPr>
          <w:lang w:val="fr-FR"/>
        </w:rPr>
        <w:t>cm³</w:t>
      </w:r>
    </w:p>
    <w:p w14:paraId="380EC5B9" w14:textId="0866F2F6" w:rsidR="008E6598" w:rsidRPr="00C73E55" w:rsidRDefault="008E6598" w:rsidP="008E6598">
      <w:pPr>
        <w:pStyle w:val="SingleTxtG"/>
        <w:rPr>
          <w:lang w:val="fr-FR"/>
        </w:rPr>
      </w:pPr>
      <w:r w:rsidRPr="00C73E55">
        <w:rPr>
          <w:lang w:val="fr-FR"/>
        </w:rPr>
        <w:t>13.</w:t>
      </w:r>
      <w:r w:rsidRPr="00C73E55">
        <w:rPr>
          <w:lang w:val="fr-FR"/>
        </w:rPr>
        <w:tab/>
        <w:t>Les cycles équipés d</w:t>
      </w:r>
      <w:r>
        <w:rPr>
          <w:lang w:val="fr-FR"/>
        </w:rPr>
        <w:t>’</w:t>
      </w:r>
      <w:r w:rsidRPr="00C73E55">
        <w:rPr>
          <w:lang w:val="fr-FR"/>
        </w:rPr>
        <w:t>un moteur auxiliaire d</w:t>
      </w:r>
      <w:r>
        <w:rPr>
          <w:lang w:val="fr-FR"/>
        </w:rPr>
        <w:t>’</w:t>
      </w:r>
      <w:r w:rsidRPr="00C73E55">
        <w:rPr>
          <w:lang w:val="fr-FR"/>
        </w:rPr>
        <w:t xml:space="preserve">une cylindrée </w:t>
      </w:r>
      <w:r>
        <w:rPr>
          <w:lang w:val="fr-FR"/>
        </w:rPr>
        <w:t>maximum de</w:t>
      </w:r>
      <w:r w:rsidRPr="00C73E55">
        <w:rPr>
          <w:lang w:val="fr-FR"/>
        </w:rPr>
        <w:t xml:space="preserve"> 50 cm³ (c</w:t>
      </w:r>
      <w:r>
        <w:rPr>
          <w:lang w:val="fr-FR"/>
        </w:rPr>
        <w:t>’</w:t>
      </w:r>
      <w:r w:rsidRPr="00C73E55">
        <w:rPr>
          <w:lang w:val="fr-FR"/>
        </w:rPr>
        <w:t>est</w:t>
      </w:r>
      <w:r w:rsidRPr="00C73E55">
        <w:rPr>
          <w:lang w:val="fr-FR"/>
        </w:rPr>
        <w:noBreakHyphen/>
        <w:t>à</w:t>
      </w:r>
      <w:r w:rsidRPr="00C73E55">
        <w:rPr>
          <w:lang w:val="fr-FR"/>
        </w:rPr>
        <w:noBreakHyphen/>
        <w:t>dire que l</w:t>
      </w:r>
      <w:r>
        <w:rPr>
          <w:lang w:val="fr-FR"/>
        </w:rPr>
        <w:t>’</w:t>
      </w:r>
      <w:r w:rsidRPr="00C73E55">
        <w:rPr>
          <w:lang w:val="fr-FR"/>
        </w:rPr>
        <w:t>on peut déplacer en pédalant sans utiliser le moteur) ne sont pas des véhicules à moteur au sens de la définition donnée par la Convention et n</w:t>
      </w:r>
      <w:r>
        <w:rPr>
          <w:lang w:val="fr-FR"/>
        </w:rPr>
        <w:t>’</w:t>
      </w:r>
      <w:r w:rsidRPr="00C73E55">
        <w:rPr>
          <w:lang w:val="fr-FR"/>
        </w:rPr>
        <w:t>entrent pas dans le champ d</w:t>
      </w:r>
      <w:r>
        <w:rPr>
          <w:lang w:val="fr-FR"/>
        </w:rPr>
        <w:t>’</w:t>
      </w:r>
      <w:r w:rsidRPr="00C73E55">
        <w:rPr>
          <w:lang w:val="fr-FR"/>
        </w:rPr>
        <w:t>application de l</w:t>
      </w:r>
      <w:r>
        <w:rPr>
          <w:lang w:val="fr-FR"/>
        </w:rPr>
        <w:t>’</w:t>
      </w:r>
      <w:r w:rsidRPr="00C73E55">
        <w:rPr>
          <w:lang w:val="fr-FR"/>
        </w:rPr>
        <w:t>ADR.</w:t>
      </w:r>
    </w:p>
    <w:p w14:paraId="29C42CF7" w14:textId="7CA348F9" w:rsidR="008E6598" w:rsidRPr="00C73E55" w:rsidRDefault="008E6598" w:rsidP="00B75FA7">
      <w:pPr>
        <w:pStyle w:val="SingleTxtG"/>
        <w:spacing w:after="100"/>
        <w:rPr>
          <w:lang w:val="fr-FR"/>
        </w:rPr>
      </w:pPr>
      <w:r w:rsidRPr="00C73E55">
        <w:rPr>
          <w:lang w:val="fr-FR"/>
        </w:rPr>
        <w:t>14.</w:t>
      </w:r>
      <w:r w:rsidRPr="00C73E55">
        <w:rPr>
          <w:lang w:val="fr-FR"/>
        </w:rPr>
        <w:tab/>
        <w:t>Il ressort de l</w:t>
      </w:r>
      <w:r>
        <w:rPr>
          <w:lang w:val="fr-FR"/>
        </w:rPr>
        <w:t>’</w:t>
      </w:r>
      <w:r w:rsidRPr="00C73E55">
        <w:rPr>
          <w:lang w:val="fr-FR"/>
        </w:rPr>
        <w:t>article</w:t>
      </w:r>
      <w:r>
        <w:rPr>
          <w:lang w:val="fr-FR"/>
        </w:rPr>
        <w:t> </w:t>
      </w:r>
      <w:r w:rsidRPr="00C73E55">
        <w:rPr>
          <w:lang w:val="fr-FR"/>
        </w:rPr>
        <w:t>1</w:t>
      </w:r>
      <w:r>
        <w:rPr>
          <w:lang w:val="fr-FR"/>
        </w:rPr>
        <w:t> </w:t>
      </w:r>
      <w:r w:rsidRPr="00C73E55">
        <w:rPr>
          <w:lang w:val="fr-FR"/>
        </w:rPr>
        <w:t>c) que les transports effectués par des véhicules autres que ceux visés à l</w:t>
      </w:r>
      <w:r>
        <w:rPr>
          <w:lang w:val="fr-FR"/>
        </w:rPr>
        <w:t>’</w:t>
      </w:r>
      <w:r w:rsidRPr="00C73E55">
        <w:rPr>
          <w:lang w:val="fr-FR"/>
        </w:rPr>
        <w:t>article</w:t>
      </w:r>
      <w:r>
        <w:rPr>
          <w:lang w:val="fr-FR"/>
        </w:rPr>
        <w:t> </w:t>
      </w:r>
      <w:r w:rsidRPr="00C73E55">
        <w:rPr>
          <w:lang w:val="fr-FR"/>
        </w:rPr>
        <w:t>1</w:t>
      </w:r>
      <w:r>
        <w:rPr>
          <w:lang w:val="fr-FR"/>
        </w:rPr>
        <w:t> </w:t>
      </w:r>
      <w:r w:rsidRPr="00C73E55">
        <w:rPr>
          <w:lang w:val="fr-FR"/>
        </w:rPr>
        <w:t>a) ne sont pas couverts par l</w:t>
      </w:r>
      <w:r>
        <w:rPr>
          <w:lang w:val="fr-FR"/>
        </w:rPr>
        <w:t>’</w:t>
      </w:r>
      <w:r w:rsidRPr="00C73E55">
        <w:rPr>
          <w:lang w:val="fr-FR"/>
        </w:rPr>
        <w:t>ADR. D</w:t>
      </w:r>
      <w:r>
        <w:rPr>
          <w:lang w:val="fr-FR"/>
        </w:rPr>
        <w:t>’</w:t>
      </w:r>
      <w:r w:rsidRPr="00C73E55">
        <w:rPr>
          <w:lang w:val="fr-FR"/>
        </w:rPr>
        <w:t>autres instruments juridiques que l</w:t>
      </w:r>
      <w:r>
        <w:rPr>
          <w:lang w:val="fr-FR"/>
        </w:rPr>
        <w:t>’</w:t>
      </w:r>
      <w:r w:rsidRPr="00C73E55">
        <w:rPr>
          <w:lang w:val="fr-FR"/>
        </w:rPr>
        <w:t>ADR peuvent par ailleurs interdire le transport de marchandises dangereuses par ces cycles ou le réglementer, conformément à la législation nationale ou régionale.</w:t>
      </w:r>
    </w:p>
    <w:p w14:paraId="65FDC2A4" w14:textId="1F33657B" w:rsidR="008E6598" w:rsidRPr="00C73E55" w:rsidRDefault="008E6598" w:rsidP="008E6598">
      <w:pPr>
        <w:pStyle w:val="SingleTxtG"/>
        <w:rPr>
          <w:lang w:val="fr-FR"/>
        </w:rPr>
      </w:pPr>
      <w:r w:rsidRPr="00C73E55">
        <w:rPr>
          <w:lang w:val="fr-FR"/>
        </w:rPr>
        <w:t>15.</w:t>
      </w:r>
      <w:r w:rsidRPr="00C73E55">
        <w:rPr>
          <w:lang w:val="fr-FR"/>
        </w:rPr>
        <w:tab/>
        <w:t>Si les Parties contractantes souhaitent que l</w:t>
      </w:r>
      <w:r>
        <w:rPr>
          <w:lang w:val="fr-FR"/>
        </w:rPr>
        <w:t>’</w:t>
      </w:r>
      <w:r w:rsidRPr="00C73E55">
        <w:rPr>
          <w:lang w:val="fr-FR"/>
        </w:rPr>
        <w:t>ADR couvre et réglemente le transport de marchandises dangereuses effectué par ces cycles, il faut alors convoquer une Conférence des Parties, qui se prononcera sur la modification de l</w:t>
      </w:r>
      <w:r>
        <w:rPr>
          <w:lang w:val="fr-FR"/>
        </w:rPr>
        <w:t>’</w:t>
      </w:r>
      <w:r w:rsidRPr="00C73E55">
        <w:rPr>
          <w:lang w:val="fr-FR"/>
        </w:rPr>
        <w:t>article 1 a).</w:t>
      </w:r>
    </w:p>
    <w:p w14:paraId="5320EF49" w14:textId="62030A6D" w:rsidR="008E6598" w:rsidRPr="00C73E55" w:rsidRDefault="008E6598" w:rsidP="008E6598">
      <w:pPr>
        <w:pStyle w:val="HChG"/>
        <w:rPr>
          <w:lang w:val="fr-FR"/>
        </w:rPr>
      </w:pPr>
      <w:r w:rsidRPr="00C73E55">
        <w:rPr>
          <w:lang w:val="fr-FR"/>
        </w:rPr>
        <w:tab/>
        <w:t>IV.</w:t>
      </w:r>
      <w:r w:rsidRPr="00C73E55">
        <w:rPr>
          <w:lang w:val="fr-FR"/>
        </w:rPr>
        <w:tab/>
        <w:t>Transports intérieurs dans l</w:t>
      </w:r>
      <w:r>
        <w:rPr>
          <w:lang w:val="fr-FR"/>
        </w:rPr>
        <w:t>’</w:t>
      </w:r>
      <w:r w:rsidRPr="00C73E55">
        <w:rPr>
          <w:lang w:val="fr-FR"/>
        </w:rPr>
        <w:t xml:space="preserve">Union européenne (UE), </w:t>
      </w:r>
      <w:r w:rsidRPr="00C73E55">
        <w:rPr>
          <w:lang w:val="fr-FR"/>
        </w:rPr>
        <w:br/>
        <w:t>y</w:t>
      </w:r>
      <w:r>
        <w:rPr>
          <w:lang w:val="fr-FR"/>
        </w:rPr>
        <w:t> </w:t>
      </w:r>
      <w:r w:rsidRPr="00C73E55">
        <w:rPr>
          <w:lang w:val="fr-FR"/>
        </w:rPr>
        <w:t>compris l</w:t>
      </w:r>
      <w:r>
        <w:rPr>
          <w:lang w:val="fr-FR"/>
        </w:rPr>
        <w:t>’</w:t>
      </w:r>
      <w:r w:rsidRPr="00C73E55">
        <w:rPr>
          <w:lang w:val="fr-FR"/>
        </w:rPr>
        <w:t>Espace économique européen (EEE)</w:t>
      </w:r>
    </w:p>
    <w:p w14:paraId="318897F7" w14:textId="1CF73F42" w:rsidR="008E6598" w:rsidRPr="00C73E55" w:rsidRDefault="008E6598" w:rsidP="008E6598">
      <w:pPr>
        <w:pStyle w:val="SingleTxtG"/>
        <w:rPr>
          <w:lang w:val="fr-FR"/>
        </w:rPr>
      </w:pPr>
      <w:r w:rsidRPr="00C73E55">
        <w:rPr>
          <w:lang w:val="fr-FR"/>
        </w:rPr>
        <w:t>16.</w:t>
      </w:r>
      <w:r w:rsidRPr="00C73E55">
        <w:rPr>
          <w:lang w:val="fr-FR"/>
        </w:rPr>
        <w:tab/>
        <w:t>Les règles évoquées dans la partie</w:t>
      </w:r>
      <w:r w:rsidR="00B75FA7">
        <w:rPr>
          <w:lang w:val="fr-FR"/>
        </w:rPr>
        <w:t> </w:t>
      </w:r>
      <w:r w:rsidRPr="00C73E55">
        <w:rPr>
          <w:lang w:val="fr-FR"/>
        </w:rPr>
        <w:t>III s</w:t>
      </w:r>
      <w:r>
        <w:rPr>
          <w:lang w:val="fr-FR"/>
        </w:rPr>
        <w:t>’</w:t>
      </w:r>
      <w:r w:rsidRPr="00C73E55">
        <w:rPr>
          <w:lang w:val="fr-FR"/>
        </w:rPr>
        <w:t>appliquent aux transports internationaux effectués dans toutes les Parties contractantes à l</w:t>
      </w:r>
      <w:r>
        <w:rPr>
          <w:lang w:val="fr-FR"/>
        </w:rPr>
        <w:t>’</w:t>
      </w:r>
      <w:r w:rsidRPr="00C73E55">
        <w:rPr>
          <w:lang w:val="fr-FR"/>
        </w:rPr>
        <w:t>ADR, y</w:t>
      </w:r>
      <w:r>
        <w:rPr>
          <w:lang w:val="fr-FR"/>
        </w:rPr>
        <w:t> </w:t>
      </w:r>
      <w:r w:rsidRPr="00C73E55">
        <w:rPr>
          <w:lang w:val="fr-FR"/>
        </w:rPr>
        <w:t>compris dans les États membres de l</w:t>
      </w:r>
      <w:r>
        <w:rPr>
          <w:lang w:val="fr-FR"/>
        </w:rPr>
        <w:t>’</w:t>
      </w:r>
      <w:r w:rsidRPr="00C73E55">
        <w:rPr>
          <w:lang w:val="fr-FR"/>
        </w:rPr>
        <w:t>Espace économique européen (EEE).</w:t>
      </w:r>
    </w:p>
    <w:p w14:paraId="603AAD67" w14:textId="06863EB7" w:rsidR="008E6598" w:rsidRPr="00C73E55" w:rsidRDefault="008E6598" w:rsidP="008E6598">
      <w:pPr>
        <w:pStyle w:val="SingleTxtG"/>
        <w:rPr>
          <w:lang w:val="fr-FR"/>
        </w:rPr>
      </w:pPr>
      <w:r w:rsidRPr="00C73E55">
        <w:rPr>
          <w:lang w:val="fr-FR"/>
        </w:rPr>
        <w:t>17.</w:t>
      </w:r>
      <w:r w:rsidRPr="00C73E55">
        <w:rPr>
          <w:lang w:val="fr-FR"/>
        </w:rPr>
        <w:tab/>
        <w:t>Les annexes</w:t>
      </w:r>
      <w:r>
        <w:rPr>
          <w:lang w:val="fr-FR"/>
        </w:rPr>
        <w:t> </w:t>
      </w:r>
      <w:r w:rsidRPr="00C73E55">
        <w:rPr>
          <w:lang w:val="fr-FR"/>
        </w:rPr>
        <w:t>A et B de l</w:t>
      </w:r>
      <w:r>
        <w:rPr>
          <w:lang w:val="fr-FR"/>
        </w:rPr>
        <w:t>’</w:t>
      </w:r>
      <w:r w:rsidRPr="00C73E55">
        <w:rPr>
          <w:lang w:val="fr-FR"/>
        </w:rPr>
        <w:t>ADR ont désormais été adoptées par tous les États membres de l</w:t>
      </w:r>
      <w:r>
        <w:rPr>
          <w:lang w:val="fr-FR"/>
        </w:rPr>
        <w:t>’</w:t>
      </w:r>
      <w:r w:rsidRPr="00C73E55">
        <w:rPr>
          <w:lang w:val="fr-FR"/>
        </w:rPr>
        <w:t>Union européenne pour réglementer le transport des marchandises dangereuses par route à l</w:t>
      </w:r>
      <w:r>
        <w:rPr>
          <w:lang w:val="fr-FR"/>
        </w:rPr>
        <w:t>’</w:t>
      </w:r>
      <w:r w:rsidRPr="00C73E55">
        <w:rPr>
          <w:lang w:val="fr-FR"/>
        </w:rPr>
        <w:t>intérieur des États membres et entre États membres (directive</w:t>
      </w:r>
      <w:r>
        <w:rPr>
          <w:lang w:val="fr-FR"/>
        </w:rPr>
        <w:t> </w:t>
      </w:r>
      <w:r w:rsidRPr="00C73E55">
        <w:rPr>
          <w:lang w:val="fr-FR"/>
        </w:rPr>
        <w:t>2008/68/CE du Parlement européen et du Conseil du 24</w:t>
      </w:r>
      <w:r>
        <w:rPr>
          <w:lang w:val="fr-FR"/>
        </w:rPr>
        <w:t> </w:t>
      </w:r>
      <w:r w:rsidRPr="00C73E55">
        <w:rPr>
          <w:lang w:val="fr-FR"/>
        </w:rPr>
        <w:t>septembre 2008 relative au transport intérieur des marchandises dangereuses, telle que modifiée). La directive</w:t>
      </w:r>
      <w:r>
        <w:rPr>
          <w:lang w:val="fr-FR"/>
        </w:rPr>
        <w:t> </w:t>
      </w:r>
      <w:r w:rsidRPr="00C73E55">
        <w:rPr>
          <w:lang w:val="fr-FR"/>
        </w:rPr>
        <w:t>2008/68/CE s</w:t>
      </w:r>
      <w:r>
        <w:rPr>
          <w:lang w:val="fr-FR"/>
        </w:rPr>
        <w:t>’</w:t>
      </w:r>
      <w:r w:rsidRPr="00C73E55">
        <w:rPr>
          <w:lang w:val="fr-FR"/>
        </w:rPr>
        <w:t>applique également aux pays de</w:t>
      </w:r>
      <w:r>
        <w:rPr>
          <w:lang w:val="fr-FR"/>
        </w:rPr>
        <w:t> </w:t>
      </w:r>
      <w:r w:rsidRPr="00C73E55">
        <w:rPr>
          <w:lang w:val="fr-FR"/>
        </w:rPr>
        <w:t>l</w:t>
      </w:r>
      <w:r>
        <w:rPr>
          <w:lang w:val="fr-FR"/>
        </w:rPr>
        <w:t>’</w:t>
      </w:r>
      <w:r w:rsidRPr="00C73E55">
        <w:rPr>
          <w:lang w:val="fr-FR"/>
        </w:rPr>
        <w:t>EEE.</w:t>
      </w:r>
    </w:p>
    <w:p w14:paraId="461B3DFB" w14:textId="15802465" w:rsidR="008E6598" w:rsidRPr="00C73E55" w:rsidRDefault="008E6598" w:rsidP="008E6598">
      <w:pPr>
        <w:pStyle w:val="SingleTxtG"/>
        <w:rPr>
          <w:lang w:val="fr-FR"/>
        </w:rPr>
      </w:pPr>
      <w:r w:rsidRPr="00C73E55">
        <w:rPr>
          <w:lang w:val="fr-FR"/>
        </w:rPr>
        <w:t>18.</w:t>
      </w:r>
      <w:r w:rsidRPr="00C73E55">
        <w:rPr>
          <w:lang w:val="fr-FR"/>
        </w:rPr>
        <w:tab/>
        <w:t>Aux termes de la directive</w:t>
      </w:r>
      <w:r w:rsidR="00B75FA7">
        <w:rPr>
          <w:lang w:val="fr-FR"/>
        </w:rPr>
        <w:t> </w:t>
      </w:r>
      <w:r w:rsidRPr="00C73E55">
        <w:rPr>
          <w:lang w:val="fr-FR"/>
        </w:rPr>
        <w:t>2008/68/CE, « on entend par “</w:t>
      </w:r>
      <w:r w:rsidRPr="00C73E55">
        <w:rPr>
          <w:i/>
          <w:iCs/>
          <w:lang w:val="fr-FR"/>
        </w:rPr>
        <w:t>véhicule</w:t>
      </w:r>
      <w:r w:rsidRPr="00C73E55">
        <w:rPr>
          <w:lang w:val="fr-FR"/>
        </w:rPr>
        <w:t xml:space="preserve">” : tout véhicule à moteur destiné à circuler sur route, </w:t>
      </w:r>
      <w:r w:rsidRPr="00C73E55">
        <w:rPr>
          <w:u w:val="single"/>
          <w:lang w:val="fr-FR"/>
        </w:rPr>
        <w:t>pourvu d</w:t>
      </w:r>
      <w:r>
        <w:rPr>
          <w:u w:val="single"/>
          <w:lang w:val="fr-FR"/>
        </w:rPr>
        <w:t>’</w:t>
      </w:r>
      <w:r w:rsidRPr="00C73E55">
        <w:rPr>
          <w:u w:val="single"/>
          <w:lang w:val="fr-FR"/>
        </w:rPr>
        <w:t>au moins quatre roues</w:t>
      </w:r>
      <w:r w:rsidRPr="00C73E55">
        <w:rPr>
          <w:lang w:val="fr-FR"/>
        </w:rPr>
        <w:t xml:space="preserve"> et ayant une vitesse maximale par construction supérieure à 25</w:t>
      </w:r>
      <w:r>
        <w:rPr>
          <w:lang w:val="fr-FR"/>
        </w:rPr>
        <w:t> </w:t>
      </w:r>
      <w:r w:rsidRPr="00C73E55">
        <w:rPr>
          <w:lang w:val="fr-FR"/>
        </w:rPr>
        <w:t>km/h, ainsi que toute remorque, à l</w:t>
      </w:r>
      <w:r>
        <w:rPr>
          <w:lang w:val="fr-FR"/>
        </w:rPr>
        <w:t>’</w:t>
      </w:r>
      <w:r w:rsidRPr="00C73E55">
        <w:rPr>
          <w:lang w:val="fr-FR"/>
        </w:rPr>
        <w:t>exception des véhicules qui se déplacent sur rails, des machines mobiles et des tracteurs agricoles et forestiers qui ne dépassent pas 40 km/h lorsqu</w:t>
      </w:r>
      <w:r>
        <w:rPr>
          <w:lang w:val="fr-FR"/>
        </w:rPr>
        <w:t>’</w:t>
      </w:r>
      <w:r w:rsidRPr="00C73E55">
        <w:rPr>
          <w:lang w:val="fr-FR"/>
        </w:rPr>
        <w:t>ils transportent des marchandises dangereuses ; ».</w:t>
      </w:r>
    </w:p>
    <w:p w14:paraId="1E259FCD" w14:textId="1D47B288" w:rsidR="008E6598" w:rsidRPr="00C73E55" w:rsidRDefault="008E6598" w:rsidP="00B75FA7">
      <w:pPr>
        <w:pStyle w:val="SingleTxtG"/>
        <w:spacing w:after="100"/>
        <w:rPr>
          <w:lang w:val="fr-FR"/>
        </w:rPr>
      </w:pPr>
      <w:r w:rsidRPr="00C73E55">
        <w:rPr>
          <w:lang w:val="fr-FR"/>
        </w:rPr>
        <w:t>19.</w:t>
      </w:r>
      <w:r w:rsidRPr="00C73E55">
        <w:rPr>
          <w:lang w:val="fr-FR"/>
        </w:rPr>
        <w:tab/>
        <w:t>En outre, le paragraphe</w:t>
      </w:r>
      <w:r>
        <w:rPr>
          <w:lang w:val="fr-FR"/>
        </w:rPr>
        <w:t> </w:t>
      </w:r>
      <w:r w:rsidRPr="00C73E55">
        <w:rPr>
          <w:lang w:val="fr-FR"/>
        </w:rPr>
        <w:t>4 de l</w:t>
      </w:r>
      <w:r>
        <w:rPr>
          <w:lang w:val="fr-FR"/>
        </w:rPr>
        <w:t>’</w:t>
      </w:r>
      <w:r w:rsidRPr="00C73E55">
        <w:rPr>
          <w:lang w:val="fr-FR"/>
        </w:rPr>
        <w:t>article premier de la directive</w:t>
      </w:r>
      <w:r>
        <w:rPr>
          <w:lang w:val="fr-FR"/>
        </w:rPr>
        <w:t> </w:t>
      </w:r>
      <w:r w:rsidRPr="00C73E55">
        <w:rPr>
          <w:lang w:val="fr-FR"/>
        </w:rPr>
        <w:t>2008/68/CE dispose ce qui suit :</w:t>
      </w:r>
    </w:p>
    <w:p w14:paraId="2470383E" w14:textId="77777777" w:rsidR="008E6598" w:rsidRPr="00C73E55" w:rsidRDefault="008E6598" w:rsidP="008E6598">
      <w:pPr>
        <w:pStyle w:val="SingleTxtG"/>
        <w:spacing w:after="100"/>
        <w:ind w:left="2268" w:hanging="567"/>
        <w:rPr>
          <w:lang w:val="fr-FR"/>
        </w:rPr>
      </w:pPr>
      <w:r w:rsidRPr="00C73E55">
        <w:rPr>
          <w:lang w:val="fr-FR"/>
        </w:rPr>
        <w:t>« 4.</w:t>
      </w:r>
      <w:r w:rsidRPr="00C73E55">
        <w:rPr>
          <w:lang w:val="fr-FR"/>
        </w:rPr>
        <w:tab/>
        <w:t>Les États membres peuvent établir des prescriptions de sécurité spécifiques pour le transport national et international de marchandises dangereuses sur leur territoire en ce qui concerne :</w:t>
      </w:r>
    </w:p>
    <w:p w14:paraId="002A61EB" w14:textId="6298BC8F" w:rsidR="008E6598" w:rsidRPr="00C73E55" w:rsidRDefault="008E6598" w:rsidP="008E6598">
      <w:pPr>
        <w:pStyle w:val="SingleTxtG"/>
        <w:spacing w:after="100"/>
        <w:ind w:left="2835" w:hanging="567"/>
        <w:rPr>
          <w:lang w:val="fr-FR"/>
        </w:rPr>
      </w:pPr>
      <w:r w:rsidRPr="00C73E55">
        <w:rPr>
          <w:lang w:val="fr-FR"/>
        </w:rPr>
        <w:t>a)</w:t>
      </w:r>
      <w:r w:rsidRPr="00C73E55">
        <w:rPr>
          <w:lang w:val="fr-FR"/>
        </w:rPr>
        <w:tab/>
        <w:t>Le transport de marchandises dangereuses effectué par des véhicules, des wagons ou des bateaux de la navigation intérieure non couverts par la présente directive ;</w:t>
      </w:r>
    </w:p>
    <w:p w14:paraId="74FB1B1B" w14:textId="77777777" w:rsidR="008E6598" w:rsidRPr="00C73E55" w:rsidRDefault="008E6598" w:rsidP="008E6598">
      <w:pPr>
        <w:pStyle w:val="SingleTxtG"/>
        <w:spacing w:after="100"/>
        <w:ind w:left="2268"/>
        <w:rPr>
          <w:lang w:val="fr-FR"/>
        </w:rPr>
      </w:pPr>
      <w:r w:rsidRPr="00C73E55">
        <w:rPr>
          <w:lang w:val="fr-FR"/>
        </w:rPr>
        <w:t>Ils informent la Commission de ces dispositions et de leur justification.</w:t>
      </w:r>
    </w:p>
    <w:p w14:paraId="604BD77D" w14:textId="77777777" w:rsidR="008E6598" w:rsidRPr="00C73E55" w:rsidRDefault="008E6598" w:rsidP="008E6598">
      <w:pPr>
        <w:pStyle w:val="SingleTxtG"/>
        <w:spacing w:after="100"/>
        <w:ind w:left="2268"/>
        <w:rPr>
          <w:lang w:val="fr-FR"/>
        </w:rPr>
      </w:pPr>
      <w:r w:rsidRPr="00C73E55">
        <w:rPr>
          <w:lang w:val="fr-FR"/>
        </w:rPr>
        <w:t>La Commission informe les autres États membres en conséquence. ».</w:t>
      </w:r>
    </w:p>
    <w:p w14:paraId="5896C83A" w14:textId="63ACE8CE" w:rsidR="008E6598" w:rsidRPr="00C73E55" w:rsidRDefault="008E6598" w:rsidP="008E6598">
      <w:pPr>
        <w:pStyle w:val="SingleTxtG"/>
        <w:spacing w:after="100"/>
        <w:rPr>
          <w:lang w:val="fr-FR"/>
        </w:rPr>
      </w:pPr>
      <w:r w:rsidRPr="00C73E55">
        <w:rPr>
          <w:lang w:val="fr-FR"/>
        </w:rPr>
        <w:t>20.</w:t>
      </w:r>
      <w:r w:rsidRPr="00C73E55">
        <w:rPr>
          <w:lang w:val="fr-FR"/>
        </w:rPr>
        <w:tab/>
        <w:t>Il ressort de ce qui précède que les véhicules ayant moins de quatre roues n</w:t>
      </w:r>
      <w:r>
        <w:rPr>
          <w:lang w:val="fr-FR"/>
        </w:rPr>
        <w:t>’</w:t>
      </w:r>
      <w:r w:rsidRPr="00C73E55">
        <w:rPr>
          <w:lang w:val="fr-FR"/>
        </w:rPr>
        <w:t>entrent pas dans le champ d</w:t>
      </w:r>
      <w:r>
        <w:rPr>
          <w:lang w:val="fr-FR"/>
        </w:rPr>
        <w:t>’</w:t>
      </w:r>
      <w:r w:rsidRPr="00C73E55">
        <w:rPr>
          <w:lang w:val="fr-FR"/>
        </w:rPr>
        <w:t>application de la directive</w:t>
      </w:r>
      <w:r>
        <w:rPr>
          <w:lang w:val="fr-FR"/>
        </w:rPr>
        <w:t> </w:t>
      </w:r>
      <w:r w:rsidRPr="00C73E55">
        <w:rPr>
          <w:lang w:val="fr-FR"/>
        </w:rPr>
        <w:t>2008/68/CE. Le transport intérieur de marchandises dangereuses effectué par des véhicules ayant moins de quatre roues pourrait toutefois être réglementé par les pays de l</w:t>
      </w:r>
      <w:r>
        <w:rPr>
          <w:lang w:val="fr-FR"/>
        </w:rPr>
        <w:t>’</w:t>
      </w:r>
      <w:r w:rsidRPr="00C73E55">
        <w:rPr>
          <w:lang w:val="fr-FR"/>
        </w:rPr>
        <w:t>UE et de l</w:t>
      </w:r>
      <w:r>
        <w:rPr>
          <w:lang w:val="fr-FR"/>
        </w:rPr>
        <w:t>’</w:t>
      </w:r>
      <w:r w:rsidRPr="00C73E55">
        <w:rPr>
          <w:lang w:val="fr-FR"/>
        </w:rPr>
        <w:t>EEE conformément au paragraphe</w:t>
      </w:r>
      <w:r>
        <w:rPr>
          <w:lang w:val="fr-FR"/>
        </w:rPr>
        <w:t> </w:t>
      </w:r>
      <w:r w:rsidRPr="00C73E55">
        <w:rPr>
          <w:lang w:val="fr-FR"/>
        </w:rPr>
        <w:t>4 de l</w:t>
      </w:r>
      <w:r>
        <w:rPr>
          <w:lang w:val="fr-FR"/>
        </w:rPr>
        <w:t>’</w:t>
      </w:r>
      <w:r w:rsidRPr="00C73E55">
        <w:rPr>
          <w:lang w:val="fr-FR"/>
        </w:rPr>
        <w:t>article premier</w:t>
      </w:r>
      <w:r w:rsidRPr="008E6598">
        <w:rPr>
          <w:lang w:val="fr-FR"/>
        </w:rPr>
        <w:t xml:space="preserve"> </w:t>
      </w:r>
      <w:r w:rsidRPr="00C73E55">
        <w:rPr>
          <w:lang w:val="fr-FR"/>
        </w:rPr>
        <w:t>de la directive</w:t>
      </w:r>
      <w:r w:rsidR="00B75FA7">
        <w:rPr>
          <w:lang w:val="fr-FR"/>
        </w:rPr>
        <w:t> </w:t>
      </w:r>
      <w:r w:rsidRPr="00C73E55">
        <w:rPr>
          <w:lang w:val="fr-FR"/>
        </w:rPr>
        <w:t>2008/68/CE.</w:t>
      </w:r>
    </w:p>
    <w:p w14:paraId="2B8C2F8A" w14:textId="7F047B76" w:rsidR="008E6598" w:rsidRPr="00C73E55" w:rsidRDefault="008E6598" w:rsidP="008E6598">
      <w:pPr>
        <w:pStyle w:val="HChG"/>
        <w:rPr>
          <w:lang w:val="fr-FR"/>
        </w:rPr>
      </w:pPr>
      <w:r w:rsidRPr="00C73E55">
        <w:rPr>
          <w:lang w:val="fr-FR"/>
        </w:rPr>
        <w:lastRenderedPageBreak/>
        <w:tab/>
        <w:t>V.</w:t>
      </w:r>
      <w:r w:rsidRPr="00C73E55">
        <w:rPr>
          <w:lang w:val="fr-FR"/>
        </w:rPr>
        <w:tab/>
        <w:t>Protocole portant amendement des articles</w:t>
      </w:r>
      <w:r>
        <w:rPr>
          <w:lang w:val="fr-FR"/>
        </w:rPr>
        <w:t> </w:t>
      </w:r>
      <w:r w:rsidRPr="00C73E55">
        <w:rPr>
          <w:lang w:val="fr-FR"/>
        </w:rPr>
        <w:t>1</w:t>
      </w:r>
      <w:r>
        <w:rPr>
          <w:lang w:val="fr-FR"/>
        </w:rPr>
        <w:t> </w:t>
      </w:r>
      <w:r w:rsidRPr="00C73E55">
        <w:rPr>
          <w:lang w:val="fr-FR"/>
        </w:rPr>
        <w:t xml:space="preserve">a), 14 1) </w:t>
      </w:r>
      <w:r w:rsidRPr="00C73E55">
        <w:rPr>
          <w:lang w:val="fr-FR"/>
        </w:rPr>
        <w:br/>
        <w:t>et 14 3) b) de l</w:t>
      </w:r>
      <w:r>
        <w:rPr>
          <w:lang w:val="fr-FR"/>
        </w:rPr>
        <w:t>’</w:t>
      </w:r>
      <w:r w:rsidRPr="00C73E55">
        <w:rPr>
          <w:lang w:val="fr-FR"/>
        </w:rPr>
        <w:t>ADR</w:t>
      </w:r>
    </w:p>
    <w:p w14:paraId="3C088C23" w14:textId="3B466F6A" w:rsidR="008E6598" w:rsidRPr="00C73E55" w:rsidRDefault="008E6598" w:rsidP="008E6598">
      <w:pPr>
        <w:pStyle w:val="SingleTxtG"/>
        <w:keepNext/>
        <w:rPr>
          <w:lang w:val="fr-FR"/>
        </w:rPr>
      </w:pPr>
      <w:r w:rsidRPr="00C73E55">
        <w:rPr>
          <w:lang w:val="fr-FR"/>
        </w:rPr>
        <w:t>21.</w:t>
      </w:r>
      <w:r w:rsidRPr="00C73E55">
        <w:rPr>
          <w:lang w:val="fr-FR"/>
        </w:rPr>
        <w:tab/>
        <w:t>Le premier article du Protocole portant amendement des articles</w:t>
      </w:r>
      <w:r>
        <w:rPr>
          <w:lang w:val="fr-FR"/>
        </w:rPr>
        <w:t> </w:t>
      </w:r>
      <w:r w:rsidRPr="00C73E55">
        <w:rPr>
          <w:lang w:val="fr-FR"/>
        </w:rPr>
        <w:t>1</w:t>
      </w:r>
      <w:r>
        <w:rPr>
          <w:lang w:val="fr-FR"/>
        </w:rPr>
        <w:t> </w:t>
      </w:r>
      <w:r w:rsidRPr="00C73E55">
        <w:rPr>
          <w:lang w:val="fr-FR"/>
        </w:rPr>
        <w:t>a), 14</w:t>
      </w:r>
      <w:r>
        <w:rPr>
          <w:lang w:val="fr-FR"/>
        </w:rPr>
        <w:t> </w:t>
      </w:r>
      <w:r w:rsidRPr="00C73E55">
        <w:rPr>
          <w:lang w:val="fr-FR"/>
        </w:rPr>
        <w:t>1) et 14 3) b) de l</w:t>
      </w:r>
      <w:r>
        <w:rPr>
          <w:lang w:val="fr-FR"/>
        </w:rPr>
        <w:t>’</w:t>
      </w:r>
      <w:r w:rsidRPr="00C73E55">
        <w:rPr>
          <w:lang w:val="fr-FR"/>
        </w:rPr>
        <w:t>ADR modifie la définition d</w:t>
      </w:r>
      <w:r>
        <w:rPr>
          <w:lang w:val="fr-FR"/>
        </w:rPr>
        <w:t>’</w:t>
      </w:r>
      <w:r w:rsidRPr="00C73E55">
        <w:rPr>
          <w:lang w:val="fr-FR"/>
        </w:rPr>
        <w:t>un « véhicule » :</w:t>
      </w:r>
    </w:p>
    <w:p w14:paraId="2EF4EDBD" w14:textId="31435B2E" w:rsidR="008E6598" w:rsidRPr="00C73E55" w:rsidRDefault="008E6598" w:rsidP="008E6598">
      <w:pPr>
        <w:pStyle w:val="SingleTxtG"/>
        <w:ind w:left="1701"/>
        <w:rPr>
          <w:u w:val="single"/>
          <w:lang w:val="fr-FR"/>
        </w:rPr>
      </w:pPr>
      <w:r w:rsidRPr="00C73E55">
        <w:rPr>
          <w:u w:val="single"/>
          <w:lang w:val="fr-FR"/>
        </w:rPr>
        <w:t>Modification de l</w:t>
      </w:r>
      <w:r>
        <w:rPr>
          <w:u w:val="single"/>
          <w:lang w:val="fr-FR"/>
        </w:rPr>
        <w:t>’</w:t>
      </w:r>
      <w:r w:rsidRPr="00C73E55">
        <w:rPr>
          <w:u w:val="single"/>
          <w:lang w:val="fr-FR"/>
        </w:rPr>
        <w:t>article</w:t>
      </w:r>
      <w:r>
        <w:rPr>
          <w:u w:val="single"/>
          <w:lang w:val="fr-FR"/>
        </w:rPr>
        <w:t> </w:t>
      </w:r>
      <w:r w:rsidRPr="00C73E55">
        <w:rPr>
          <w:u w:val="single"/>
          <w:lang w:val="fr-FR"/>
        </w:rPr>
        <w:t>1</w:t>
      </w:r>
      <w:r>
        <w:rPr>
          <w:u w:val="single"/>
          <w:lang w:val="fr-FR"/>
        </w:rPr>
        <w:t> </w:t>
      </w:r>
      <w:r w:rsidRPr="00C73E55">
        <w:rPr>
          <w:u w:val="single"/>
          <w:lang w:val="fr-FR"/>
        </w:rPr>
        <w:t>a) de l</w:t>
      </w:r>
      <w:r>
        <w:rPr>
          <w:u w:val="single"/>
          <w:lang w:val="fr-FR"/>
        </w:rPr>
        <w:t>’</w:t>
      </w:r>
      <w:r w:rsidRPr="00C73E55">
        <w:rPr>
          <w:u w:val="single"/>
          <w:lang w:val="fr-FR"/>
        </w:rPr>
        <w:t>Accord</w:t>
      </w:r>
    </w:p>
    <w:p w14:paraId="05512908" w14:textId="0AF7C260" w:rsidR="008E6598" w:rsidRPr="00C73E55" w:rsidRDefault="008E6598" w:rsidP="008D5903">
      <w:pPr>
        <w:pStyle w:val="SingleTxtG"/>
        <w:ind w:left="1701"/>
        <w:rPr>
          <w:lang w:val="fr-FR"/>
        </w:rPr>
      </w:pPr>
      <w:r w:rsidRPr="00C73E55">
        <w:rPr>
          <w:lang w:val="fr-FR"/>
        </w:rPr>
        <w:t>L</w:t>
      </w:r>
      <w:r>
        <w:rPr>
          <w:lang w:val="fr-FR"/>
        </w:rPr>
        <w:t>’</w:t>
      </w:r>
      <w:r w:rsidRPr="00C73E55">
        <w:rPr>
          <w:lang w:val="fr-FR"/>
        </w:rPr>
        <w:t>article</w:t>
      </w:r>
      <w:r w:rsidR="00B75FA7">
        <w:rPr>
          <w:lang w:val="fr-FR"/>
        </w:rPr>
        <w:t> </w:t>
      </w:r>
      <w:r w:rsidRPr="00C73E55">
        <w:rPr>
          <w:lang w:val="fr-FR"/>
        </w:rPr>
        <w:t>1</w:t>
      </w:r>
      <w:r w:rsidR="00B75FA7">
        <w:rPr>
          <w:lang w:val="fr-FR"/>
        </w:rPr>
        <w:t> </w:t>
      </w:r>
      <w:r w:rsidRPr="00C73E55">
        <w:rPr>
          <w:lang w:val="fr-FR"/>
        </w:rPr>
        <w:t>a) de l</w:t>
      </w:r>
      <w:r>
        <w:rPr>
          <w:lang w:val="fr-FR"/>
        </w:rPr>
        <w:t>’</w:t>
      </w:r>
      <w:r w:rsidRPr="00C73E55">
        <w:rPr>
          <w:lang w:val="fr-FR"/>
        </w:rPr>
        <w:t>Accord est modifié de manière à se lire comme suit :</w:t>
      </w:r>
    </w:p>
    <w:p w14:paraId="159FC252" w14:textId="77777777" w:rsidR="008E6598" w:rsidRPr="008D5903" w:rsidRDefault="008E6598" w:rsidP="008E6598">
      <w:pPr>
        <w:pStyle w:val="SingleTxtG"/>
        <w:ind w:left="2268" w:hanging="567"/>
        <w:rPr>
          <w:spacing w:val="-1"/>
          <w:lang w:val="fr-FR"/>
        </w:rPr>
      </w:pPr>
      <w:r w:rsidRPr="00C73E55">
        <w:rPr>
          <w:lang w:val="fr-FR"/>
        </w:rPr>
        <w:t>« a)</w:t>
      </w:r>
      <w:r w:rsidRPr="00C73E55">
        <w:rPr>
          <w:lang w:val="fr-FR"/>
        </w:rPr>
        <w:tab/>
        <w:t>Par “véhicule”, tout véhicule à moteur, autre qu</w:t>
      </w:r>
      <w:r>
        <w:rPr>
          <w:lang w:val="fr-FR"/>
        </w:rPr>
        <w:t>’</w:t>
      </w:r>
      <w:r w:rsidRPr="00C73E55">
        <w:rPr>
          <w:lang w:val="fr-FR"/>
        </w:rPr>
        <w:t>un véhicule appartenant aux forces armées d</w:t>
      </w:r>
      <w:r>
        <w:rPr>
          <w:lang w:val="fr-FR"/>
        </w:rPr>
        <w:t>’</w:t>
      </w:r>
      <w:r w:rsidRPr="00C73E55">
        <w:rPr>
          <w:lang w:val="fr-FR"/>
        </w:rPr>
        <w:t xml:space="preserve">une Partie contractante ou se trouvant sous leur responsabilité, </w:t>
      </w:r>
      <w:r w:rsidRPr="008D5903">
        <w:rPr>
          <w:spacing w:val="-1"/>
          <w:lang w:val="fr-FR"/>
        </w:rPr>
        <w:t xml:space="preserve">qui est destiné à circuler sur la route, complet ou incomplet, </w:t>
      </w:r>
      <w:r w:rsidRPr="008D5903">
        <w:rPr>
          <w:spacing w:val="-1"/>
          <w:u w:val="single"/>
          <w:lang w:val="fr-FR"/>
        </w:rPr>
        <w:t>pourvu d’au moins quatre roues</w:t>
      </w:r>
      <w:r w:rsidRPr="008D5903">
        <w:rPr>
          <w:spacing w:val="-1"/>
          <w:lang w:val="fr-FR"/>
        </w:rPr>
        <w:t xml:space="preserve"> et dont la vitesse maximale par construction est supérieure à 25 km/h, ainsi que ses remorques − à l’exception des véhicules qui se déplacent sur des rails, des tracteurs agricoles ou forestiers et de tout mécanisme mobile ».</w:t>
      </w:r>
    </w:p>
    <w:p w14:paraId="2CEE6FEC" w14:textId="78974368" w:rsidR="008E6598" w:rsidRPr="00C73E55" w:rsidRDefault="008E6598" w:rsidP="008E6598">
      <w:pPr>
        <w:pStyle w:val="SingleTxtG"/>
        <w:rPr>
          <w:lang w:val="fr-FR"/>
        </w:rPr>
      </w:pPr>
      <w:r w:rsidRPr="00C73E55">
        <w:rPr>
          <w:lang w:val="fr-FR"/>
        </w:rPr>
        <w:t>22.</w:t>
      </w:r>
      <w:r w:rsidRPr="00C73E55">
        <w:rPr>
          <w:lang w:val="fr-FR"/>
        </w:rPr>
        <w:tab/>
        <w:t>Cette modification a été adoptée par la Conférence des Parties à la suite d</w:t>
      </w:r>
      <w:r>
        <w:rPr>
          <w:lang w:val="fr-FR"/>
        </w:rPr>
        <w:t>’</w:t>
      </w:r>
      <w:r w:rsidRPr="00C73E55">
        <w:rPr>
          <w:lang w:val="fr-FR"/>
        </w:rPr>
        <w:t>une proposition de l</w:t>
      </w:r>
      <w:r>
        <w:rPr>
          <w:lang w:val="fr-FR"/>
        </w:rPr>
        <w:t>’</w:t>
      </w:r>
      <w:r w:rsidRPr="00C73E55">
        <w:rPr>
          <w:lang w:val="fr-FR"/>
        </w:rPr>
        <w:t>Autriche visant à remplacer la référence à l</w:t>
      </w:r>
      <w:r>
        <w:rPr>
          <w:lang w:val="fr-FR"/>
        </w:rPr>
        <w:t>’</w:t>
      </w:r>
      <w:r w:rsidRPr="00C73E55">
        <w:rPr>
          <w:lang w:val="fr-FR"/>
        </w:rPr>
        <w:t>article</w:t>
      </w:r>
      <w:r>
        <w:rPr>
          <w:lang w:val="fr-FR"/>
        </w:rPr>
        <w:t> </w:t>
      </w:r>
      <w:r w:rsidRPr="00C73E55">
        <w:rPr>
          <w:lang w:val="fr-FR"/>
        </w:rPr>
        <w:t>4 de la Convention sur la circulation routière du 19</w:t>
      </w:r>
      <w:r>
        <w:rPr>
          <w:lang w:val="fr-FR"/>
        </w:rPr>
        <w:t> </w:t>
      </w:r>
      <w:r w:rsidRPr="00C73E55">
        <w:rPr>
          <w:lang w:val="fr-FR"/>
        </w:rPr>
        <w:t>septembre 1949, qui était dépassée, par une définition complète reprenant celle de la directive</w:t>
      </w:r>
      <w:r>
        <w:rPr>
          <w:lang w:val="fr-FR"/>
        </w:rPr>
        <w:t> </w:t>
      </w:r>
      <w:r w:rsidRPr="00C73E55">
        <w:rPr>
          <w:lang w:val="fr-FR"/>
        </w:rPr>
        <w:t>92/53/CEE</w:t>
      </w:r>
      <w:r w:rsidRPr="00C93BC9">
        <w:rPr>
          <w:rStyle w:val="Appelnotedebasdep"/>
        </w:rPr>
        <w:footnoteReference w:id="3"/>
      </w:r>
      <w:r w:rsidRPr="00C73E55">
        <w:rPr>
          <w:lang w:val="fr-FR"/>
        </w:rPr>
        <w:t>. Pour plus d</w:t>
      </w:r>
      <w:r>
        <w:rPr>
          <w:lang w:val="fr-FR"/>
        </w:rPr>
        <w:t>’</w:t>
      </w:r>
      <w:r w:rsidRPr="00C73E55">
        <w:rPr>
          <w:lang w:val="fr-FR"/>
        </w:rPr>
        <w:t>informations, on pourra se reporter au rapport de la Conférence des Parties contractantes à l</w:t>
      </w:r>
      <w:r>
        <w:rPr>
          <w:lang w:val="fr-FR"/>
        </w:rPr>
        <w:t>’</w:t>
      </w:r>
      <w:r w:rsidRPr="00C73E55">
        <w:rPr>
          <w:lang w:val="fr-FR"/>
        </w:rPr>
        <w:t>ADR (28 octobre 1993) (</w:t>
      </w:r>
      <w:hyperlink r:id="rId8" w:history="1">
        <w:r w:rsidRPr="00C73E55">
          <w:rPr>
            <w:rStyle w:val="Lienhypertexte"/>
            <w:lang w:val="fr-FR"/>
          </w:rPr>
          <w:t>TRANS/WP.15/CD/6</w:t>
        </w:r>
      </w:hyperlink>
      <w:r w:rsidRPr="00C73E55">
        <w:rPr>
          <w:lang w:val="fr-FR"/>
        </w:rPr>
        <w:t>).</w:t>
      </w:r>
    </w:p>
    <w:p w14:paraId="52488A0C" w14:textId="77777777" w:rsidR="008E6598" w:rsidRPr="00C73E55" w:rsidRDefault="008E6598" w:rsidP="008E6598">
      <w:pPr>
        <w:pStyle w:val="SingleTxtG"/>
        <w:rPr>
          <w:rFonts w:eastAsia="SimSun"/>
          <w:lang w:val="fr-FR"/>
        </w:rPr>
      </w:pPr>
      <w:r w:rsidRPr="00C73E55">
        <w:rPr>
          <w:lang w:val="fr-FR"/>
        </w:rPr>
        <w:t>23.</w:t>
      </w:r>
      <w:r w:rsidRPr="00C73E55">
        <w:rPr>
          <w:lang w:val="fr-FR"/>
        </w:rPr>
        <w:tab/>
        <w:t>Ce protocole n</w:t>
      </w:r>
      <w:r>
        <w:rPr>
          <w:lang w:val="fr-FR"/>
        </w:rPr>
        <w:t>’</w:t>
      </w:r>
      <w:r w:rsidRPr="00C73E55">
        <w:rPr>
          <w:lang w:val="fr-FR"/>
        </w:rPr>
        <w:t>est pas encore entré en vigueur. Il faut pour cela que toutes les Parties contractantes à l</w:t>
      </w:r>
      <w:r>
        <w:rPr>
          <w:lang w:val="fr-FR"/>
        </w:rPr>
        <w:t>’</w:t>
      </w:r>
      <w:r w:rsidRPr="00C73E55">
        <w:rPr>
          <w:lang w:val="fr-FR"/>
        </w:rPr>
        <w:t>ADR l</w:t>
      </w:r>
      <w:r>
        <w:rPr>
          <w:lang w:val="fr-FR"/>
        </w:rPr>
        <w:t>’</w:t>
      </w:r>
      <w:r w:rsidRPr="00C73E55">
        <w:rPr>
          <w:lang w:val="fr-FR"/>
        </w:rPr>
        <w:t>aient ratifié ou y aient adhéré.</w:t>
      </w:r>
    </w:p>
    <w:p w14:paraId="43E4DBFB" w14:textId="09BF7EF4" w:rsidR="008E6598" w:rsidRPr="00C73E55" w:rsidRDefault="008E6598" w:rsidP="008E6598">
      <w:pPr>
        <w:pStyle w:val="SingleTxtG"/>
        <w:rPr>
          <w:lang w:val="fr-FR"/>
        </w:rPr>
      </w:pPr>
      <w:r w:rsidRPr="00C73E55">
        <w:rPr>
          <w:lang w:val="fr-FR"/>
        </w:rPr>
        <w:t>24.</w:t>
      </w:r>
      <w:r w:rsidRPr="00C73E55">
        <w:rPr>
          <w:lang w:val="fr-FR"/>
        </w:rPr>
        <w:tab/>
        <w:t>Si le Protocole de 1993 entrait en vigueur, la condition restrictive exigeant que le véhicule soit pourvu d</w:t>
      </w:r>
      <w:r>
        <w:rPr>
          <w:lang w:val="fr-FR"/>
        </w:rPr>
        <w:t>’</w:t>
      </w:r>
      <w:r w:rsidRPr="00C73E55">
        <w:rPr>
          <w:lang w:val="fr-FR"/>
        </w:rPr>
        <w:t>au moins 4</w:t>
      </w:r>
      <w:r>
        <w:rPr>
          <w:lang w:val="fr-FR"/>
        </w:rPr>
        <w:t> </w:t>
      </w:r>
      <w:r w:rsidRPr="00C73E55">
        <w:rPr>
          <w:lang w:val="fr-FR"/>
        </w:rPr>
        <w:t>roues qui y est énoncée ferait également partie de l</w:t>
      </w:r>
      <w:r>
        <w:rPr>
          <w:lang w:val="fr-FR"/>
        </w:rPr>
        <w:t>’</w:t>
      </w:r>
      <w:r w:rsidRPr="00C73E55">
        <w:rPr>
          <w:lang w:val="fr-FR"/>
        </w:rPr>
        <w:t>ADR.</w:t>
      </w:r>
    </w:p>
    <w:p w14:paraId="3DD7FC0F" w14:textId="77777777" w:rsidR="008E6598" w:rsidRPr="00C73E55" w:rsidRDefault="008E6598" w:rsidP="008E6598">
      <w:pPr>
        <w:pStyle w:val="HChG"/>
        <w:rPr>
          <w:lang w:val="fr-FR"/>
        </w:rPr>
      </w:pPr>
      <w:r w:rsidRPr="00C73E55">
        <w:rPr>
          <w:lang w:val="fr-FR"/>
        </w:rPr>
        <w:tab/>
        <w:t>VI.</w:t>
      </w:r>
      <w:r w:rsidRPr="00C73E55">
        <w:rPr>
          <w:lang w:val="fr-FR"/>
        </w:rPr>
        <w:tab/>
        <w:t>Extension possible du champ d</w:t>
      </w:r>
      <w:r>
        <w:rPr>
          <w:lang w:val="fr-FR"/>
        </w:rPr>
        <w:t>’</w:t>
      </w:r>
      <w:r w:rsidRPr="00C73E55">
        <w:rPr>
          <w:lang w:val="fr-FR"/>
        </w:rPr>
        <w:t>application de l</w:t>
      </w:r>
      <w:r>
        <w:rPr>
          <w:lang w:val="fr-FR"/>
        </w:rPr>
        <w:t>’</w:t>
      </w:r>
      <w:r w:rsidRPr="00C73E55">
        <w:rPr>
          <w:lang w:val="fr-FR"/>
        </w:rPr>
        <w:t>ADR</w:t>
      </w:r>
    </w:p>
    <w:p w14:paraId="21ED970E" w14:textId="77777777" w:rsidR="008E6598" w:rsidRPr="00C73E55" w:rsidRDefault="008E6598" w:rsidP="008E6598">
      <w:pPr>
        <w:pStyle w:val="SingleTxtG"/>
        <w:rPr>
          <w:lang w:val="fr-FR"/>
        </w:rPr>
      </w:pPr>
      <w:r w:rsidRPr="00C73E55">
        <w:rPr>
          <w:lang w:val="fr-FR"/>
        </w:rPr>
        <w:t>25.</w:t>
      </w:r>
      <w:r w:rsidRPr="00C73E55">
        <w:rPr>
          <w:lang w:val="fr-FR"/>
        </w:rPr>
        <w:tab/>
        <w:t>À la dernière session, certaines délégations ont rappelé que, lorsque ce protocole avait été adopté par la Conférence des Parties contractantes à l</w:t>
      </w:r>
      <w:r>
        <w:rPr>
          <w:lang w:val="fr-FR"/>
        </w:rPr>
        <w:t>’</w:t>
      </w:r>
      <w:r w:rsidRPr="00C73E55">
        <w:rPr>
          <w:lang w:val="fr-FR"/>
        </w:rPr>
        <w:t>ADR en 1993, il n</w:t>
      </w:r>
      <w:r>
        <w:rPr>
          <w:lang w:val="fr-FR"/>
        </w:rPr>
        <w:t>’</w:t>
      </w:r>
      <w:r w:rsidRPr="00C73E55">
        <w:rPr>
          <w:lang w:val="fr-FR"/>
        </w:rPr>
        <w:t>était pas du tout prévu que les livraisons puissent être effectuées par des véhicules ou engins autres que des camions ou camionnettes classiques. Avec l</w:t>
      </w:r>
      <w:r>
        <w:rPr>
          <w:lang w:val="fr-FR"/>
        </w:rPr>
        <w:t>’</w:t>
      </w:r>
      <w:r w:rsidRPr="00C73E55">
        <w:rPr>
          <w:lang w:val="fr-FR"/>
        </w:rPr>
        <w:t>écologisation des villes, d</w:t>
      </w:r>
      <w:r>
        <w:rPr>
          <w:lang w:val="fr-FR"/>
        </w:rPr>
        <w:t>’</w:t>
      </w:r>
      <w:r w:rsidRPr="00C73E55">
        <w:rPr>
          <w:lang w:val="fr-FR"/>
        </w:rPr>
        <w:t>autres modes de livraison sont désormais utilisés, notamment les véhicules ayant moins de quatre roues, comme les vélos ou les vélos électriques. La plupart des délégations ont estimé qu</w:t>
      </w:r>
      <w:r>
        <w:rPr>
          <w:lang w:val="fr-FR"/>
        </w:rPr>
        <w:t>’</w:t>
      </w:r>
      <w:r w:rsidRPr="00C73E55">
        <w:rPr>
          <w:lang w:val="fr-FR"/>
        </w:rPr>
        <w:t>il fallait mettre en place une réglementation pour s</w:t>
      </w:r>
      <w:r>
        <w:rPr>
          <w:lang w:val="fr-FR"/>
        </w:rPr>
        <w:t>’</w:t>
      </w:r>
      <w:r w:rsidRPr="00C73E55">
        <w:rPr>
          <w:lang w:val="fr-FR"/>
        </w:rPr>
        <w:t>assurer que les transports de marchandises dangereuses effectués au moyen de ces véhicules se déroulent en toute sécurité. En ce qui concerne les transports internationaux, certaines délégations ont envisagé la possibilité d</w:t>
      </w:r>
      <w:r>
        <w:rPr>
          <w:lang w:val="fr-FR"/>
        </w:rPr>
        <w:t>’</w:t>
      </w:r>
      <w:r w:rsidRPr="00C73E55">
        <w:rPr>
          <w:lang w:val="fr-FR"/>
        </w:rPr>
        <w:t>étendre le champ d</w:t>
      </w:r>
      <w:r>
        <w:rPr>
          <w:lang w:val="fr-FR"/>
        </w:rPr>
        <w:t>’</w:t>
      </w:r>
      <w:r w:rsidRPr="00C73E55">
        <w:rPr>
          <w:lang w:val="fr-FR"/>
        </w:rPr>
        <w:t>application de l</w:t>
      </w:r>
      <w:r>
        <w:rPr>
          <w:lang w:val="fr-FR"/>
        </w:rPr>
        <w:t>’</w:t>
      </w:r>
      <w:r w:rsidRPr="00C73E55">
        <w:rPr>
          <w:lang w:val="fr-FR"/>
        </w:rPr>
        <w:t>ADR en adoptant un nouveau protocole d</w:t>
      </w:r>
      <w:r>
        <w:rPr>
          <w:lang w:val="fr-FR"/>
        </w:rPr>
        <w:t>’</w:t>
      </w:r>
      <w:r w:rsidRPr="00C73E55">
        <w:rPr>
          <w:lang w:val="fr-FR"/>
        </w:rPr>
        <w:t>amendement. Toutefois, certaines délégations se sont interrogées sur la possibilité de modifier le champ d</w:t>
      </w:r>
      <w:r>
        <w:rPr>
          <w:lang w:val="fr-FR"/>
        </w:rPr>
        <w:t>’</w:t>
      </w:r>
      <w:r w:rsidRPr="00C73E55">
        <w:rPr>
          <w:lang w:val="fr-FR"/>
        </w:rPr>
        <w:t>application de l</w:t>
      </w:r>
      <w:r>
        <w:rPr>
          <w:lang w:val="fr-FR"/>
        </w:rPr>
        <w:t>’</w:t>
      </w:r>
      <w:r w:rsidRPr="00C73E55">
        <w:rPr>
          <w:lang w:val="fr-FR"/>
        </w:rPr>
        <w:t>ADR avant l</w:t>
      </w:r>
      <w:r>
        <w:rPr>
          <w:lang w:val="fr-FR"/>
        </w:rPr>
        <w:t>’</w:t>
      </w:r>
      <w:r w:rsidRPr="00C73E55">
        <w:rPr>
          <w:lang w:val="fr-FR"/>
        </w:rPr>
        <w:t>entrée en vigueur du Protocole d</w:t>
      </w:r>
      <w:r>
        <w:rPr>
          <w:lang w:val="fr-FR"/>
        </w:rPr>
        <w:t>’</w:t>
      </w:r>
      <w:r w:rsidRPr="00C73E55">
        <w:rPr>
          <w:lang w:val="fr-FR"/>
        </w:rPr>
        <w:t>amendement de 1993, compte tenu notamment des dispositions de l</w:t>
      </w:r>
      <w:r>
        <w:rPr>
          <w:lang w:val="fr-FR"/>
        </w:rPr>
        <w:t>’</w:t>
      </w:r>
      <w:r w:rsidRPr="00C73E55">
        <w:rPr>
          <w:lang w:val="fr-FR"/>
        </w:rPr>
        <w:t>article 18 de la Convention de Vienne sur le droit des traités (1968).</w:t>
      </w:r>
    </w:p>
    <w:p w14:paraId="32C8B221" w14:textId="39C5A7DD" w:rsidR="008E6598" w:rsidRPr="00C73E55" w:rsidRDefault="008E6598" w:rsidP="008D5903">
      <w:pPr>
        <w:pStyle w:val="SingleTxtG"/>
        <w:rPr>
          <w:lang w:val="fr-FR"/>
        </w:rPr>
      </w:pPr>
      <w:r w:rsidRPr="00C73E55">
        <w:rPr>
          <w:lang w:val="fr-FR"/>
        </w:rPr>
        <w:t>26.</w:t>
      </w:r>
      <w:r w:rsidRPr="00C73E55">
        <w:rPr>
          <w:lang w:val="fr-FR"/>
        </w:rPr>
        <w:tab/>
        <w:t>L</w:t>
      </w:r>
      <w:r>
        <w:rPr>
          <w:lang w:val="fr-FR"/>
        </w:rPr>
        <w:t>’</w:t>
      </w:r>
      <w:r w:rsidRPr="00C73E55">
        <w:rPr>
          <w:lang w:val="fr-FR"/>
        </w:rPr>
        <w:t>article</w:t>
      </w:r>
      <w:r>
        <w:rPr>
          <w:lang w:val="fr-FR"/>
        </w:rPr>
        <w:t> </w:t>
      </w:r>
      <w:r w:rsidRPr="00C73E55">
        <w:rPr>
          <w:lang w:val="fr-FR"/>
        </w:rPr>
        <w:t>18 dispose ce qui suit</w:t>
      </w:r>
      <w:r>
        <w:rPr>
          <w:lang w:val="fr-FR"/>
        </w:rPr>
        <w:t> </w:t>
      </w:r>
      <w:r w:rsidRPr="00C73E55">
        <w:rPr>
          <w:lang w:val="fr-FR"/>
        </w:rPr>
        <w:t>:</w:t>
      </w:r>
    </w:p>
    <w:p w14:paraId="58665EC0" w14:textId="2EF5F576" w:rsidR="008E6598" w:rsidRPr="00C73E55" w:rsidRDefault="008E6598" w:rsidP="008E6598">
      <w:pPr>
        <w:pStyle w:val="SingleTxtG"/>
        <w:ind w:left="1701"/>
        <w:jc w:val="left"/>
        <w:rPr>
          <w:lang w:val="fr-FR"/>
        </w:rPr>
      </w:pPr>
      <w:r w:rsidRPr="00C73E55">
        <w:rPr>
          <w:lang w:val="fr-FR"/>
        </w:rPr>
        <w:t>« Article 18</w:t>
      </w:r>
      <w:r w:rsidRPr="00C73E55">
        <w:rPr>
          <w:lang w:val="fr-FR"/>
        </w:rPr>
        <w:tab/>
      </w:r>
      <w:r w:rsidRPr="00C73E55">
        <w:rPr>
          <w:i/>
          <w:iCs/>
          <w:lang w:val="fr-FR"/>
        </w:rPr>
        <w:t>Obligation de ne pas priver un traité de son objet et de son but avant son entrée en vigueur</w:t>
      </w:r>
    </w:p>
    <w:p w14:paraId="6A4DBF84" w14:textId="77777777" w:rsidR="008E6598" w:rsidRPr="008D5903" w:rsidRDefault="008E6598" w:rsidP="008D5903">
      <w:pPr>
        <w:pStyle w:val="SingleTxtG"/>
        <w:ind w:left="1701" w:firstLine="567"/>
        <w:rPr>
          <w:spacing w:val="-2"/>
          <w:lang w:val="fr-FR"/>
        </w:rPr>
      </w:pPr>
      <w:r w:rsidRPr="008D5903">
        <w:rPr>
          <w:spacing w:val="-2"/>
          <w:lang w:val="fr-FR"/>
        </w:rPr>
        <w:t>Un État doit s’abstenir d’actes qui priveraient un traité de son objet et de son but :</w:t>
      </w:r>
    </w:p>
    <w:p w14:paraId="43B92E01" w14:textId="77777777" w:rsidR="008E6598" w:rsidRPr="00C73E55" w:rsidRDefault="008E6598" w:rsidP="008E6598">
      <w:pPr>
        <w:pStyle w:val="SingleTxtG"/>
        <w:ind w:left="1701" w:firstLine="567"/>
        <w:rPr>
          <w:lang w:val="fr-FR"/>
        </w:rPr>
      </w:pPr>
      <w:r w:rsidRPr="00C73E55">
        <w:rPr>
          <w:lang w:val="fr-FR"/>
        </w:rPr>
        <w:tab/>
        <w:t>a)</w:t>
      </w:r>
      <w:r w:rsidRPr="00C73E55">
        <w:rPr>
          <w:lang w:val="fr-FR"/>
        </w:rPr>
        <w:tab/>
        <w:t>Lorsqu</w:t>
      </w:r>
      <w:r>
        <w:rPr>
          <w:lang w:val="fr-FR"/>
        </w:rPr>
        <w:t>’</w:t>
      </w:r>
      <w:r w:rsidRPr="00C73E55">
        <w:rPr>
          <w:lang w:val="fr-FR"/>
        </w:rPr>
        <w:t>il a signé le traité ou a échangé les instruments constituant le traité sous réserve de ratification, d</w:t>
      </w:r>
      <w:r>
        <w:rPr>
          <w:lang w:val="fr-FR"/>
        </w:rPr>
        <w:t>’</w:t>
      </w:r>
      <w:r w:rsidRPr="00C73E55">
        <w:rPr>
          <w:lang w:val="fr-FR"/>
        </w:rPr>
        <w:t>acceptation ou d</w:t>
      </w:r>
      <w:r>
        <w:rPr>
          <w:lang w:val="fr-FR"/>
        </w:rPr>
        <w:t>’</w:t>
      </w:r>
      <w:r w:rsidRPr="00C73E55">
        <w:rPr>
          <w:lang w:val="fr-FR"/>
        </w:rPr>
        <w:t>approbation, tant qu</w:t>
      </w:r>
      <w:r>
        <w:rPr>
          <w:lang w:val="fr-FR"/>
        </w:rPr>
        <w:t>’</w:t>
      </w:r>
      <w:r w:rsidRPr="00C73E55">
        <w:rPr>
          <w:lang w:val="fr-FR"/>
        </w:rPr>
        <w:t>il n</w:t>
      </w:r>
      <w:r>
        <w:rPr>
          <w:lang w:val="fr-FR"/>
        </w:rPr>
        <w:t>’</w:t>
      </w:r>
      <w:r w:rsidRPr="00C73E55">
        <w:rPr>
          <w:lang w:val="fr-FR"/>
        </w:rPr>
        <w:t>a pas manifesté son intention de ne pas devenir partie au traité ; ou</w:t>
      </w:r>
    </w:p>
    <w:p w14:paraId="3226AA4A" w14:textId="77777777" w:rsidR="008E6598" w:rsidRPr="00C73E55" w:rsidRDefault="008E6598" w:rsidP="008E6598">
      <w:pPr>
        <w:pStyle w:val="SingleTxtG"/>
        <w:ind w:left="1701" w:firstLine="567"/>
        <w:rPr>
          <w:lang w:val="fr-FR"/>
        </w:rPr>
      </w:pPr>
      <w:r w:rsidRPr="00C73E55">
        <w:rPr>
          <w:lang w:val="fr-FR"/>
        </w:rPr>
        <w:lastRenderedPageBreak/>
        <w:tab/>
        <w:t>b)</w:t>
      </w:r>
      <w:r w:rsidRPr="00C73E55">
        <w:rPr>
          <w:lang w:val="fr-FR"/>
        </w:rPr>
        <w:tab/>
        <w:t>Lorsqu</w:t>
      </w:r>
      <w:r>
        <w:rPr>
          <w:lang w:val="fr-FR"/>
        </w:rPr>
        <w:t>’</w:t>
      </w:r>
      <w:r w:rsidRPr="00C73E55">
        <w:rPr>
          <w:lang w:val="fr-FR"/>
        </w:rPr>
        <w:t>il a exprimé son consentement à être lié par le traité, dans la période qui précède l</w:t>
      </w:r>
      <w:r>
        <w:rPr>
          <w:lang w:val="fr-FR"/>
        </w:rPr>
        <w:t>’</w:t>
      </w:r>
      <w:r w:rsidRPr="00C73E55">
        <w:rPr>
          <w:lang w:val="fr-FR"/>
        </w:rPr>
        <w:t>entrée en vigueur du traité et à condition que celle-ci ne soit pas indûment retardée. ».</w:t>
      </w:r>
    </w:p>
    <w:p w14:paraId="105FAF21" w14:textId="15A35C8C" w:rsidR="008E6598" w:rsidRPr="00C73E55" w:rsidRDefault="008E6598" w:rsidP="008E6598">
      <w:pPr>
        <w:pStyle w:val="SingleTxtG"/>
        <w:rPr>
          <w:lang w:val="fr-FR"/>
        </w:rPr>
      </w:pPr>
      <w:r w:rsidRPr="00C73E55">
        <w:rPr>
          <w:lang w:val="fr-FR"/>
        </w:rPr>
        <w:t>27.</w:t>
      </w:r>
      <w:r w:rsidRPr="00C73E55">
        <w:rPr>
          <w:lang w:val="fr-FR"/>
        </w:rPr>
        <w:tab/>
        <w:t>La Section des traités a estimé qu</w:t>
      </w:r>
      <w:r>
        <w:rPr>
          <w:lang w:val="fr-FR"/>
        </w:rPr>
        <w:t>’</w:t>
      </w:r>
      <w:r w:rsidRPr="00C73E55">
        <w:rPr>
          <w:lang w:val="fr-FR"/>
        </w:rPr>
        <w:t>en vertu du droit des traités, le fait que le Protocole modifiant l</w:t>
      </w:r>
      <w:r>
        <w:rPr>
          <w:lang w:val="fr-FR"/>
        </w:rPr>
        <w:t>’</w:t>
      </w:r>
      <w:r w:rsidRPr="00C73E55">
        <w:rPr>
          <w:lang w:val="fr-FR"/>
        </w:rPr>
        <w:t>article</w:t>
      </w:r>
      <w:r>
        <w:rPr>
          <w:lang w:val="fr-FR"/>
        </w:rPr>
        <w:t> </w:t>
      </w:r>
      <w:r w:rsidRPr="00C73E55">
        <w:rPr>
          <w:lang w:val="fr-FR"/>
        </w:rPr>
        <w:t>1</w:t>
      </w:r>
      <w:r>
        <w:rPr>
          <w:lang w:val="fr-FR"/>
        </w:rPr>
        <w:t> </w:t>
      </w:r>
      <w:r w:rsidRPr="00C73E55">
        <w:rPr>
          <w:lang w:val="fr-FR"/>
        </w:rPr>
        <w:t>a) de l</w:t>
      </w:r>
      <w:r>
        <w:rPr>
          <w:lang w:val="fr-FR"/>
        </w:rPr>
        <w:t>’</w:t>
      </w:r>
      <w:r w:rsidRPr="00C73E55">
        <w:rPr>
          <w:lang w:val="fr-FR"/>
        </w:rPr>
        <w:t>Accord ne soit pas encore entré en vigueur n</w:t>
      </w:r>
      <w:r>
        <w:rPr>
          <w:lang w:val="fr-FR"/>
        </w:rPr>
        <w:t>’</w:t>
      </w:r>
      <w:r w:rsidRPr="00C73E55">
        <w:rPr>
          <w:lang w:val="fr-FR"/>
        </w:rPr>
        <w:t>empêchait pas les parties de convenir de l</w:t>
      </w:r>
      <w:r>
        <w:rPr>
          <w:lang w:val="fr-FR"/>
        </w:rPr>
        <w:t>’</w:t>
      </w:r>
      <w:r w:rsidRPr="00C73E55">
        <w:rPr>
          <w:lang w:val="fr-FR"/>
        </w:rPr>
        <w:t>adoption d</w:t>
      </w:r>
      <w:r>
        <w:rPr>
          <w:lang w:val="fr-FR"/>
        </w:rPr>
        <w:t>’</w:t>
      </w:r>
      <w:r w:rsidRPr="00C73E55">
        <w:rPr>
          <w:lang w:val="fr-FR"/>
        </w:rPr>
        <w:t>amendements qui élargiraient le champ d</w:t>
      </w:r>
      <w:r>
        <w:rPr>
          <w:lang w:val="fr-FR"/>
        </w:rPr>
        <w:t>’</w:t>
      </w:r>
      <w:r w:rsidRPr="00C73E55">
        <w:rPr>
          <w:lang w:val="fr-FR"/>
        </w:rPr>
        <w:t>application de</w:t>
      </w:r>
      <w:r w:rsidR="008D5903">
        <w:rPr>
          <w:lang w:val="fr-FR"/>
        </w:rPr>
        <w:t> </w:t>
      </w:r>
      <w:r w:rsidRPr="00C73E55">
        <w:rPr>
          <w:lang w:val="fr-FR"/>
        </w:rPr>
        <w:t>l</w:t>
      </w:r>
      <w:r>
        <w:rPr>
          <w:lang w:val="fr-FR"/>
        </w:rPr>
        <w:t>’</w:t>
      </w:r>
      <w:r w:rsidRPr="00C73E55">
        <w:rPr>
          <w:lang w:val="fr-FR"/>
        </w:rPr>
        <w:t>ADR.</w:t>
      </w:r>
    </w:p>
    <w:p w14:paraId="41CE3B16" w14:textId="336EB1A4" w:rsidR="008E6598" w:rsidRPr="00C73E55" w:rsidRDefault="008E6598" w:rsidP="008E6598">
      <w:pPr>
        <w:pStyle w:val="SingleTxtG"/>
        <w:rPr>
          <w:lang w:val="fr-FR"/>
        </w:rPr>
      </w:pPr>
      <w:r w:rsidRPr="00C73E55">
        <w:rPr>
          <w:lang w:val="fr-FR"/>
        </w:rPr>
        <w:t>28.</w:t>
      </w:r>
      <w:r w:rsidRPr="00C73E55">
        <w:rPr>
          <w:lang w:val="fr-FR"/>
        </w:rPr>
        <w:tab/>
        <w:t>Tout nouvel amendement devrait régler les éventuelles incompatibilités avec le Protocole portant amendement de l</w:t>
      </w:r>
      <w:r>
        <w:rPr>
          <w:lang w:val="fr-FR"/>
        </w:rPr>
        <w:t>’</w:t>
      </w:r>
      <w:r w:rsidRPr="00C73E55">
        <w:rPr>
          <w:lang w:val="fr-FR"/>
        </w:rPr>
        <w:t>article 1 a).</w:t>
      </w:r>
    </w:p>
    <w:p w14:paraId="1FBD9A61" w14:textId="2C041460" w:rsidR="008E6598" w:rsidRPr="00C73E55" w:rsidRDefault="008E6598" w:rsidP="008E6598">
      <w:pPr>
        <w:pStyle w:val="SingleTxtG"/>
        <w:rPr>
          <w:lang w:val="fr-FR"/>
        </w:rPr>
      </w:pPr>
      <w:r w:rsidRPr="00C73E55">
        <w:rPr>
          <w:lang w:val="fr-FR"/>
        </w:rPr>
        <w:t>29.</w:t>
      </w:r>
      <w:r w:rsidRPr="00C73E55">
        <w:rPr>
          <w:lang w:val="fr-FR"/>
        </w:rPr>
        <w:tab/>
        <w:t>En outre, l</w:t>
      </w:r>
      <w:r>
        <w:rPr>
          <w:lang w:val="fr-FR"/>
        </w:rPr>
        <w:t>’</w:t>
      </w:r>
      <w:r w:rsidRPr="00C73E55">
        <w:rPr>
          <w:lang w:val="fr-FR"/>
        </w:rPr>
        <w:t>article</w:t>
      </w:r>
      <w:r>
        <w:rPr>
          <w:lang w:val="fr-FR"/>
        </w:rPr>
        <w:t> </w:t>
      </w:r>
      <w:r w:rsidRPr="00C73E55">
        <w:rPr>
          <w:lang w:val="fr-FR"/>
        </w:rPr>
        <w:t>18 de la Convention de Vienne sur le droit des traités pose l</w:t>
      </w:r>
      <w:r>
        <w:rPr>
          <w:lang w:val="fr-FR"/>
        </w:rPr>
        <w:t>’</w:t>
      </w:r>
      <w:r w:rsidRPr="00C73E55">
        <w:rPr>
          <w:lang w:val="fr-FR"/>
        </w:rPr>
        <w:t>obligation de ne pas priver un traité de son objet et de son but avant son entrée en vigueur. Cette règle n</w:t>
      </w:r>
      <w:r>
        <w:rPr>
          <w:lang w:val="fr-FR"/>
        </w:rPr>
        <w:t>’</w:t>
      </w:r>
      <w:r w:rsidRPr="00C73E55">
        <w:rPr>
          <w:lang w:val="fr-FR"/>
        </w:rPr>
        <w:t>empêche pas, en tant que telle, les parties d</w:t>
      </w:r>
      <w:r>
        <w:rPr>
          <w:lang w:val="fr-FR"/>
        </w:rPr>
        <w:t>’</w:t>
      </w:r>
      <w:r w:rsidRPr="00C73E55">
        <w:rPr>
          <w:lang w:val="fr-FR"/>
        </w:rPr>
        <w:t>apporter de nouvelles modifications à un traité dans des instruments consécutifs si elles le souhaitent.</w:t>
      </w:r>
    </w:p>
    <w:p w14:paraId="47D8377B" w14:textId="77777777" w:rsidR="008E6598" w:rsidRPr="00C73E55" w:rsidRDefault="008E6598" w:rsidP="008E6598">
      <w:pPr>
        <w:pStyle w:val="HChG"/>
        <w:rPr>
          <w:lang w:val="fr-FR"/>
        </w:rPr>
      </w:pPr>
      <w:r w:rsidRPr="00C73E55">
        <w:rPr>
          <w:lang w:val="fr-FR"/>
        </w:rPr>
        <w:tab/>
        <w:t>VII.</w:t>
      </w:r>
      <w:r w:rsidRPr="00C73E55">
        <w:rPr>
          <w:lang w:val="fr-FR"/>
        </w:rPr>
        <w:tab/>
        <w:t>Suite à donner</w:t>
      </w:r>
    </w:p>
    <w:p w14:paraId="4CD54505" w14:textId="37221EE8" w:rsidR="008E6598" w:rsidRPr="00C73E55" w:rsidRDefault="008E6598" w:rsidP="008E6598">
      <w:pPr>
        <w:pStyle w:val="SingleTxtG"/>
        <w:rPr>
          <w:lang w:val="fr-FR"/>
        </w:rPr>
      </w:pPr>
      <w:r w:rsidRPr="00C73E55">
        <w:rPr>
          <w:lang w:val="fr-FR"/>
        </w:rPr>
        <w:t>30.</w:t>
      </w:r>
      <w:r w:rsidRPr="00C73E55">
        <w:rPr>
          <w:lang w:val="fr-FR"/>
        </w:rPr>
        <w:tab/>
        <w:t>Les représentants souhaiteront peut-être indiquer au Groupe de travail si le transport de marchandises dangereuses par des cycles pourvus d</w:t>
      </w:r>
      <w:r>
        <w:rPr>
          <w:lang w:val="fr-FR"/>
        </w:rPr>
        <w:t>’</w:t>
      </w:r>
      <w:r w:rsidRPr="00C73E55">
        <w:rPr>
          <w:lang w:val="fr-FR"/>
        </w:rPr>
        <w:t>un moteur auxiliaire d</w:t>
      </w:r>
      <w:r>
        <w:rPr>
          <w:lang w:val="fr-FR"/>
        </w:rPr>
        <w:t>’</w:t>
      </w:r>
      <w:r w:rsidRPr="00C73E55">
        <w:rPr>
          <w:lang w:val="fr-FR"/>
        </w:rPr>
        <w:t>une cylindrée inférieure à 50</w:t>
      </w:r>
      <w:r>
        <w:rPr>
          <w:lang w:val="fr-FR"/>
        </w:rPr>
        <w:t> </w:t>
      </w:r>
      <w:r w:rsidRPr="00C73E55">
        <w:rPr>
          <w:lang w:val="fr-FR"/>
        </w:rPr>
        <w:t>cm³ et par d</w:t>
      </w:r>
      <w:r>
        <w:rPr>
          <w:lang w:val="fr-FR"/>
        </w:rPr>
        <w:t>’</w:t>
      </w:r>
      <w:r w:rsidRPr="00C73E55">
        <w:rPr>
          <w:lang w:val="fr-FR"/>
        </w:rPr>
        <w:t>autres engins de transport non couverts par l</w:t>
      </w:r>
      <w:r>
        <w:rPr>
          <w:lang w:val="fr-FR"/>
        </w:rPr>
        <w:t>’</w:t>
      </w:r>
      <w:r w:rsidRPr="00C73E55">
        <w:rPr>
          <w:lang w:val="fr-FR"/>
        </w:rPr>
        <w:t>ADR est réglementé dans leur pays et de quelle manière.</w:t>
      </w:r>
    </w:p>
    <w:p w14:paraId="2CC5BAC4" w14:textId="77777777" w:rsidR="008E6598" w:rsidRPr="00C73E55" w:rsidRDefault="008E6598" w:rsidP="008E6598">
      <w:pPr>
        <w:pStyle w:val="SingleTxtG"/>
        <w:rPr>
          <w:lang w:val="fr-FR"/>
        </w:rPr>
      </w:pPr>
      <w:r w:rsidRPr="00C73E55">
        <w:rPr>
          <w:lang w:val="fr-FR"/>
        </w:rPr>
        <w:t>31.</w:t>
      </w:r>
      <w:r w:rsidRPr="00C73E55">
        <w:rPr>
          <w:lang w:val="fr-FR"/>
        </w:rPr>
        <w:tab/>
        <w:t>Il peut également être utile de savoir de quelle manière les Parties contractantes à l</w:t>
      </w:r>
      <w:r>
        <w:rPr>
          <w:lang w:val="fr-FR"/>
        </w:rPr>
        <w:t>’</w:t>
      </w:r>
      <w:r w:rsidRPr="00C73E55">
        <w:rPr>
          <w:lang w:val="fr-FR"/>
        </w:rPr>
        <w:t>ADR définissent et classent les véhicules de micromobilité, comme les véhicules électriques légers ou les cycles électriques, et quelles catégories sont utilisées ou pourraient l</w:t>
      </w:r>
      <w:r>
        <w:rPr>
          <w:lang w:val="fr-FR"/>
        </w:rPr>
        <w:t>’</w:t>
      </w:r>
      <w:r w:rsidRPr="00C73E55">
        <w:rPr>
          <w:lang w:val="fr-FR"/>
        </w:rPr>
        <w:t>être à l</w:t>
      </w:r>
      <w:r>
        <w:rPr>
          <w:lang w:val="fr-FR"/>
        </w:rPr>
        <w:t>’</w:t>
      </w:r>
      <w:r w:rsidRPr="00C73E55">
        <w:rPr>
          <w:lang w:val="fr-FR"/>
        </w:rPr>
        <w:t>avenir pour le transport de marchandises dangereuses.</w:t>
      </w:r>
    </w:p>
    <w:p w14:paraId="0B50F49E" w14:textId="389AC4E6" w:rsidR="008E6598" w:rsidRDefault="008E6598" w:rsidP="008E6598">
      <w:pPr>
        <w:pStyle w:val="SingleTxtG"/>
        <w:rPr>
          <w:lang w:val="fr-FR"/>
        </w:rPr>
      </w:pPr>
      <w:r w:rsidRPr="00C73E55">
        <w:rPr>
          <w:lang w:val="fr-FR"/>
        </w:rPr>
        <w:t>32.</w:t>
      </w:r>
      <w:r w:rsidRPr="00C73E55">
        <w:rPr>
          <w:lang w:val="fr-FR"/>
        </w:rPr>
        <w:tab/>
        <w:t>Afin de faciliter la poursuite des débats sur la question, les délégations qui le souhaitent sont invitées à faire parvenir leurs commentaires au secrétariat avant la session, ou à les publier en tant que document informel.</w:t>
      </w:r>
    </w:p>
    <w:p w14:paraId="5F952C55" w14:textId="45D13AC9" w:rsidR="008E6598" w:rsidRPr="008E6598" w:rsidRDefault="008E6598" w:rsidP="008E6598">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8E6598" w:rsidRPr="008E6598" w:rsidSect="008E6598">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8955" w14:textId="77777777" w:rsidR="000364A9" w:rsidRDefault="000364A9" w:rsidP="00F95C08">
      <w:pPr>
        <w:spacing w:line="240" w:lineRule="auto"/>
      </w:pPr>
    </w:p>
  </w:endnote>
  <w:endnote w:type="continuationSeparator" w:id="0">
    <w:p w14:paraId="05EF29E5" w14:textId="77777777" w:rsidR="000364A9" w:rsidRPr="00AC3823" w:rsidRDefault="000364A9" w:rsidP="00AC3823">
      <w:pPr>
        <w:pStyle w:val="Pieddepage"/>
      </w:pPr>
    </w:p>
  </w:endnote>
  <w:endnote w:type="continuationNotice" w:id="1">
    <w:p w14:paraId="4469931E" w14:textId="77777777" w:rsidR="000364A9" w:rsidRDefault="00036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67E" w14:textId="6F2DF966" w:rsidR="008E6598" w:rsidRPr="008E6598" w:rsidRDefault="008E6598" w:rsidP="008E6598">
    <w:pPr>
      <w:pStyle w:val="Pieddepage"/>
      <w:tabs>
        <w:tab w:val="right" w:pos="9638"/>
      </w:tabs>
    </w:pPr>
    <w:r w:rsidRPr="008E6598">
      <w:rPr>
        <w:b/>
        <w:sz w:val="18"/>
      </w:rPr>
      <w:fldChar w:fldCharType="begin"/>
    </w:r>
    <w:r w:rsidRPr="008E6598">
      <w:rPr>
        <w:b/>
        <w:sz w:val="18"/>
      </w:rPr>
      <w:instrText xml:space="preserve"> PAGE  \* MERGEFORMAT </w:instrText>
    </w:r>
    <w:r w:rsidRPr="008E6598">
      <w:rPr>
        <w:b/>
        <w:sz w:val="18"/>
      </w:rPr>
      <w:fldChar w:fldCharType="separate"/>
    </w:r>
    <w:r w:rsidRPr="008E6598">
      <w:rPr>
        <w:b/>
        <w:noProof/>
        <w:sz w:val="18"/>
      </w:rPr>
      <w:t>2</w:t>
    </w:r>
    <w:r w:rsidRPr="008E6598">
      <w:rPr>
        <w:b/>
        <w:sz w:val="18"/>
      </w:rPr>
      <w:fldChar w:fldCharType="end"/>
    </w:r>
    <w:r>
      <w:rPr>
        <w:b/>
        <w:sz w:val="18"/>
      </w:rPr>
      <w:tab/>
    </w:r>
    <w:r>
      <w:t>GE.23-15621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ACC" w14:textId="4F618ADB" w:rsidR="008E6598" w:rsidRPr="008E6598" w:rsidRDefault="008E6598" w:rsidP="008E6598">
    <w:pPr>
      <w:pStyle w:val="Pieddepage"/>
      <w:tabs>
        <w:tab w:val="right" w:pos="9638"/>
      </w:tabs>
      <w:rPr>
        <w:b/>
        <w:sz w:val="18"/>
      </w:rPr>
    </w:pPr>
    <w:r>
      <w:t>GE.23-15621</w:t>
    </w:r>
    <w:r>
      <w:tab/>
    </w:r>
    <w:r w:rsidRPr="008E6598">
      <w:rPr>
        <w:b/>
        <w:sz w:val="18"/>
      </w:rPr>
      <w:fldChar w:fldCharType="begin"/>
    </w:r>
    <w:r w:rsidRPr="008E6598">
      <w:rPr>
        <w:b/>
        <w:sz w:val="18"/>
      </w:rPr>
      <w:instrText xml:space="preserve"> PAGE  \* MERGEFORMAT </w:instrText>
    </w:r>
    <w:r w:rsidRPr="008E6598">
      <w:rPr>
        <w:b/>
        <w:sz w:val="18"/>
      </w:rPr>
      <w:fldChar w:fldCharType="separate"/>
    </w:r>
    <w:r w:rsidRPr="008E6598">
      <w:rPr>
        <w:b/>
        <w:noProof/>
        <w:sz w:val="18"/>
      </w:rPr>
      <w:t>3</w:t>
    </w:r>
    <w:r w:rsidRPr="008E659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C788" w14:textId="06FFC660" w:rsidR="007F20FA" w:rsidRPr="008E6598" w:rsidRDefault="008E6598" w:rsidP="008E659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791681F" wp14:editId="4A1890A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23-15621  (F)</w:t>
    </w:r>
    <w:r>
      <w:rPr>
        <w:noProof/>
        <w:sz w:val="20"/>
      </w:rPr>
      <w:drawing>
        <wp:anchor distT="0" distB="0" distL="114300" distR="114300" simplePos="0" relativeHeight="251660288" behindDoc="0" locked="0" layoutInCell="1" allowOverlap="1" wp14:anchorId="405B99E6" wp14:editId="504FA894">
          <wp:simplePos x="0" y="0"/>
          <wp:positionH relativeFrom="margin">
            <wp:posOffset>5489575</wp:posOffset>
          </wp:positionH>
          <wp:positionV relativeFrom="margin">
            <wp:posOffset>8891905</wp:posOffset>
          </wp:positionV>
          <wp:extent cx="638175" cy="638175"/>
          <wp:effectExtent l="0" t="0" r="9525" b="9525"/>
          <wp:wrapNone/>
          <wp:docPr id="15952152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130923    140923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AC99" w14:textId="77777777" w:rsidR="000364A9" w:rsidRPr="00AC3823" w:rsidRDefault="000364A9" w:rsidP="00AC3823">
      <w:pPr>
        <w:pStyle w:val="Pieddepage"/>
        <w:tabs>
          <w:tab w:val="right" w:pos="2155"/>
        </w:tabs>
        <w:spacing w:after="80" w:line="240" w:lineRule="atLeast"/>
        <w:ind w:left="680"/>
        <w:rPr>
          <w:u w:val="single"/>
        </w:rPr>
      </w:pPr>
      <w:r>
        <w:rPr>
          <w:u w:val="single"/>
        </w:rPr>
        <w:tab/>
      </w:r>
    </w:p>
  </w:footnote>
  <w:footnote w:type="continuationSeparator" w:id="0">
    <w:p w14:paraId="51C88EE9" w14:textId="77777777" w:rsidR="000364A9" w:rsidRPr="00AC3823" w:rsidRDefault="000364A9" w:rsidP="00AC3823">
      <w:pPr>
        <w:pStyle w:val="Pieddepage"/>
        <w:tabs>
          <w:tab w:val="right" w:pos="2155"/>
        </w:tabs>
        <w:spacing w:after="80" w:line="240" w:lineRule="atLeast"/>
        <w:ind w:left="680"/>
        <w:rPr>
          <w:u w:val="single"/>
        </w:rPr>
      </w:pPr>
      <w:r>
        <w:rPr>
          <w:u w:val="single"/>
        </w:rPr>
        <w:tab/>
      </w:r>
    </w:p>
  </w:footnote>
  <w:footnote w:type="continuationNotice" w:id="1">
    <w:p w14:paraId="4B803CFC" w14:textId="77777777" w:rsidR="000364A9" w:rsidRPr="00AC3823" w:rsidRDefault="000364A9">
      <w:pPr>
        <w:spacing w:line="240" w:lineRule="auto"/>
        <w:rPr>
          <w:sz w:val="2"/>
          <w:szCs w:val="2"/>
        </w:rPr>
      </w:pPr>
    </w:p>
  </w:footnote>
  <w:footnote w:id="2">
    <w:p w14:paraId="34297752" w14:textId="48862990" w:rsidR="00B75FA7" w:rsidRPr="00B75FA7" w:rsidRDefault="00B75FA7">
      <w:pPr>
        <w:pStyle w:val="Notedebasdepage"/>
      </w:pPr>
      <w:r>
        <w:rPr>
          <w:rStyle w:val="Appelnotedebasdep"/>
        </w:rPr>
        <w:tab/>
      </w:r>
      <w:r w:rsidRPr="00B75FA7">
        <w:rPr>
          <w:rStyle w:val="Appelnotedebasdep"/>
          <w:sz w:val="20"/>
          <w:vertAlign w:val="baseline"/>
        </w:rPr>
        <w:t>*</w:t>
      </w:r>
      <w:r>
        <w:rPr>
          <w:rStyle w:val="Appelnotedebasdep"/>
          <w:sz w:val="20"/>
          <w:vertAlign w:val="baseline"/>
        </w:rPr>
        <w:tab/>
      </w:r>
      <w:r>
        <w:rPr>
          <w:lang w:val="fr-FR"/>
        </w:rPr>
        <w:t>A/77/6 (Sect. 20), tableau 20.6.</w:t>
      </w:r>
    </w:p>
  </w:footnote>
  <w:footnote w:id="3">
    <w:p w14:paraId="24808146" w14:textId="7535CF40" w:rsidR="008E6598" w:rsidRPr="003F64F4" w:rsidRDefault="008E6598" w:rsidP="008E6598">
      <w:pPr>
        <w:pStyle w:val="Notedebasdepage"/>
      </w:pPr>
      <w:r>
        <w:rPr>
          <w:lang w:val="fr-FR"/>
        </w:rPr>
        <w:tab/>
      </w:r>
      <w:r w:rsidRPr="00C93BC9">
        <w:rPr>
          <w:rStyle w:val="Appelnotedebasdep"/>
        </w:rPr>
        <w:footnoteRef/>
      </w:r>
      <w:r>
        <w:rPr>
          <w:lang w:val="fr-FR"/>
        </w:rPr>
        <w:tab/>
      </w:r>
      <w:r w:rsidRPr="008E6598">
        <w:rPr>
          <w:i/>
          <w:iCs/>
          <w:lang w:val="fr-FR"/>
        </w:rPr>
        <w:t>Directive</w:t>
      </w:r>
      <w:r w:rsidRPr="008E6598">
        <w:rPr>
          <w:i/>
          <w:iCs/>
          <w:lang w:val="fr-FR"/>
        </w:rPr>
        <w:t> </w:t>
      </w:r>
      <w:r w:rsidRPr="008E6598">
        <w:rPr>
          <w:i/>
          <w:iCs/>
          <w:lang w:val="fr-FR"/>
        </w:rPr>
        <w:t>92/53/CEE du Conseil des Communautés européennes du 18</w:t>
      </w:r>
      <w:r w:rsidR="008D5903">
        <w:rPr>
          <w:i/>
          <w:iCs/>
          <w:lang w:val="fr-FR"/>
        </w:rPr>
        <w:t> </w:t>
      </w:r>
      <w:r w:rsidRPr="008E6598">
        <w:rPr>
          <w:i/>
          <w:iCs/>
          <w:lang w:val="fr-FR"/>
        </w:rPr>
        <w:t>juin 1992 modifiant la directive</w:t>
      </w:r>
      <w:r w:rsidRPr="008E6598">
        <w:rPr>
          <w:i/>
          <w:iCs/>
          <w:lang w:val="fr-FR"/>
        </w:rPr>
        <w:t> </w:t>
      </w:r>
      <w:r w:rsidRPr="008E6598">
        <w:rPr>
          <w:i/>
          <w:iCs/>
          <w:lang w:val="fr-FR"/>
        </w:rPr>
        <w:t xml:space="preserve">70/156/CEE concernant le rapprochement des législations des États membres relatives à la réception des véhicules à moteur et de leurs remorques, publiée au Journal officiel des Communautés européennes, </w:t>
      </w:r>
      <w:r w:rsidRPr="008E6598">
        <w:rPr>
          <w:rFonts w:eastAsia="MS Mincho"/>
          <w:i/>
          <w:iCs/>
          <w:lang w:val="fr-FR"/>
        </w:rPr>
        <w:t>n</w:t>
      </w:r>
      <w:r w:rsidRPr="008E6598">
        <w:rPr>
          <w:rFonts w:eastAsia="MS Mincho"/>
          <w:i/>
          <w:iCs/>
          <w:vertAlign w:val="superscript"/>
          <w:lang w:val="fr-FR"/>
        </w:rPr>
        <w:t>o</w:t>
      </w:r>
      <w:r w:rsidRPr="008E6598">
        <w:rPr>
          <w:i/>
          <w:iCs/>
          <w:lang w:val="fr-FR"/>
        </w:rPr>
        <w:t> L225, du 10</w:t>
      </w:r>
      <w:r w:rsidRPr="008E6598">
        <w:rPr>
          <w:i/>
          <w:iCs/>
          <w:lang w:val="fr-FR"/>
        </w:rPr>
        <w:t> </w:t>
      </w:r>
      <w:r w:rsidRPr="008E6598">
        <w:rPr>
          <w:i/>
          <w:iCs/>
          <w:lang w:val="fr-FR"/>
        </w:rPr>
        <w:t>août 1992</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EA95" w14:textId="29C7B53F" w:rsidR="008E6598" w:rsidRPr="008E6598" w:rsidRDefault="008E6598">
    <w:pPr>
      <w:pStyle w:val="En-tte"/>
    </w:pPr>
    <w:fldSimple w:instr=" TITLE  \* MERGEFORMAT ">
      <w:r>
        <w:t>ECE/TRANS/WP.15/2023/5/Rev.1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820F" w14:textId="7A74B38D" w:rsidR="008E6598" w:rsidRPr="008E6598" w:rsidRDefault="008E6598" w:rsidP="008E6598">
    <w:pPr>
      <w:pStyle w:val="En-tte"/>
      <w:jc w:val="right"/>
    </w:pPr>
    <w:fldSimple w:instr=" TITLE  \* MERGEFORMAT ">
      <w:r>
        <w:t>ECE/TRANS/WP.15/2023/5/Rev.1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69549003">
    <w:abstractNumId w:val="12"/>
  </w:num>
  <w:num w:numId="2" w16cid:durableId="1727222673">
    <w:abstractNumId w:val="11"/>
  </w:num>
  <w:num w:numId="3" w16cid:durableId="53359197">
    <w:abstractNumId w:val="10"/>
  </w:num>
  <w:num w:numId="4" w16cid:durableId="1133210387">
    <w:abstractNumId w:val="8"/>
  </w:num>
  <w:num w:numId="5" w16cid:durableId="1488354992">
    <w:abstractNumId w:val="3"/>
  </w:num>
  <w:num w:numId="6" w16cid:durableId="693774145">
    <w:abstractNumId w:val="2"/>
  </w:num>
  <w:num w:numId="7" w16cid:durableId="1588224589">
    <w:abstractNumId w:val="1"/>
  </w:num>
  <w:num w:numId="8" w16cid:durableId="436800352">
    <w:abstractNumId w:val="0"/>
  </w:num>
  <w:num w:numId="9" w16cid:durableId="1349789097">
    <w:abstractNumId w:val="9"/>
  </w:num>
  <w:num w:numId="10" w16cid:durableId="450904518">
    <w:abstractNumId w:val="7"/>
  </w:num>
  <w:num w:numId="11" w16cid:durableId="50155140">
    <w:abstractNumId w:val="6"/>
  </w:num>
  <w:num w:numId="12" w16cid:durableId="38013103">
    <w:abstractNumId w:val="5"/>
  </w:num>
  <w:num w:numId="13" w16cid:durableId="586696612">
    <w:abstractNumId w:val="4"/>
  </w:num>
  <w:num w:numId="14" w16cid:durableId="1916359689">
    <w:abstractNumId w:val="12"/>
  </w:num>
  <w:num w:numId="15" w16cid:durableId="1691763234">
    <w:abstractNumId w:val="11"/>
  </w:num>
  <w:num w:numId="16" w16cid:durableId="1176845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A9"/>
    <w:rsid w:val="00017F94"/>
    <w:rsid w:val="00023842"/>
    <w:rsid w:val="000334F9"/>
    <w:rsid w:val="000364A9"/>
    <w:rsid w:val="00045FEB"/>
    <w:rsid w:val="0007796D"/>
    <w:rsid w:val="00091CDA"/>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903"/>
    <w:rsid w:val="008D5EF9"/>
    <w:rsid w:val="008E6598"/>
    <w:rsid w:val="00917E77"/>
    <w:rsid w:val="009446C0"/>
    <w:rsid w:val="009705C8"/>
    <w:rsid w:val="009C1CF4"/>
    <w:rsid w:val="009F6B74"/>
    <w:rsid w:val="00A3029F"/>
    <w:rsid w:val="00A30353"/>
    <w:rsid w:val="00AC3823"/>
    <w:rsid w:val="00AE323C"/>
    <w:rsid w:val="00AF0CB5"/>
    <w:rsid w:val="00B00181"/>
    <w:rsid w:val="00B00B0D"/>
    <w:rsid w:val="00B45F2E"/>
    <w:rsid w:val="00B75FA7"/>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E057F"/>
  <w15:docId w15:val="{140475BC-FE95-4885-A9BC-2575F325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8E6598"/>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fr/TRANS/WP.15/CD/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B0B51-B4E8-4380-A321-8A473670BE39}"/>
</file>

<file path=customXml/itemProps2.xml><?xml version="1.0" encoding="utf-8"?>
<ds:datastoreItem xmlns:ds="http://schemas.openxmlformats.org/officeDocument/2006/customXml" ds:itemID="{0B01B5A0-3A60-473E-A120-DE0D4332E379}"/>
</file>

<file path=docProps/app.xml><?xml version="1.0" encoding="utf-8"?>
<Properties xmlns="http://schemas.openxmlformats.org/officeDocument/2006/extended-properties" xmlns:vt="http://schemas.openxmlformats.org/officeDocument/2006/docPropsVTypes">
  <Template>ECE_TRANS.dotm</Template>
  <TotalTime>9</TotalTime>
  <Pages>6</Pages>
  <Words>2715</Words>
  <Characters>14607</Characters>
  <Application>Microsoft Office Word</Application>
  <DocSecurity>0</DocSecurity>
  <Lines>251</Lines>
  <Paragraphs>104</Paragraphs>
  <ScaleCrop>false</ScaleCrop>
  <HeadingPairs>
    <vt:vector size="2" baseType="variant">
      <vt:variant>
        <vt:lpstr>Titre</vt:lpstr>
      </vt:variant>
      <vt:variant>
        <vt:i4>1</vt:i4>
      </vt:variant>
    </vt:vector>
  </HeadingPairs>
  <TitlesOfParts>
    <vt:vector size="1" baseType="lpstr">
      <vt:lpstr>ECE/TRANS/WP.15/2023/5/Rev.1</vt:lpstr>
    </vt:vector>
  </TitlesOfParts>
  <Company>DCM</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ECE/TRANS/WP.15/2023/5/Rev.1</dc:title>
  <dc:subject/>
  <dc:creator>Marie DESCHAMPS</dc:creator>
  <cp:keywords/>
  <cp:lastModifiedBy>Marie Deschamps</cp:lastModifiedBy>
  <cp:revision>2</cp:revision>
  <cp:lastPrinted>2014-05-14T10:59:00Z</cp:lastPrinted>
  <dcterms:created xsi:type="dcterms:W3CDTF">2023-09-14T08:24:00Z</dcterms:created>
  <dcterms:modified xsi:type="dcterms:W3CDTF">2023-09-14T08:24:00Z</dcterms:modified>
</cp:coreProperties>
</file>