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7F7EEAA" w14:textId="77777777" w:rsidTr="00B20551">
        <w:trPr>
          <w:cantSplit/>
          <w:trHeight w:hRule="exact" w:val="851"/>
        </w:trPr>
        <w:tc>
          <w:tcPr>
            <w:tcW w:w="1276" w:type="dxa"/>
            <w:tcBorders>
              <w:bottom w:val="single" w:sz="4" w:space="0" w:color="auto"/>
            </w:tcBorders>
            <w:vAlign w:val="bottom"/>
          </w:tcPr>
          <w:p w14:paraId="37DFBF42" w14:textId="77777777" w:rsidR="009E6CB7" w:rsidRDefault="009E6CB7" w:rsidP="00B20551">
            <w:pPr>
              <w:spacing w:after="80"/>
            </w:pPr>
          </w:p>
        </w:tc>
        <w:tc>
          <w:tcPr>
            <w:tcW w:w="2268" w:type="dxa"/>
            <w:tcBorders>
              <w:bottom w:val="single" w:sz="4" w:space="0" w:color="auto"/>
            </w:tcBorders>
            <w:vAlign w:val="bottom"/>
          </w:tcPr>
          <w:p w14:paraId="1DB9135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028CAC6" w14:textId="65C6ABD0" w:rsidR="009E6CB7" w:rsidRPr="00D47EEA" w:rsidRDefault="001B6207" w:rsidP="001B6207">
            <w:pPr>
              <w:jc w:val="right"/>
            </w:pPr>
            <w:r w:rsidRPr="001B6207">
              <w:rPr>
                <w:sz w:val="40"/>
              </w:rPr>
              <w:t>ECE</w:t>
            </w:r>
            <w:r>
              <w:t>/TRANS/WP.15/2023/15</w:t>
            </w:r>
          </w:p>
        </w:tc>
      </w:tr>
      <w:tr w:rsidR="009E6CB7" w14:paraId="24E62F7B" w14:textId="77777777" w:rsidTr="00B20551">
        <w:trPr>
          <w:cantSplit/>
          <w:trHeight w:hRule="exact" w:val="2835"/>
        </w:trPr>
        <w:tc>
          <w:tcPr>
            <w:tcW w:w="1276" w:type="dxa"/>
            <w:tcBorders>
              <w:top w:val="single" w:sz="4" w:space="0" w:color="auto"/>
              <w:bottom w:val="single" w:sz="12" w:space="0" w:color="auto"/>
            </w:tcBorders>
          </w:tcPr>
          <w:p w14:paraId="1D8BB658" w14:textId="77777777" w:rsidR="009E6CB7" w:rsidRDefault="00686A48" w:rsidP="00B20551">
            <w:pPr>
              <w:spacing w:before="120"/>
            </w:pPr>
            <w:r>
              <w:rPr>
                <w:noProof/>
                <w:lang w:val="fr-CH" w:eastAsia="fr-CH"/>
              </w:rPr>
              <w:drawing>
                <wp:inline distT="0" distB="0" distL="0" distR="0" wp14:anchorId="1029A891" wp14:editId="29348A6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3DF057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93FB88" w14:textId="77777777" w:rsidR="009E6CB7" w:rsidRDefault="001B6207" w:rsidP="001B6207">
            <w:pPr>
              <w:spacing w:before="240" w:line="240" w:lineRule="exact"/>
            </w:pPr>
            <w:r>
              <w:t>Distr.: General</w:t>
            </w:r>
          </w:p>
          <w:p w14:paraId="5ED684B4" w14:textId="77777777" w:rsidR="001B6207" w:rsidRDefault="001B6207" w:rsidP="001B6207">
            <w:pPr>
              <w:spacing w:line="240" w:lineRule="exact"/>
            </w:pPr>
            <w:r>
              <w:t>17 August 2023</w:t>
            </w:r>
          </w:p>
          <w:p w14:paraId="363C3786" w14:textId="77777777" w:rsidR="001B6207" w:rsidRDefault="001B6207" w:rsidP="001B6207">
            <w:pPr>
              <w:spacing w:line="240" w:lineRule="exact"/>
            </w:pPr>
          </w:p>
          <w:p w14:paraId="6DE27D1A" w14:textId="3F2AF309" w:rsidR="001B6207" w:rsidRDefault="001B6207" w:rsidP="001B6207">
            <w:pPr>
              <w:spacing w:line="240" w:lineRule="exact"/>
            </w:pPr>
            <w:r>
              <w:t>Original: English</w:t>
            </w:r>
          </w:p>
        </w:tc>
      </w:tr>
    </w:tbl>
    <w:p w14:paraId="30F09E31" w14:textId="77777777" w:rsidR="00D40EBC" w:rsidRDefault="00D40EBC" w:rsidP="00C411EB">
      <w:pPr>
        <w:spacing w:before="120"/>
        <w:rPr>
          <w:b/>
          <w:sz w:val="28"/>
          <w:szCs w:val="28"/>
        </w:rPr>
      </w:pPr>
      <w:r>
        <w:rPr>
          <w:b/>
          <w:sz w:val="28"/>
          <w:szCs w:val="28"/>
        </w:rPr>
        <w:t>Economic Commission for Europe</w:t>
      </w:r>
    </w:p>
    <w:p w14:paraId="19F19073" w14:textId="77777777" w:rsidR="00D40EBC" w:rsidRDefault="00D40EBC" w:rsidP="00C411EB">
      <w:pPr>
        <w:spacing w:before="120"/>
        <w:rPr>
          <w:sz w:val="28"/>
          <w:szCs w:val="28"/>
        </w:rPr>
      </w:pPr>
      <w:r>
        <w:rPr>
          <w:sz w:val="28"/>
          <w:szCs w:val="28"/>
        </w:rPr>
        <w:t>Inland Transport Committee</w:t>
      </w:r>
    </w:p>
    <w:p w14:paraId="633F4CAA" w14:textId="77777777" w:rsidR="00D40EBC" w:rsidRPr="001330DE" w:rsidRDefault="00D40EBC" w:rsidP="00C411EB">
      <w:pPr>
        <w:spacing w:before="120"/>
        <w:rPr>
          <w:b/>
          <w:sz w:val="24"/>
          <w:szCs w:val="24"/>
        </w:rPr>
      </w:pPr>
      <w:r>
        <w:rPr>
          <w:b/>
          <w:sz w:val="24"/>
          <w:szCs w:val="24"/>
        </w:rPr>
        <w:t xml:space="preserve">Working Party on the Transport </w:t>
      </w:r>
      <w:r w:rsidRPr="001330DE">
        <w:rPr>
          <w:b/>
          <w:sz w:val="24"/>
          <w:szCs w:val="24"/>
        </w:rPr>
        <w:t>of Dangerous Goods</w:t>
      </w:r>
    </w:p>
    <w:p w14:paraId="0E6CFB24" w14:textId="5305F26F" w:rsidR="00D40EBC" w:rsidRPr="001330DE" w:rsidRDefault="00D40EBC" w:rsidP="00C411EB">
      <w:pPr>
        <w:spacing w:before="120"/>
        <w:rPr>
          <w:rFonts w:eastAsia="SimSun"/>
          <w:b/>
        </w:rPr>
      </w:pPr>
      <w:r>
        <w:rPr>
          <w:rFonts w:eastAsia="SimSun"/>
          <w:b/>
        </w:rPr>
        <w:t xml:space="preserve">114th </w:t>
      </w:r>
      <w:r w:rsidRPr="001330DE">
        <w:rPr>
          <w:rFonts w:eastAsia="SimSun"/>
          <w:b/>
        </w:rPr>
        <w:t xml:space="preserve">session </w:t>
      </w:r>
    </w:p>
    <w:p w14:paraId="05EB3E57" w14:textId="6488F257" w:rsidR="00D40EBC" w:rsidRPr="00BA64A8" w:rsidRDefault="00D40EBC" w:rsidP="00C411EB">
      <w:pPr>
        <w:rPr>
          <w:rFonts w:eastAsia="SimSun"/>
        </w:rPr>
      </w:pPr>
      <w:r w:rsidRPr="00BA64A8">
        <w:rPr>
          <w:rFonts w:eastAsia="SimSun"/>
        </w:rPr>
        <w:t>Geneva,</w:t>
      </w:r>
      <w:r>
        <w:rPr>
          <w:rFonts w:eastAsia="SimSun"/>
        </w:rPr>
        <w:t xml:space="preserve"> 6-10 November 2023</w:t>
      </w:r>
    </w:p>
    <w:p w14:paraId="2CC3542B" w14:textId="02FA140D" w:rsidR="00D40EBC" w:rsidRPr="00C521A6" w:rsidRDefault="00D40EBC" w:rsidP="00C411EB">
      <w:pPr>
        <w:autoSpaceDE w:val="0"/>
        <w:autoSpaceDN w:val="0"/>
        <w:adjustRightInd w:val="0"/>
      </w:pPr>
      <w:r>
        <w:t xml:space="preserve">Item </w:t>
      </w:r>
      <w:r w:rsidR="00E86DBE">
        <w:t>8</w:t>
      </w:r>
      <w:r>
        <w:t xml:space="preserve"> of the provisional agenda</w:t>
      </w:r>
    </w:p>
    <w:p w14:paraId="2E865BF1" w14:textId="23897A04" w:rsidR="00345987" w:rsidRPr="0019308F" w:rsidRDefault="0080400C" w:rsidP="00345987">
      <w:pPr>
        <w:rPr>
          <w:b/>
        </w:rPr>
      </w:pPr>
      <w:r w:rsidRPr="0080400C">
        <w:rPr>
          <w:b/>
        </w:rPr>
        <w:t>Programme of work</w:t>
      </w:r>
    </w:p>
    <w:p w14:paraId="7D20698F" w14:textId="6996428D" w:rsidR="001C6663" w:rsidRDefault="00595786" w:rsidP="00345987">
      <w:pPr>
        <w:pStyle w:val="HChG"/>
      </w:pPr>
      <w:r>
        <w:tab/>
      </w:r>
      <w:r>
        <w:tab/>
      </w:r>
      <w:r w:rsidRPr="0019308F">
        <w:t>Efficiency and methods of work of the Working Party</w:t>
      </w:r>
    </w:p>
    <w:p w14:paraId="57BEF169" w14:textId="26EEA440" w:rsidR="00595786" w:rsidRDefault="004B66D2" w:rsidP="00595786">
      <w:pPr>
        <w:pStyle w:val="H1G"/>
      </w:pPr>
      <w:r>
        <w:tab/>
      </w:r>
      <w:r>
        <w:tab/>
      </w:r>
      <w:r w:rsidRPr="0019308F">
        <w:t xml:space="preserve">Note by the </w:t>
      </w:r>
      <w:r>
        <w:t>S</w:t>
      </w:r>
      <w:r w:rsidRPr="0019308F">
        <w:t>ecretariat</w:t>
      </w:r>
      <w:r w:rsidR="00C438E7" w:rsidRPr="00154B47">
        <w:rPr>
          <w:rStyle w:val="FootnoteReference"/>
          <w:sz w:val="20"/>
          <w:vertAlign w:val="baseline"/>
          <w:lang w:eastAsia="ru-RU"/>
        </w:rPr>
        <w:footnoteReference w:customMarkFollows="1" w:id="2"/>
        <w:t>*</w:t>
      </w:r>
    </w:p>
    <w:p w14:paraId="431E2AD5" w14:textId="0F267CB5" w:rsidR="006B4EC5" w:rsidRPr="0019308F" w:rsidRDefault="006B4EC5" w:rsidP="006B4EC5">
      <w:pPr>
        <w:pStyle w:val="HChG"/>
        <w:rPr>
          <w:rFonts w:eastAsia="Calibri"/>
        </w:rPr>
      </w:pPr>
      <w:r>
        <w:rPr>
          <w:rFonts w:eastAsia="Calibri"/>
        </w:rPr>
        <w:tab/>
      </w:r>
      <w:r>
        <w:rPr>
          <w:rFonts w:eastAsia="Calibri"/>
        </w:rPr>
        <w:tab/>
      </w:r>
      <w:r w:rsidRPr="0019308F">
        <w:rPr>
          <w:rFonts w:eastAsia="Calibri"/>
        </w:rPr>
        <w:t>Introduction</w:t>
      </w:r>
    </w:p>
    <w:p w14:paraId="775E0BA3" w14:textId="23021757" w:rsidR="006B4EC5" w:rsidRPr="0019308F" w:rsidRDefault="006B4EC5" w:rsidP="006B4EC5">
      <w:pPr>
        <w:pStyle w:val="SingleTxtG"/>
      </w:pPr>
      <w:r w:rsidRPr="003751AA">
        <w:rPr>
          <w:rFonts w:eastAsia="Calibri"/>
        </w:rPr>
        <w:t>1.</w:t>
      </w:r>
      <w:r w:rsidRPr="003751AA">
        <w:rPr>
          <w:rFonts w:eastAsia="Calibri"/>
        </w:rPr>
        <w:tab/>
        <w:t xml:space="preserve">During its eighty-fifth session, the Inland Transport Committee, </w:t>
      </w:r>
      <w:r w:rsidRPr="003751AA">
        <w:t>decided to proceed</w:t>
      </w:r>
      <w:r w:rsidRPr="0019308F">
        <w:t xml:space="preserve"> with the review of its Working Parties’ mandates in the course of 2023. See </w:t>
      </w:r>
      <w:r w:rsidR="006C0801">
        <w:t>paragraph</w:t>
      </w:r>
      <w:r w:rsidRPr="0019308F">
        <w:t xml:space="preserve"> 18 of </w:t>
      </w:r>
      <w:r w:rsidRPr="007C3AE3">
        <w:t>ECE/TRANS/328</w:t>
      </w:r>
      <w:r w:rsidRPr="0019308F">
        <w:t>.</w:t>
      </w:r>
    </w:p>
    <w:p w14:paraId="6DF15962" w14:textId="782D573E" w:rsidR="006B4EC5" w:rsidRPr="0019308F" w:rsidRDefault="006B4EC5" w:rsidP="006B4EC5">
      <w:pPr>
        <w:pStyle w:val="SingleTxtG"/>
      </w:pPr>
      <w:r w:rsidRPr="0019308F">
        <w:t>2.</w:t>
      </w:r>
      <w:r w:rsidRPr="0019308F">
        <w:tab/>
        <w:t>The review of Working Parties’ mandates by their parent sectoral committees is in line with the outcomes of the 2005 reform of ECE and the ensuing guidelines for the establishment and functioning of working parties within ECE (</w:t>
      </w:r>
      <w:r w:rsidRPr="007C3AE3">
        <w:t>ECE/EX/1</w:t>
      </w:r>
      <w:r w:rsidRPr="0019308F">
        <w:t>).</w:t>
      </w:r>
    </w:p>
    <w:p w14:paraId="5EFEF777" w14:textId="2CF7F6FC" w:rsidR="006B4EC5" w:rsidRDefault="006B4EC5" w:rsidP="006B4EC5">
      <w:pPr>
        <w:pStyle w:val="SingleTxtG"/>
        <w:rPr>
          <w:rFonts w:eastAsia="Calibri"/>
        </w:rPr>
      </w:pPr>
      <w:r w:rsidRPr="0019308F">
        <w:rPr>
          <w:rFonts w:eastAsia="Calibri"/>
        </w:rPr>
        <w:t>3.</w:t>
      </w:r>
      <w:r w:rsidRPr="0019308F">
        <w:rPr>
          <w:rFonts w:eastAsia="Calibri"/>
        </w:rPr>
        <w:tab/>
      </w:r>
      <w:r w:rsidRPr="0019308F">
        <w:rPr>
          <w:lang w:eastAsia="sr-Cyrl-CS"/>
        </w:rPr>
        <w:t xml:space="preserve">The review process will be based on a number of good principles or practices one of these being resource efficiency. </w:t>
      </w:r>
      <w:r w:rsidRPr="0019308F">
        <w:rPr>
          <w:rFonts w:eastAsia="Calibri"/>
        </w:rPr>
        <w:t xml:space="preserve">In this respect, Chairs of the Working Parties </w:t>
      </w:r>
      <w:r w:rsidR="00BD1882">
        <w:rPr>
          <w:rFonts w:eastAsia="Calibri"/>
        </w:rPr>
        <w:t>are</w:t>
      </w:r>
      <w:r w:rsidRPr="0019308F">
        <w:rPr>
          <w:rFonts w:eastAsia="Calibri"/>
        </w:rPr>
        <w:t xml:space="preserve"> requested to provide inputs to the Inland Transport Committee to identify possible ways of improving efficiency and methods of work.</w:t>
      </w:r>
    </w:p>
    <w:p w14:paraId="76687B9A" w14:textId="77777777" w:rsidR="006B4EC5" w:rsidRDefault="006B4EC5" w:rsidP="006B4EC5">
      <w:pPr>
        <w:pStyle w:val="SingleTxtG"/>
        <w:rPr>
          <w:rFonts w:eastAsia="Calibri"/>
        </w:rPr>
      </w:pPr>
      <w:r w:rsidRPr="0019308F">
        <w:rPr>
          <w:rFonts w:eastAsia="Calibri"/>
        </w:rPr>
        <w:t>4.</w:t>
      </w:r>
      <w:r w:rsidRPr="0019308F">
        <w:rPr>
          <w:rFonts w:eastAsia="Calibri"/>
        </w:rPr>
        <w:tab/>
        <w:t xml:space="preserve">In this context, the Working Party may wish to review, update as necessary and reaffirm its commitment to the working methods it has already adopted as regards its calendar of sessions and its rules for documentation. </w:t>
      </w:r>
    </w:p>
    <w:p w14:paraId="2EF1BB21" w14:textId="79A80EFF" w:rsidR="00044EDD" w:rsidRPr="0019308F" w:rsidRDefault="00044EDD" w:rsidP="006B4EC5">
      <w:pPr>
        <w:pStyle w:val="SingleTxtG"/>
        <w:rPr>
          <w:rFonts w:eastAsia="Calibri"/>
        </w:rPr>
      </w:pPr>
      <w:r>
        <w:rPr>
          <w:rFonts w:eastAsia="Calibri"/>
        </w:rPr>
        <w:t>5.</w:t>
      </w:r>
      <w:r>
        <w:rPr>
          <w:rFonts w:eastAsia="Calibri"/>
        </w:rPr>
        <w:tab/>
        <w:t>The following information was already presented at the 113</w:t>
      </w:r>
      <w:r w:rsidRPr="00044EDD">
        <w:rPr>
          <w:rFonts w:eastAsia="Calibri"/>
          <w:vertAlign w:val="superscript"/>
        </w:rPr>
        <w:t>th</w:t>
      </w:r>
      <w:r>
        <w:rPr>
          <w:rFonts w:eastAsia="Calibri"/>
        </w:rPr>
        <w:t xml:space="preserve"> session in informal document INF.19. </w:t>
      </w:r>
      <w:r w:rsidR="0081124B">
        <w:rPr>
          <w:rFonts w:eastAsia="Calibri"/>
        </w:rPr>
        <w:t xml:space="preserve">At that time, the Working Party </w:t>
      </w:r>
      <w:r w:rsidR="00BB0D4B" w:rsidRPr="006A048F">
        <w:rPr>
          <w:lang w:eastAsia="zh-CN"/>
        </w:rPr>
        <w:t xml:space="preserve">wished to resume discussions on its calendar of sessions and its rules for documentation at the </w:t>
      </w:r>
      <w:r w:rsidR="00BB0D4B">
        <w:rPr>
          <w:lang w:eastAsia="zh-CN"/>
        </w:rPr>
        <w:t>114</w:t>
      </w:r>
      <w:r w:rsidR="00BB0D4B" w:rsidRPr="00BB0D4B">
        <w:rPr>
          <w:vertAlign w:val="superscript"/>
          <w:lang w:eastAsia="zh-CN"/>
        </w:rPr>
        <w:t>th</w:t>
      </w:r>
      <w:r w:rsidR="00BB0D4B" w:rsidRPr="006A048F">
        <w:rPr>
          <w:lang w:eastAsia="zh-CN"/>
        </w:rPr>
        <w:t xml:space="preserve"> session</w:t>
      </w:r>
      <w:r w:rsidR="005A7390">
        <w:rPr>
          <w:lang w:eastAsia="zh-CN"/>
        </w:rPr>
        <w:t xml:space="preserve"> and requested the secretariat to submit informal document INF.19 as an official document.</w:t>
      </w:r>
    </w:p>
    <w:p w14:paraId="215AA7F3" w14:textId="77777777" w:rsidR="006B4EC5" w:rsidRPr="0019308F" w:rsidRDefault="006B4EC5" w:rsidP="006B4EC5">
      <w:pPr>
        <w:pStyle w:val="H1G"/>
        <w:rPr>
          <w:rFonts w:eastAsia="Calibri"/>
        </w:rPr>
      </w:pPr>
      <w:r w:rsidRPr="0019308F">
        <w:rPr>
          <w:rFonts w:eastAsia="Calibri"/>
        </w:rPr>
        <w:tab/>
      </w:r>
      <w:r w:rsidRPr="0019308F">
        <w:rPr>
          <w:rFonts w:eastAsia="Calibri"/>
        </w:rPr>
        <w:tab/>
        <w:t>Session planning and organisation</w:t>
      </w:r>
    </w:p>
    <w:p w14:paraId="2DE9E96C" w14:textId="77777777" w:rsidR="006B4EC5" w:rsidRPr="0019308F" w:rsidRDefault="006B4EC5" w:rsidP="006B4EC5">
      <w:pPr>
        <w:pStyle w:val="H23G"/>
        <w:rPr>
          <w:rFonts w:eastAsia="Calibri"/>
        </w:rPr>
      </w:pPr>
      <w:r w:rsidRPr="0019308F">
        <w:rPr>
          <w:rFonts w:eastAsia="Calibri"/>
        </w:rPr>
        <w:tab/>
      </w:r>
      <w:r w:rsidRPr="0019308F">
        <w:rPr>
          <w:rFonts w:eastAsia="Calibri"/>
        </w:rPr>
        <w:tab/>
        <w:t xml:space="preserve">Rules concerning the agenda for the last session of an amendment </w:t>
      </w:r>
      <w:proofErr w:type="gramStart"/>
      <w:r w:rsidRPr="0019308F">
        <w:rPr>
          <w:rFonts w:eastAsia="Calibri"/>
        </w:rPr>
        <w:t>period</w:t>
      </w:r>
      <w:proofErr w:type="gramEnd"/>
    </w:p>
    <w:p w14:paraId="0B4D4D08" w14:textId="356D69C7" w:rsidR="007D0387" w:rsidRPr="006A048F" w:rsidRDefault="007D0387" w:rsidP="007D0387">
      <w:pPr>
        <w:tabs>
          <w:tab w:val="left" w:pos="1701"/>
          <w:tab w:val="left" w:pos="2268"/>
          <w:tab w:val="left" w:pos="2835"/>
        </w:tabs>
        <w:spacing w:after="120"/>
        <w:ind w:left="1134" w:right="1134"/>
        <w:jc w:val="both"/>
        <w:rPr>
          <w:lang w:eastAsia="zh-CN"/>
        </w:rPr>
      </w:pPr>
      <w:r>
        <w:rPr>
          <w:lang w:eastAsia="zh-CN"/>
        </w:rPr>
        <w:t>6</w:t>
      </w:r>
      <w:r w:rsidRPr="006A048F">
        <w:rPr>
          <w:lang w:eastAsia="zh-CN"/>
        </w:rPr>
        <w:t>.</w:t>
      </w:r>
      <w:r w:rsidRPr="006A048F">
        <w:rPr>
          <w:lang w:eastAsia="zh-CN"/>
        </w:rPr>
        <w:tab/>
      </w:r>
      <w:r>
        <w:rPr>
          <w:lang w:eastAsia="zh-CN"/>
        </w:rPr>
        <w:t>At the 113</w:t>
      </w:r>
      <w:r w:rsidRPr="007D0387">
        <w:rPr>
          <w:vertAlign w:val="superscript"/>
          <w:lang w:eastAsia="zh-CN"/>
        </w:rPr>
        <w:t>th</w:t>
      </w:r>
      <w:r>
        <w:rPr>
          <w:lang w:eastAsia="zh-CN"/>
        </w:rPr>
        <w:t xml:space="preserve"> session, t</w:t>
      </w:r>
      <w:r w:rsidRPr="006A048F">
        <w:rPr>
          <w:lang w:eastAsia="zh-CN"/>
        </w:rPr>
        <w:t xml:space="preserve">he Working Party confirmed that the agenda for the last sessions of the biennial periods (November sessions of odd-numbered years) could be extended to new proposals for amendments, as has been done in previous years. In particular, this made </w:t>
      </w:r>
      <w:r w:rsidRPr="006A048F">
        <w:rPr>
          <w:lang w:eastAsia="zh-CN"/>
        </w:rPr>
        <w:lastRenderedPageBreak/>
        <w:t>it possible to take advantage of the time freed up by the fact that the documents adopted by the Joint Meeting concerning the provisions common to the three inland transport modes were, in general, no longer discussed again within the Working Party in order to focus on new provisions specific to road transport.</w:t>
      </w:r>
      <w:r>
        <w:rPr>
          <w:lang w:eastAsia="zh-CN"/>
        </w:rPr>
        <w:t xml:space="preserve"> See </w:t>
      </w:r>
      <w:r w:rsidR="00B8691A" w:rsidRPr="00B8691A">
        <w:rPr>
          <w:lang w:eastAsia="zh-CN"/>
        </w:rPr>
        <w:t>ECE/TRANS/WP.15/262</w:t>
      </w:r>
      <w:r w:rsidR="00B8691A">
        <w:rPr>
          <w:lang w:eastAsia="zh-CN"/>
        </w:rPr>
        <w:t>, paragraph 11.</w:t>
      </w:r>
    </w:p>
    <w:p w14:paraId="52635C59" w14:textId="7DBE68D5" w:rsidR="00E87930" w:rsidRPr="0019308F" w:rsidRDefault="00E87930" w:rsidP="00E87930">
      <w:pPr>
        <w:pStyle w:val="H23G"/>
        <w:rPr>
          <w:rFonts w:eastAsia="Calibri"/>
        </w:rPr>
      </w:pPr>
      <w:r w:rsidRPr="0019308F">
        <w:rPr>
          <w:rFonts w:eastAsia="Calibri"/>
        </w:rPr>
        <w:tab/>
      </w:r>
      <w:r w:rsidRPr="0019308F">
        <w:rPr>
          <w:rFonts w:eastAsia="Calibri"/>
        </w:rPr>
        <w:tab/>
      </w:r>
      <w:r>
        <w:rPr>
          <w:rFonts w:eastAsia="Calibri"/>
        </w:rPr>
        <w:t>Proposal 1</w:t>
      </w:r>
    </w:p>
    <w:p w14:paraId="6B63B1EC" w14:textId="7F1D61CC" w:rsidR="00F57CB0" w:rsidRDefault="00B8691A" w:rsidP="006B4EC5">
      <w:pPr>
        <w:pStyle w:val="SingleTxtG"/>
        <w:tabs>
          <w:tab w:val="left" w:pos="567"/>
          <w:tab w:val="left" w:pos="1134"/>
          <w:tab w:val="left" w:pos="3402"/>
          <w:tab w:val="left" w:pos="3969"/>
          <w:tab w:val="left" w:pos="4536"/>
          <w:tab w:val="left" w:pos="5103"/>
          <w:tab w:val="left" w:pos="5670"/>
          <w:tab w:val="left" w:pos="6338"/>
        </w:tabs>
        <w:rPr>
          <w:rFonts w:eastAsia="Calibri"/>
        </w:rPr>
      </w:pPr>
      <w:r>
        <w:rPr>
          <w:rFonts w:eastAsia="Calibri"/>
        </w:rPr>
        <w:t>7</w:t>
      </w:r>
      <w:r w:rsidR="006B4EC5" w:rsidRPr="0019308F">
        <w:rPr>
          <w:rFonts w:eastAsia="Calibri"/>
        </w:rPr>
        <w:t>.</w:t>
      </w:r>
      <w:r w:rsidR="006B4EC5" w:rsidRPr="0019308F">
        <w:rPr>
          <w:rFonts w:eastAsia="Calibri"/>
        </w:rPr>
        <w:tab/>
      </w:r>
      <w:r w:rsidR="00755F7B">
        <w:rPr>
          <w:rFonts w:eastAsia="Calibri"/>
        </w:rPr>
        <w:t xml:space="preserve">Based on this decision, the Working Party may wish to adopt the following </w:t>
      </w:r>
      <w:r w:rsidR="00C62A4C">
        <w:rPr>
          <w:rFonts w:eastAsia="Calibri"/>
        </w:rPr>
        <w:t xml:space="preserve">revised rules </w:t>
      </w:r>
      <w:r w:rsidR="00C62A4C" w:rsidRPr="0019308F">
        <w:rPr>
          <w:rFonts w:eastAsia="Calibri"/>
        </w:rPr>
        <w:t>concerning the agenda for the last session of an amendment period</w:t>
      </w:r>
      <w:r w:rsidR="00C62A4C">
        <w:rPr>
          <w:rFonts w:eastAsia="Calibri"/>
        </w:rPr>
        <w:t xml:space="preserve"> in place of the rules </w:t>
      </w:r>
      <w:r w:rsidR="00B60E98">
        <w:rPr>
          <w:rFonts w:eastAsia="Calibri"/>
        </w:rPr>
        <w:t xml:space="preserve">adopted </w:t>
      </w:r>
      <w:r w:rsidR="00B60E98" w:rsidRPr="0019308F">
        <w:rPr>
          <w:rFonts w:eastAsia="Calibri"/>
        </w:rPr>
        <w:t>at its sixty-fourth session (</w:t>
      </w:r>
      <w:r w:rsidR="00B60E98" w:rsidRPr="007C3AE3">
        <w:rPr>
          <w:rFonts w:eastAsia="Calibri"/>
        </w:rPr>
        <w:t>TRANS/WP.15/153</w:t>
      </w:r>
      <w:r w:rsidR="00B60E98" w:rsidRPr="0019308F">
        <w:rPr>
          <w:rFonts w:eastAsia="Calibri"/>
        </w:rPr>
        <w:t>)</w:t>
      </w:r>
      <w:r w:rsidR="00B60E98">
        <w:rPr>
          <w:rFonts w:eastAsia="Calibri"/>
        </w:rPr>
        <w:t>.</w:t>
      </w:r>
    </w:p>
    <w:p w14:paraId="588501BD" w14:textId="77777777" w:rsidR="006B4EC5" w:rsidRDefault="006B4EC5" w:rsidP="006B4EC5">
      <w:pPr>
        <w:pStyle w:val="SingleTxtG"/>
        <w:ind w:left="1701"/>
        <w:rPr>
          <w:rFonts w:eastAsia="Calibri"/>
        </w:rPr>
      </w:pPr>
      <w:r w:rsidRPr="0019308F">
        <w:rPr>
          <w:rFonts w:eastAsia="Calibri"/>
        </w:rPr>
        <w:t>“At the last (November) session of an amendment period, WP.15 shall consider the texts of all amendments adopted at previous meetings of WP.15 and the Joint Meeting.</w:t>
      </w:r>
    </w:p>
    <w:p w14:paraId="014BDCE9" w14:textId="2EDE86CF" w:rsidR="00B60E98" w:rsidRPr="0019308F" w:rsidRDefault="00B60E98" w:rsidP="006B4EC5">
      <w:pPr>
        <w:pStyle w:val="SingleTxtG"/>
        <w:ind w:left="1701"/>
        <w:rPr>
          <w:rFonts w:eastAsia="Calibri"/>
        </w:rPr>
      </w:pPr>
      <w:r>
        <w:rPr>
          <w:rFonts w:eastAsia="Calibri"/>
        </w:rPr>
        <w:t xml:space="preserve">WP.15 </w:t>
      </w:r>
      <w:r w:rsidR="00C61CA7">
        <w:rPr>
          <w:rFonts w:eastAsia="Calibri"/>
        </w:rPr>
        <w:t xml:space="preserve">may also consider </w:t>
      </w:r>
      <w:r w:rsidR="00C61CA7" w:rsidRPr="006A048F">
        <w:rPr>
          <w:lang w:eastAsia="zh-CN"/>
        </w:rPr>
        <w:t>new proposals for amendments</w:t>
      </w:r>
      <w:r w:rsidR="00C61CA7">
        <w:rPr>
          <w:lang w:eastAsia="zh-CN"/>
        </w:rPr>
        <w:t xml:space="preserve"> at t</w:t>
      </w:r>
      <w:r w:rsidR="00BF7826">
        <w:rPr>
          <w:lang w:eastAsia="zh-CN"/>
        </w:rPr>
        <w:t>his session if time allows</w:t>
      </w:r>
      <w:r w:rsidR="007D6CA2">
        <w:rPr>
          <w:lang w:eastAsia="zh-CN"/>
        </w:rPr>
        <w:t>. In this case, priority should be given to new documents</w:t>
      </w:r>
      <w:r w:rsidR="00847D83">
        <w:rPr>
          <w:lang w:eastAsia="zh-CN"/>
        </w:rPr>
        <w:t xml:space="preserve"> which:</w:t>
      </w:r>
    </w:p>
    <w:p w14:paraId="0685BF27" w14:textId="77777777" w:rsidR="006B4EC5" w:rsidRPr="0019308F" w:rsidRDefault="006B4EC5" w:rsidP="006B4EC5">
      <w:pPr>
        <w:pStyle w:val="Bullet1G"/>
        <w:tabs>
          <w:tab w:val="clear" w:pos="1701"/>
          <w:tab w:val="num" w:pos="2268"/>
        </w:tabs>
        <w:suppressAutoHyphens/>
        <w:ind w:left="2268"/>
        <w:rPr>
          <w:rFonts w:eastAsia="Calibri"/>
        </w:rPr>
      </w:pPr>
      <w:r w:rsidRPr="0019308F">
        <w:rPr>
          <w:rFonts w:eastAsia="Calibri"/>
        </w:rPr>
        <w:t xml:space="preserve">Relate to modifications of the amended </w:t>
      </w:r>
      <w:proofErr w:type="gramStart"/>
      <w:r w:rsidRPr="0019308F">
        <w:rPr>
          <w:rFonts w:eastAsia="Calibri"/>
        </w:rPr>
        <w:t>text</w:t>
      </w:r>
      <w:proofErr w:type="gramEnd"/>
    </w:p>
    <w:p w14:paraId="10D1BE5F" w14:textId="6DEE324B" w:rsidR="006B4EC5" w:rsidRPr="00847D83" w:rsidRDefault="006B4EC5" w:rsidP="00847D83">
      <w:pPr>
        <w:pStyle w:val="Bullet1G"/>
        <w:tabs>
          <w:tab w:val="clear" w:pos="1701"/>
          <w:tab w:val="num" w:pos="2268"/>
        </w:tabs>
        <w:suppressAutoHyphens/>
        <w:ind w:left="2268"/>
        <w:rPr>
          <w:rFonts w:eastAsia="Calibri"/>
        </w:rPr>
      </w:pPr>
      <w:r w:rsidRPr="0019308F">
        <w:rPr>
          <w:rFonts w:eastAsia="Calibri"/>
        </w:rPr>
        <w:t>Bring the Annexes into line with other international agreements concerning the transport of dangerous goods.</w:t>
      </w:r>
      <w:r w:rsidRPr="00847D83">
        <w:rPr>
          <w:rFonts w:eastAsia="Calibri"/>
        </w:rPr>
        <w:t>”</w:t>
      </w:r>
    </w:p>
    <w:p w14:paraId="5980F324" w14:textId="77777777" w:rsidR="006B4EC5" w:rsidRPr="0019308F" w:rsidRDefault="006B4EC5" w:rsidP="006B4EC5">
      <w:pPr>
        <w:pStyle w:val="H23G"/>
        <w:rPr>
          <w:rFonts w:eastAsia="Calibri"/>
        </w:rPr>
      </w:pPr>
      <w:r w:rsidRPr="0019308F">
        <w:rPr>
          <w:rFonts w:eastAsia="Calibri"/>
        </w:rPr>
        <w:tab/>
      </w:r>
      <w:r w:rsidRPr="0019308F">
        <w:rPr>
          <w:rFonts w:eastAsia="Calibri"/>
        </w:rPr>
        <w:tab/>
        <w:t>Number and calendar of sessions</w:t>
      </w:r>
    </w:p>
    <w:p w14:paraId="42FC817F" w14:textId="6F339AA4" w:rsidR="006B4EC5" w:rsidRPr="0019308F" w:rsidRDefault="00E87930" w:rsidP="006B4EC5">
      <w:pPr>
        <w:pStyle w:val="SingleTxtG"/>
        <w:tabs>
          <w:tab w:val="left" w:pos="567"/>
          <w:tab w:val="left" w:pos="1134"/>
          <w:tab w:val="left" w:pos="3402"/>
          <w:tab w:val="left" w:pos="3969"/>
          <w:tab w:val="left" w:pos="4536"/>
          <w:tab w:val="left" w:pos="5103"/>
          <w:tab w:val="left" w:pos="5670"/>
          <w:tab w:val="left" w:pos="6338"/>
        </w:tabs>
        <w:rPr>
          <w:rFonts w:eastAsia="Calibri"/>
        </w:rPr>
      </w:pPr>
      <w:r>
        <w:rPr>
          <w:rFonts w:eastAsia="Calibri"/>
        </w:rPr>
        <w:t>8</w:t>
      </w:r>
      <w:r w:rsidR="006B4EC5" w:rsidRPr="0019308F">
        <w:rPr>
          <w:rFonts w:eastAsia="Calibri"/>
        </w:rPr>
        <w:t>.</w:t>
      </w:r>
      <w:r w:rsidR="006B4EC5" w:rsidRPr="0019308F">
        <w:rPr>
          <w:rFonts w:eastAsia="Calibri"/>
        </w:rPr>
        <w:tab/>
        <w:t>The Working Party may wish to reconsider its current number and calendar of sessions in the light of current workload and foreseen developments of ADR</w:t>
      </w:r>
      <w:r w:rsidR="006B4EC5">
        <w:rPr>
          <w:rFonts w:eastAsia="Calibri"/>
        </w:rPr>
        <w:t xml:space="preserve"> and taking into account the following information</w:t>
      </w:r>
      <w:r w:rsidR="006B4EC5" w:rsidRPr="0019308F">
        <w:rPr>
          <w:rFonts w:eastAsia="Calibri"/>
        </w:rPr>
        <w:t>.</w:t>
      </w:r>
    </w:p>
    <w:p w14:paraId="6C00C1AC" w14:textId="4DCB92E1" w:rsidR="006B4EC5" w:rsidRPr="0019308F" w:rsidRDefault="00E87930" w:rsidP="006B4EC5">
      <w:pPr>
        <w:pStyle w:val="SingleTxtG"/>
        <w:rPr>
          <w:rFonts w:eastAsia="Calibri"/>
        </w:rPr>
      </w:pPr>
      <w:r>
        <w:rPr>
          <w:rFonts w:eastAsia="Calibri"/>
        </w:rPr>
        <w:t>9</w:t>
      </w:r>
      <w:r w:rsidR="006B4EC5" w:rsidRPr="0019308F">
        <w:rPr>
          <w:rFonts w:eastAsia="Calibri"/>
        </w:rPr>
        <w:t>.</w:t>
      </w:r>
      <w:r w:rsidR="006B4EC5" w:rsidRPr="0019308F">
        <w:rPr>
          <w:rFonts w:eastAsia="Calibri"/>
        </w:rPr>
        <w:tab/>
        <w:t xml:space="preserve">In the last two years the Working Party has not used all the meeting days allocated to it. In the past, the secretariat had already invited the Working Party to explore the possibility of reducing the length of its sessions or changing the calendar of meetings in order to decrease the number of meetings allotted to it (see </w:t>
      </w:r>
      <w:r w:rsidR="006B4EC5" w:rsidRPr="007C3AE3">
        <w:rPr>
          <w:rFonts w:eastAsia="Calibri"/>
        </w:rPr>
        <w:t>ECE/TRANS/WP.15/2013/6</w:t>
      </w:r>
      <w:r w:rsidR="006B4EC5" w:rsidRPr="0019308F">
        <w:rPr>
          <w:rFonts w:eastAsia="Calibri"/>
        </w:rPr>
        <w:t xml:space="preserve">). </w:t>
      </w:r>
    </w:p>
    <w:p w14:paraId="7412C9D5" w14:textId="3435D74A" w:rsidR="006B4EC5" w:rsidRPr="0019308F" w:rsidRDefault="00E87930" w:rsidP="006B4EC5">
      <w:pPr>
        <w:pStyle w:val="SingleTxtG"/>
      </w:pPr>
      <w:r>
        <w:rPr>
          <w:rFonts w:eastAsia="Calibri"/>
        </w:rPr>
        <w:t>10</w:t>
      </w:r>
      <w:r w:rsidR="006B4EC5" w:rsidRPr="0019308F">
        <w:rPr>
          <w:rFonts w:eastAsia="Calibri"/>
        </w:rPr>
        <w:t>.</w:t>
      </w:r>
      <w:r w:rsidR="006B4EC5" w:rsidRPr="0019308F">
        <w:rPr>
          <w:rFonts w:eastAsia="Calibri"/>
        </w:rPr>
        <w:tab/>
        <w:t xml:space="preserve">The initial proposal in </w:t>
      </w:r>
      <w:r w:rsidR="006B4EC5" w:rsidRPr="007C3AE3">
        <w:rPr>
          <w:rFonts w:eastAsia="Calibri"/>
        </w:rPr>
        <w:t>ECE/TRANS/WP.15/2013/6</w:t>
      </w:r>
      <w:r w:rsidR="006B4EC5" w:rsidRPr="0019308F">
        <w:rPr>
          <w:rFonts w:eastAsia="Calibri"/>
        </w:rPr>
        <w:t xml:space="preserve"> was to </w:t>
      </w:r>
      <w:r w:rsidR="006B4EC5" w:rsidRPr="0019308F">
        <w:t>replace the current calendar of meetings (four sessions per biennium) with a new calendar comprising only three sessions per biennium, organized as follows:</w:t>
      </w:r>
    </w:p>
    <w:p w14:paraId="0FD5F561" w14:textId="0CC8A234" w:rsidR="006B4EC5" w:rsidRPr="0019308F" w:rsidRDefault="006B4EC5" w:rsidP="006B4EC5">
      <w:pPr>
        <w:pStyle w:val="SingleTxtG"/>
        <w:ind w:left="1701"/>
      </w:pPr>
      <w:r w:rsidRPr="0019308F">
        <w:rPr>
          <w:b/>
          <w:bCs/>
        </w:rPr>
        <w:t xml:space="preserve">Even years (n): </w:t>
      </w:r>
      <w:r w:rsidRPr="0019308F">
        <w:t>A session in May, in which some corrections to the list of amendments for entry into force on 1 January of the following year (n + 1) may still be adopted, if necessary, and new amendments that will enter into force on 1 January of year n + 3 are discussed.</w:t>
      </w:r>
    </w:p>
    <w:p w14:paraId="1E334D9A" w14:textId="77777777" w:rsidR="006B4EC5" w:rsidRPr="0019308F" w:rsidRDefault="006B4EC5" w:rsidP="006B4EC5">
      <w:pPr>
        <w:pStyle w:val="SingleTxtG"/>
        <w:tabs>
          <w:tab w:val="left" w:pos="567"/>
          <w:tab w:val="left" w:pos="1134"/>
          <w:tab w:val="left" w:pos="3402"/>
          <w:tab w:val="left" w:pos="3969"/>
          <w:tab w:val="left" w:pos="4536"/>
          <w:tab w:val="left" w:pos="5103"/>
          <w:tab w:val="left" w:pos="5670"/>
          <w:tab w:val="left" w:pos="6338"/>
        </w:tabs>
        <w:ind w:left="1701"/>
      </w:pPr>
      <w:r w:rsidRPr="0019308F">
        <w:rPr>
          <w:b/>
          <w:bCs/>
        </w:rPr>
        <w:t>Odd years (n + 1):</w:t>
      </w:r>
      <w:r w:rsidRPr="0019308F">
        <w:t xml:space="preserve"> A session in May and a session in late October – early November. This second session is the last in which amendments for entry into force on 1 January of the following odd year (n + 3) may, in theory, be adopted.</w:t>
      </w:r>
    </w:p>
    <w:p w14:paraId="3134CBBD" w14:textId="75301B02" w:rsidR="006B4EC5" w:rsidRDefault="00E87930" w:rsidP="006B4EC5">
      <w:pPr>
        <w:pStyle w:val="SingleTxtG"/>
        <w:tabs>
          <w:tab w:val="left" w:pos="567"/>
          <w:tab w:val="left" w:pos="1134"/>
          <w:tab w:val="left" w:pos="3402"/>
          <w:tab w:val="left" w:pos="3969"/>
          <w:tab w:val="left" w:pos="4536"/>
          <w:tab w:val="left" w:pos="5103"/>
          <w:tab w:val="left" w:pos="5670"/>
          <w:tab w:val="left" w:pos="6338"/>
        </w:tabs>
      </w:pPr>
      <w:r>
        <w:t>11</w:t>
      </w:r>
      <w:r w:rsidR="006B4EC5" w:rsidRPr="0019308F">
        <w:t>.</w:t>
      </w:r>
      <w:r w:rsidR="006B4EC5" w:rsidRPr="0019308F">
        <w:tab/>
      </w:r>
      <w:r w:rsidR="006B4EC5" w:rsidRPr="0019308F">
        <w:rPr>
          <w:rFonts w:eastAsia="Calibri"/>
        </w:rPr>
        <w:t xml:space="preserve">At that time, </w:t>
      </w:r>
      <w:r w:rsidR="006B4EC5" w:rsidRPr="0019308F">
        <w:t>the majority of delegations who had spoken had confirmed that, in view of the developments envisaged in the Working Party, for example the revision of Part 9 of ADR, the incorporation of new intelligent transport systems and the organizing of information exchanges between the Contracting Parties to ADR, it was necessary to maintain the number of meetings.</w:t>
      </w:r>
      <w:r w:rsidR="006B4EC5">
        <w:t xml:space="preserve"> </w:t>
      </w:r>
    </w:p>
    <w:p w14:paraId="5178CD61" w14:textId="2A9FC883" w:rsidR="006B4EC5" w:rsidRPr="0019308F" w:rsidRDefault="00E87930" w:rsidP="006B4EC5">
      <w:pPr>
        <w:pStyle w:val="SingleTxtG"/>
        <w:tabs>
          <w:tab w:val="left" w:pos="567"/>
          <w:tab w:val="left" w:pos="1134"/>
          <w:tab w:val="left" w:pos="3402"/>
          <w:tab w:val="left" w:pos="3969"/>
          <w:tab w:val="left" w:pos="4536"/>
          <w:tab w:val="left" w:pos="5103"/>
          <w:tab w:val="left" w:pos="5670"/>
          <w:tab w:val="left" w:pos="6338"/>
        </w:tabs>
        <w:rPr>
          <w:b/>
          <w:bCs/>
        </w:rPr>
      </w:pPr>
      <w:r>
        <w:t>12</w:t>
      </w:r>
      <w:r w:rsidR="006B4EC5">
        <w:t>.</w:t>
      </w:r>
      <w:r w:rsidR="006B4EC5">
        <w:tab/>
        <w:t>Since 2010</w:t>
      </w:r>
      <w:r w:rsidR="006B4EC5" w:rsidRPr="0019308F">
        <w:rPr>
          <w:rFonts w:eastAsia="Calibri"/>
        </w:rPr>
        <w:t>, the Working Party ha</w:t>
      </w:r>
      <w:r w:rsidR="006B4EC5">
        <w:rPr>
          <w:rFonts w:eastAsia="Calibri"/>
        </w:rPr>
        <w:t>s</w:t>
      </w:r>
      <w:r w:rsidR="006B4EC5" w:rsidRPr="0019308F">
        <w:rPr>
          <w:rFonts w:eastAsia="Calibri"/>
        </w:rPr>
        <w:t xml:space="preserve"> agreed to reduce its second sessions in odd years to 8 meetings (4 days).</w:t>
      </w:r>
    </w:p>
    <w:p w14:paraId="226BD32A" w14:textId="017EDEBE" w:rsidR="006B4EC5" w:rsidRDefault="00E87930" w:rsidP="006B4EC5">
      <w:pPr>
        <w:pStyle w:val="SingleTxtG"/>
        <w:tabs>
          <w:tab w:val="left" w:pos="567"/>
          <w:tab w:val="left" w:pos="1134"/>
          <w:tab w:val="left" w:pos="3402"/>
          <w:tab w:val="left" w:pos="3969"/>
          <w:tab w:val="left" w:pos="4536"/>
          <w:tab w:val="left" w:pos="5103"/>
          <w:tab w:val="left" w:pos="5670"/>
          <w:tab w:val="left" w:pos="6338"/>
        </w:tabs>
        <w:rPr>
          <w:rFonts w:eastAsia="Calibri"/>
        </w:rPr>
      </w:pPr>
      <w:r>
        <w:t>13</w:t>
      </w:r>
      <w:r w:rsidR="006B4EC5" w:rsidRPr="0019308F">
        <w:t>.</w:t>
      </w:r>
      <w:r w:rsidR="006B4EC5" w:rsidRPr="0019308F">
        <w:rPr>
          <w:rFonts w:eastAsia="Calibri"/>
        </w:rPr>
        <w:tab/>
        <w:t xml:space="preserve">During the last two years, it appeared that only 15.5 days were used by the Working Party (31 meetings) instead of the 19 scheduled (38 meetings). </w:t>
      </w:r>
      <w:proofErr w:type="gramStart"/>
      <w:r w:rsidR="006B4EC5" w:rsidRPr="0019308F">
        <w:rPr>
          <w:rFonts w:eastAsia="Calibri"/>
        </w:rPr>
        <w:t>Note also</w:t>
      </w:r>
      <w:proofErr w:type="gramEnd"/>
      <w:r w:rsidR="006B4EC5" w:rsidRPr="0019308F">
        <w:rPr>
          <w:rFonts w:eastAsia="Calibri"/>
        </w:rPr>
        <w:t xml:space="preserve"> that, in 2021 and 2022, the length of each meeting was reduced to 2 hours instead of 3 because of the hybrid format. </w:t>
      </w:r>
    </w:p>
    <w:p w14:paraId="1D90AC54" w14:textId="53DEE840" w:rsidR="006B4EC5" w:rsidRDefault="00E87930" w:rsidP="006B4EC5">
      <w:pPr>
        <w:pStyle w:val="SingleTxtG"/>
        <w:tabs>
          <w:tab w:val="left" w:pos="567"/>
          <w:tab w:val="left" w:pos="1134"/>
          <w:tab w:val="left" w:pos="3402"/>
          <w:tab w:val="left" w:pos="3969"/>
          <w:tab w:val="left" w:pos="4536"/>
          <w:tab w:val="left" w:pos="5103"/>
          <w:tab w:val="left" w:pos="5670"/>
          <w:tab w:val="left" w:pos="6338"/>
        </w:tabs>
        <w:rPr>
          <w:rFonts w:eastAsia="Calibri"/>
        </w:rPr>
      </w:pPr>
      <w:r>
        <w:rPr>
          <w:rFonts w:eastAsia="Calibri"/>
        </w:rPr>
        <w:t>14</w:t>
      </w:r>
      <w:r w:rsidR="006B4EC5">
        <w:rPr>
          <w:rFonts w:eastAsia="Calibri"/>
        </w:rPr>
        <w:t>.</w:t>
      </w:r>
      <w:r w:rsidR="006B4EC5">
        <w:rPr>
          <w:rFonts w:eastAsia="Calibri"/>
        </w:rPr>
        <w:tab/>
        <w:t xml:space="preserve">The fact that the Working Party does not use all the resources allocated to it </w:t>
      </w:r>
      <w:r w:rsidR="006B4EC5" w:rsidRPr="0019308F">
        <w:rPr>
          <w:rFonts w:eastAsia="Calibri"/>
        </w:rPr>
        <w:t xml:space="preserve">could have an impact on the budget </w:t>
      </w:r>
      <w:r w:rsidR="006B4EC5">
        <w:rPr>
          <w:rFonts w:eastAsia="Calibri"/>
        </w:rPr>
        <w:t>dedicated</w:t>
      </w:r>
      <w:r w:rsidR="006B4EC5" w:rsidRPr="0019308F">
        <w:rPr>
          <w:rFonts w:eastAsia="Calibri"/>
        </w:rPr>
        <w:t xml:space="preserve"> to the Working Party</w:t>
      </w:r>
      <w:r w:rsidR="006B4EC5">
        <w:rPr>
          <w:rFonts w:eastAsia="Calibri"/>
        </w:rPr>
        <w:t xml:space="preserve"> in the future. </w:t>
      </w:r>
    </w:p>
    <w:p w14:paraId="15F4FC49" w14:textId="01C9C05F" w:rsidR="00802B61" w:rsidRPr="0019308F" w:rsidRDefault="00802B61" w:rsidP="00802B61">
      <w:pPr>
        <w:pStyle w:val="H23G"/>
        <w:rPr>
          <w:rFonts w:eastAsia="Calibri"/>
        </w:rPr>
      </w:pPr>
      <w:r w:rsidRPr="0019308F">
        <w:rPr>
          <w:rFonts w:eastAsia="Calibri"/>
        </w:rPr>
        <w:tab/>
      </w:r>
      <w:r w:rsidRPr="0019308F">
        <w:rPr>
          <w:rFonts w:eastAsia="Calibri"/>
        </w:rPr>
        <w:tab/>
      </w:r>
      <w:r>
        <w:rPr>
          <w:rFonts w:eastAsia="Calibri"/>
        </w:rPr>
        <w:t>Proposal 2</w:t>
      </w:r>
    </w:p>
    <w:p w14:paraId="015C771A" w14:textId="6AD371EE" w:rsidR="00E87930" w:rsidRPr="0019308F" w:rsidRDefault="00E87930" w:rsidP="006B4EC5">
      <w:pPr>
        <w:pStyle w:val="SingleTxtG"/>
        <w:tabs>
          <w:tab w:val="left" w:pos="567"/>
          <w:tab w:val="left" w:pos="1134"/>
          <w:tab w:val="left" w:pos="3402"/>
          <w:tab w:val="left" w:pos="3969"/>
          <w:tab w:val="left" w:pos="4536"/>
          <w:tab w:val="left" w:pos="5103"/>
          <w:tab w:val="left" w:pos="5670"/>
          <w:tab w:val="left" w:pos="6338"/>
        </w:tabs>
        <w:rPr>
          <w:rFonts w:eastAsia="Calibri"/>
        </w:rPr>
      </w:pPr>
      <w:r>
        <w:rPr>
          <w:rFonts w:eastAsia="Calibri"/>
        </w:rPr>
        <w:t>15.</w:t>
      </w:r>
      <w:r>
        <w:rPr>
          <w:rFonts w:eastAsia="Calibri"/>
        </w:rPr>
        <w:tab/>
        <w:t xml:space="preserve">Considering </w:t>
      </w:r>
      <w:r w:rsidR="00802B61">
        <w:rPr>
          <w:rFonts w:eastAsia="Calibri"/>
        </w:rPr>
        <w:t>the above information, the Working Party may wish to reconsider the proposal in paragraph 10.</w:t>
      </w:r>
    </w:p>
    <w:p w14:paraId="522FE396" w14:textId="77777777" w:rsidR="006B4EC5" w:rsidRPr="0019308F" w:rsidRDefault="006B4EC5" w:rsidP="006B4EC5">
      <w:pPr>
        <w:pStyle w:val="H1G"/>
        <w:rPr>
          <w:rFonts w:eastAsia="Calibri"/>
        </w:rPr>
      </w:pPr>
      <w:r w:rsidRPr="0019308F">
        <w:rPr>
          <w:rFonts w:eastAsia="Calibri"/>
        </w:rPr>
        <w:lastRenderedPageBreak/>
        <w:tab/>
      </w:r>
      <w:r w:rsidRPr="0019308F">
        <w:rPr>
          <w:rFonts w:eastAsia="Calibri"/>
        </w:rPr>
        <w:tab/>
        <w:t>Documentation</w:t>
      </w:r>
    </w:p>
    <w:p w14:paraId="123ADFDD" w14:textId="2C26E62A" w:rsidR="006B4EC5" w:rsidRPr="0019308F" w:rsidRDefault="00802B61" w:rsidP="006B4EC5">
      <w:pPr>
        <w:pStyle w:val="SingleTxtG"/>
        <w:rPr>
          <w:rFonts w:eastAsia="Calibri"/>
        </w:rPr>
      </w:pPr>
      <w:r>
        <w:rPr>
          <w:rFonts w:eastAsia="Calibri"/>
        </w:rPr>
        <w:t>16</w:t>
      </w:r>
      <w:r w:rsidR="006B4EC5" w:rsidRPr="0019308F">
        <w:rPr>
          <w:rFonts w:eastAsia="Calibri"/>
        </w:rPr>
        <w:t>.</w:t>
      </w:r>
      <w:r w:rsidR="006B4EC5" w:rsidRPr="0019308F">
        <w:rPr>
          <w:rFonts w:eastAsia="Calibri"/>
        </w:rPr>
        <w:tab/>
      </w:r>
      <w:r w:rsidR="006B4EC5">
        <w:rPr>
          <w:rFonts w:eastAsia="Calibri"/>
        </w:rPr>
        <w:t>T</w:t>
      </w:r>
      <w:r w:rsidR="006B4EC5" w:rsidRPr="0019308F">
        <w:rPr>
          <w:rFonts w:eastAsia="Calibri"/>
        </w:rPr>
        <w:t xml:space="preserve">he Working Party may wish to review, update as necessary and reaffirm its commitment to the rules for documentation </w:t>
      </w:r>
      <w:r w:rsidR="006B4EC5">
        <w:rPr>
          <w:rFonts w:eastAsia="Calibri"/>
        </w:rPr>
        <w:t>it has adopted.</w:t>
      </w:r>
    </w:p>
    <w:p w14:paraId="77AAEA1D" w14:textId="2619F9CA" w:rsidR="006B4EC5" w:rsidRPr="0019308F" w:rsidRDefault="00802B61" w:rsidP="006B4EC5">
      <w:pPr>
        <w:pStyle w:val="SingleTxtG"/>
        <w:rPr>
          <w:rFonts w:eastAsia="Calibri"/>
        </w:rPr>
      </w:pPr>
      <w:r>
        <w:rPr>
          <w:rFonts w:eastAsia="Calibri"/>
        </w:rPr>
        <w:t>17</w:t>
      </w:r>
      <w:r w:rsidR="006B4EC5" w:rsidRPr="0019308F">
        <w:rPr>
          <w:rFonts w:eastAsia="Calibri"/>
        </w:rPr>
        <w:t>.</w:t>
      </w:r>
      <w:r w:rsidR="006B4EC5" w:rsidRPr="0019308F">
        <w:rPr>
          <w:rFonts w:eastAsia="Calibri"/>
        </w:rPr>
        <w:tab/>
        <w:t>At its sixty-fourth session, the Working Party has adopted rules concerning the documentation to be submitted to its future sessions. Th</w:t>
      </w:r>
      <w:r w:rsidR="006B4EC5">
        <w:rPr>
          <w:rFonts w:eastAsia="Calibri"/>
        </w:rPr>
        <w:t>es</w:t>
      </w:r>
      <w:r w:rsidR="006B4EC5" w:rsidRPr="0019308F">
        <w:rPr>
          <w:rFonts w:eastAsia="Calibri"/>
        </w:rPr>
        <w:t>e rules have been updated and reproduced in the Annex of the Working Party’s Rules of Procedure (</w:t>
      </w:r>
      <w:r w:rsidR="006B4EC5" w:rsidRPr="007C3AE3">
        <w:rPr>
          <w:rFonts w:eastAsia="Calibri"/>
        </w:rPr>
        <w:t>ECE/TRANS/WP.15/190/Add.1</w:t>
      </w:r>
      <w:r w:rsidR="006B4EC5" w:rsidRPr="0019308F">
        <w:rPr>
          <w:rFonts w:eastAsia="Calibri"/>
        </w:rPr>
        <w:t>).</w:t>
      </w:r>
    </w:p>
    <w:p w14:paraId="72E449A7" w14:textId="77777777" w:rsidR="006B4EC5" w:rsidRPr="0019308F" w:rsidRDefault="006B4EC5" w:rsidP="006B4EC5">
      <w:pPr>
        <w:pStyle w:val="H23G"/>
        <w:rPr>
          <w:rFonts w:eastAsia="Calibri"/>
        </w:rPr>
      </w:pPr>
      <w:r w:rsidRPr="0019308F">
        <w:rPr>
          <w:rFonts w:eastAsia="Calibri"/>
        </w:rPr>
        <w:tab/>
      </w:r>
      <w:r w:rsidRPr="0019308F">
        <w:rPr>
          <w:rFonts w:eastAsia="Calibri"/>
        </w:rPr>
        <w:tab/>
      </w:r>
      <w:r>
        <w:rPr>
          <w:rFonts w:eastAsia="Calibri"/>
        </w:rPr>
        <w:t>Official documents</w:t>
      </w:r>
    </w:p>
    <w:p w14:paraId="3AEA73E5" w14:textId="71521F89" w:rsidR="006B4EC5" w:rsidRDefault="00802B61" w:rsidP="006B4EC5">
      <w:pPr>
        <w:pStyle w:val="SingleTxtG"/>
        <w:rPr>
          <w:rFonts w:eastAsia="SimSun"/>
          <w:lang w:eastAsia="zh-CN"/>
        </w:rPr>
      </w:pPr>
      <w:r>
        <w:rPr>
          <w:rFonts w:eastAsia="Calibri"/>
        </w:rPr>
        <w:t>18</w:t>
      </w:r>
      <w:r w:rsidR="006B4EC5" w:rsidRPr="0019308F">
        <w:rPr>
          <w:rFonts w:eastAsia="Calibri"/>
        </w:rPr>
        <w:t>.</w:t>
      </w:r>
      <w:r w:rsidR="006B4EC5" w:rsidRPr="0019308F">
        <w:rPr>
          <w:rFonts w:eastAsia="Calibri"/>
        </w:rPr>
        <w:tab/>
        <w:t xml:space="preserve">The rules for the submission of </w:t>
      </w:r>
      <w:r w:rsidR="006B4EC5">
        <w:rPr>
          <w:rFonts w:eastAsia="Calibri"/>
        </w:rPr>
        <w:t xml:space="preserve">official </w:t>
      </w:r>
      <w:r w:rsidR="006B4EC5" w:rsidRPr="0019308F">
        <w:rPr>
          <w:rFonts w:eastAsia="Calibri"/>
        </w:rPr>
        <w:t>documents are well followed</w:t>
      </w:r>
      <w:r w:rsidR="006B4EC5">
        <w:rPr>
          <w:rFonts w:eastAsia="Calibri"/>
        </w:rPr>
        <w:t xml:space="preserve"> by the Working Party’s participants</w:t>
      </w:r>
      <w:r w:rsidR="006B4EC5" w:rsidRPr="0019308F">
        <w:rPr>
          <w:rFonts w:eastAsia="Calibri"/>
        </w:rPr>
        <w:t xml:space="preserve">. They </w:t>
      </w:r>
      <w:r w:rsidR="006B4EC5">
        <w:rPr>
          <w:rFonts w:eastAsia="Calibri"/>
        </w:rPr>
        <w:t>c</w:t>
      </w:r>
      <w:r w:rsidR="006B4EC5" w:rsidRPr="0019308F">
        <w:rPr>
          <w:rFonts w:eastAsia="Calibri"/>
        </w:rPr>
        <w:t xml:space="preserve">ould be updated to take into account the recent decision of the Working Party to invite </w:t>
      </w:r>
      <w:r w:rsidR="006B4EC5" w:rsidRPr="0019308F">
        <w:rPr>
          <w:rFonts w:eastAsia="SimSun"/>
          <w:lang w:eastAsia="zh-CN"/>
        </w:rPr>
        <w:t xml:space="preserve">delegations, when submitting proposals, to note in the justification part any interlinkage there might be with the Sustainable Development Goals </w:t>
      </w:r>
      <w:r w:rsidR="00223E9A">
        <w:rPr>
          <w:rFonts w:eastAsia="SimSun"/>
          <w:lang w:eastAsia="zh-CN"/>
        </w:rPr>
        <w:t xml:space="preserve">(SDGs) </w:t>
      </w:r>
      <w:r w:rsidR="006B4EC5" w:rsidRPr="0019308F">
        <w:rPr>
          <w:rFonts w:eastAsia="SimSun"/>
          <w:lang w:eastAsia="zh-CN"/>
        </w:rPr>
        <w:t>and the circular economy.</w:t>
      </w:r>
    </w:p>
    <w:p w14:paraId="054CFD8C" w14:textId="2A8423AE" w:rsidR="004D4DBC" w:rsidRPr="0019308F" w:rsidRDefault="004D4DBC" w:rsidP="006B4EC5">
      <w:pPr>
        <w:pStyle w:val="SingleTxtG"/>
        <w:rPr>
          <w:rFonts w:eastAsia="Calibri"/>
        </w:rPr>
      </w:pPr>
      <w:r>
        <w:rPr>
          <w:rFonts w:eastAsia="SimSun"/>
          <w:lang w:eastAsia="zh-CN"/>
        </w:rPr>
        <w:t>19.</w:t>
      </w:r>
      <w:r>
        <w:rPr>
          <w:rFonts w:eastAsia="SimSun"/>
          <w:lang w:eastAsia="zh-CN"/>
        </w:rPr>
        <w:tab/>
      </w:r>
      <w:r w:rsidR="00BB2475">
        <w:rPr>
          <w:rFonts w:eastAsia="SimSun"/>
          <w:lang w:eastAsia="zh-CN"/>
        </w:rPr>
        <w:t xml:space="preserve">To this end, the secretariat identified </w:t>
      </w:r>
      <w:r w:rsidR="00223E9A">
        <w:rPr>
          <w:rFonts w:eastAsia="SimSun"/>
          <w:lang w:eastAsia="zh-CN"/>
        </w:rPr>
        <w:t xml:space="preserve">some SDGs </w:t>
      </w:r>
      <w:r w:rsidR="00F83D22" w:rsidRPr="00F83D22">
        <w:rPr>
          <w:rFonts w:eastAsia="SimSun"/>
          <w:lang w:eastAsia="zh-CN"/>
        </w:rPr>
        <w:t>and their related targets</w:t>
      </w:r>
      <w:r w:rsidR="00F83D22">
        <w:rPr>
          <w:rFonts w:eastAsia="SimSun"/>
          <w:lang w:eastAsia="zh-CN"/>
        </w:rPr>
        <w:t xml:space="preserve"> </w:t>
      </w:r>
      <w:r w:rsidR="00990E0F">
        <w:rPr>
          <w:rFonts w:eastAsia="SimSun"/>
          <w:lang w:eastAsia="zh-CN"/>
        </w:rPr>
        <w:t xml:space="preserve">which are </w:t>
      </w:r>
      <w:r w:rsidR="00F83D22">
        <w:rPr>
          <w:rFonts w:eastAsia="SimSun"/>
          <w:lang w:eastAsia="zh-CN"/>
        </w:rPr>
        <w:t xml:space="preserve">particularly relevant </w:t>
      </w:r>
      <w:r w:rsidR="00D363F4">
        <w:rPr>
          <w:rFonts w:eastAsia="SimSun"/>
          <w:lang w:eastAsia="zh-CN"/>
        </w:rPr>
        <w:t xml:space="preserve">for the work of the Working Party. </w:t>
      </w:r>
      <w:r w:rsidR="00C75423">
        <w:rPr>
          <w:rFonts w:eastAsia="SimSun"/>
          <w:lang w:eastAsia="zh-CN"/>
        </w:rPr>
        <w:t xml:space="preserve">This information is published on the Economic Commission for Europe’s website at </w:t>
      </w:r>
      <w:hyperlink r:id="rId12" w:history="1">
        <w:r w:rsidR="007627D4" w:rsidRPr="00A25702">
          <w:rPr>
            <w:rStyle w:val="Hyperlink"/>
            <w:rFonts w:eastAsia="SimSun"/>
            <w:lang w:eastAsia="zh-CN"/>
          </w:rPr>
          <w:t>https://unece.org/transport/dangerous-goods/unece-bodies-dealing-transport-dangerous-goods</w:t>
        </w:r>
      </w:hyperlink>
      <w:r w:rsidR="007627D4">
        <w:rPr>
          <w:rFonts w:eastAsia="SimSun"/>
          <w:lang w:eastAsia="zh-CN"/>
        </w:rPr>
        <w:t xml:space="preserve">. </w:t>
      </w:r>
    </w:p>
    <w:p w14:paraId="7D08375E" w14:textId="186D30E4" w:rsidR="00802B61" w:rsidRPr="0019308F" w:rsidRDefault="00802B61" w:rsidP="00802B61">
      <w:pPr>
        <w:pStyle w:val="H23G"/>
        <w:rPr>
          <w:rFonts w:eastAsia="Calibri"/>
        </w:rPr>
      </w:pPr>
      <w:r w:rsidRPr="0019308F">
        <w:rPr>
          <w:rFonts w:eastAsia="Calibri"/>
        </w:rPr>
        <w:tab/>
      </w:r>
      <w:r w:rsidRPr="0019308F">
        <w:rPr>
          <w:rFonts w:eastAsia="Calibri"/>
        </w:rPr>
        <w:tab/>
      </w:r>
      <w:r>
        <w:rPr>
          <w:rFonts w:eastAsia="Calibri"/>
        </w:rPr>
        <w:t>Proposal 3</w:t>
      </w:r>
    </w:p>
    <w:p w14:paraId="4C6DDB68" w14:textId="39FB7546" w:rsidR="009115C2" w:rsidRDefault="007627D4" w:rsidP="00BD1F9A">
      <w:pPr>
        <w:pStyle w:val="SingleTxtG"/>
      </w:pPr>
      <w:r>
        <w:rPr>
          <w:rFonts w:eastAsia="Calibri"/>
        </w:rPr>
        <w:t>20</w:t>
      </w:r>
      <w:r w:rsidR="009115C2" w:rsidRPr="0019308F">
        <w:rPr>
          <w:rFonts w:eastAsia="Calibri"/>
        </w:rPr>
        <w:t>.</w:t>
      </w:r>
      <w:r w:rsidR="009115C2" w:rsidRPr="0019308F">
        <w:rPr>
          <w:rFonts w:eastAsia="Calibri"/>
        </w:rPr>
        <w:tab/>
      </w:r>
      <w:r w:rsidR="009115C2">
        <w:rPr>
          <w:rFonts w:eastAsia="Calibri"/>
        </w:rPr>
        <w:t xml:space="preserve">In the Rules of Procedure </w:t>
      </w:r>
      <w:r w:rsidR="0092695D">
        <w:rPr>
          <w:rFonts w:eastAsia="Calibri"/>
        </w:rPr>
        <w:t xml:space="preserve">in </w:t>
      </w:r>
      <w:r w:rsidR="002D3E96" w:rsidRPr="007C3AE3">
        <w:rPr>
          <w:rFonts w:eastAsia="Calibri"/>
        </w:rPr>
        <w:t>ECE/TRANS/WP.15/190/Add.1</w:t>
      </w:r>
      <w:r w:rsidR="00C15421">
        <w:t xml:space="preserve">, </w:t>
      </w:r>
      <w:r w:rsidR="009F76B4">
        <w:t>in Annex</w:t>
      </w:r>
      <w:r w:rsidR="00BD1F9A">
        <w:t xml:space="preserve"> (Rules concerning documents to be submitted to the Working Party on the Transport of Dangerous Goods)</w:t>
      </w:r>
      <w:r w:rsidR="005E6DC3">
        <w:t>, in paragraph 4, after the line for “</w:t>
      </w:r>
      <w:r w:rsidR="00737A87" w:rsidRPr="00737A87">
        <w:t>Enforceability</w:t>
      </w:r>
      <w:r w:rsidR="00737A87">
        <w:t>”, add the following new line:</w:t>
      </w:r>
    </w:p>
    <w:p w14:paraId="066A37E9" w14:textId="306CC68F" w:rsidR="00737A87" w:rsidRDefault="00737A87" w:rsidP="00BD1F9A">
      <w:pPr>
        <w:pStyle w:val="SingleTxtG"/>
        <w:rPr>
          <w:rFonts w:eastAsia="SimSun"/>
          <w:lang w:eastAsia="zh-CN"/>
        </w:rPr>
      </w:pPr>
      <w:r>
        <w:t>“</w:t>
      </w:r>
      <w:r w:rsidR="006E6E63" w:rsidRPr="006E6E63">
        <w:rPr>
          <w:rFonts w:eastAsia="SimSun"/>
          <w:lang w:eastAsia="zh-CN"/>
        </w:rPr>
        <w:t>Circular economy, sustainable use of natural resources and Sustainable Development Goals</w:t>
      </w:r>
      <w:r w:rsidR="003A6C05">
        <w:rPr>
          <w:rFonts w:eastAsia="SimSun"/>
          <w:lang w:eastAsia="zh-CN"/>
        </w:rPr>
        <w:t xml:space="preserve"> (SDGs)</w:t>
      </w:r>
      <w:r w:rsidR="00854435">
        <w:rPr>
          <w:rFonts w:eastAsia="SimSun"/>
          <w:lang w:eastAsia="zh-CN"/>
        </w:rPr>
        <w:t xml:space="preserve">: </w:t>
      </w:r>
      <w:r w:rsidR="00353ADF">
        <w:rPr>
          <w:rFonts w:eastAsia="SimSun"/>
          <w:lang w:eastAsia="zh-CN"/>
        </w:rPr>
        <w:t>Could</w:t>
      </w:r>
      <w:r w:rsidR="001E1392">
        <w:rPr>
          <w:rFonts w:eastAsia="SimSun"/>
          <w:lang w:eastAsia="zh-CN"/>
        </w:rPr>
        <w:t xml:space="preserve"> the proposed amendments have</w:t>
      </w:r>
      <w:r w:rsidR="00353ADF">
        <w:rPr>
          <w:rFonts w:eastAsia="SimSun"/>
          <w:lang w:eastAsia="zh-CN"/>
        </w:rPr>
        <w:t xml:space="preserve"> an impact on </w:t>
      </w:r>
      <w:r w:rsidR="006E6E63">
        <w:rPr>
          <w:rFonts w:eastAsia="SimSun"/>
          <w:lang w:eastAsia="zh-CN"/>
        </w:rPr>
        <w:t xml:space="preserve">the </w:t>
      </w:r>
      <w:r w:rsidR="00B859A9">
        <w:rPr>
          <w:rFonts w:eastAsia="SimSun"/>
          <w:lang w:eastAsia="zh-CN"/>
        </w:rPr>
        <w:t>transition to circular economy</w:t>
      </w:r>
      <w:r w:rsidR="00475178">
        <w:rPr>
          <w:rFonts w:eastAsia="SimSun"/>
          <w:lang w:eastAsia="zh-CN"/>
        </w:rPr>
        <w:t xml:space="preserve">? Could the proposed amendments </w:t>
      </w:r>
      <w:r w:rsidR="00191723">
        <w:rPr>
          <w:rFonts w:eastAsia="SimSun"/>
          <w:lang w:eastAsia="zh-CN"/>
        </w:rPr>
        <w:t xml:space="preserve">help to achieve </w:t>
      </w:r>
      <w:r w:rsidR="004D4DBC">
        <w:rPr>
          <w:rFonts w:eastAsia="SimSun"/>
          <w:lang w:eastAsia="zh-CN"/>
        </w:rPr>
        <w:t xml:space="preserve">sustainable management and use if natural resources? </w:t>
      </w:r>
      <w:r w:rsidR="00F667C0">
        <w:rPr>
          <w:rFonts w:eastAsia="SimSun"/>
          <w:lang w:eastAsia="zh-CN"/>
        </w:rPr>
        <w:t xml:space="preserve">How </w:t>
      </w:r>
      <w:proofErr w:type="gramStart"/>
      <w:r w:rsidR="00F667C0">
        <w:rPr>
          <w:rFonts w:eastAsia="SimSun"/>
          <w:lang w:eastAsia="zh-CN"/>
        </w:rPr>
        <w:t>the pro</w:t>
      </w:r>
      <w:r w:rsidR="00834798">
        <w:rPr>
          <w:rFonts w:eastAsia="SimSun"/>
          <w:lang w:eastAsia="zh-CN"/>
        </w:rPr>
        <w:t xml:space="preserve">posed amendments </w:t>
      </w:r>
      <w:r w:rsidR="00C21859">
        <w:rPr>
          <w:rFonts w:eastAsia="SimSun"/>
          <w:lang w:eastAsia="zh-CN"/>
        </w:rPr>
        <w:t>could</w:t>
      </w:r>
      <w:proofErr w:type="gramEnd"/>
      <w:r w:rsidR="00C21859">
        <w:rPr>
          <w:rFonts w:eastAsia="SimSun"/>
          <w:lang w:eastAsia="zh-CN"/>
        </w:rPr>
        <w:t xml:space="preserve"> contribute to achieve </w:t>
      </w:r>
      <w:r w:rsidR="004D4DBC">
        <w:rPr>
          <w:rFonts w:eastAsia="SimSun"/>
          <w:lang w:eastAsia="zh-CN"/>
        </w:rPr>
        <w:t xml:space="preserve">some of the SDGs and their related targets in accordance with the </w:t>
      </w:r>
      <w:r w:rsidR="004D4DBC" w:rsidRPr="0017181D">
        <w:rPr>
          <w:rFonts w:eastAsia="SimSun"/>
          <w:lang w:eastAsia="zh-CN"/>
        </w:rPr>
        <w:t>2030 Agenda for Sustainable Development</w:t>
      </w:r>
      <w:r w:rsidR="0017181D">
        <w:rPr>
          <w:rFonts w:eastAsia="SimSun"/>
          <w:lang w:eastAsia="zh-CN"/>
        </w:rPr>
        <w:t>?</w:t>
      </w:r>
      <w:r w:rsidR="004D4DBC">
        <w:rPr>
          <w:rFonts w:eastAsia="SimSun"/>
          <w:lang w:eastAsia="zh-CN"/>
        </w:rPr>
        <w:t>”</w:t>
      </w:r>
    </w:p>
    <w:p w14:paraId="4F6CE524" w14:textId="77777777" w:rsidR="006B4EC5" w:rsidRPr="0019308F" w:rsidRDefault="006B4EC5" w:rsidP="006B4EC5">
      <w:pPr>
        <w:pStyle w:val="H23G"/>
        <w:rPr>
          <w:rFonts w:eastAsia="Calibri"/>
        </w:rPr>
      </w:pPr>
      <w:r w:rsidRPr="0019308F">
        <w:rPr>
          <w:rFonts w:eastAsia="Calibri"/>
        </w:rPr>
        <w:tab/>
      </w:r>
      <w:r w:rsidRPr="0019308F">
        <w:rPr>
          <w:rFonts w:eastAsia="Calibri"/>
        </w:rPr>
        <w:tab/>
      </w:r>
      <w:r>
        <w:rPr>
          <w:rFonts w:eastAsia="Calibri"/>
        </w:rPr>
        <w:t>Informal documents</w:t>
      </w:r>
    </w:p>
    <w:p w14:paraId="1F9F84D3" w14:textId="31C5F011" w:rsidR="006B4EC5" w:rsidRPr="0019308F" w:rsidRDefault="007627D4" w:rsidP="006B4EC5">
      <w:pPr>
        <w:pStyle w:val="SingleTxtG"/>
        <w:rPr>
          <w:rFonts w:eastAsia="Calibri"/>
        </w:rPr>
      </w:pPr>
      <w:r>
        <w:rPr>
          <w:rFonts w:eastAsia="Calibri"/>
        </w:rPr>
        <w:t>21</w:t>
      </w:r>
      <w:r w:rsidR="006B4EC5" w:rsidRPr="0019308F">
        <w:rPr>
          <w:rFonts w:eastAsia="Calibri"/>
        </w:rPr>
        <w:t>.</w:t>
      </w:r>
      <w:r w:rsidR="006B4EC5" w:rsidRPr="0019308F">
        <w:rPr>
          <w:rFonts w:eastAsia="Calibri"/>
        </w:rPr>
        <w:tab/>
        <w:t>The rules for the submission of informal documents are as follows:</w:t>
      </w:r>
    </w:p>
    <w:p w14:paraId="45B757F6" w14:textId="4C87BF3F" w:rsidR="006B4EC5" w:rsidRPr="0019308F" w:rsidRDefault="006B4EC5" w:rsidP="006B4EC5">
      <w:pPr>
        <w:pStyle w:val="SingleTxtG"/>
        <w:rPr>
          <w:rFonts w:eastAsia="Calibri"/>
        </w:rPr>
      </w:pPr>
      <w:r w:rsidRPr="0019308F">
        <w:rPr>
          <w:rFonts w:eastAsia="Calibri"/>
        </w:rPr>
        <w:tab/>
        <w:t>Informal document may be submitted for consideration at a session provided:</w:t>
      </w:r>
    </w:p>
    <w:p w14:paraId="25B652E2" w14:textId="77777777" w:rsidR="006B4EC5" w:rsidRPr="0019308F" w:rsidRDefault="006B4EC5" w:rsidP="006B4EC5">
      <w:pPr>
        <w:pStyle w:val="SingleTxtG"/>
        <w:ind w:left="2268" w:hanging="567"/>
        <w:rPr>
          <w:rFonts w:eastAsia="Calibri"/>
        </w:rPr>
      </w:pPr>
      <w:r w:rsidRPr="0019308F">
        <w:rPr>
          <w:rFonts w:eastAsia="Calibri"/>
        </w:rPr>
        <w:t>(a)</w:t>
      </w:r>
      <w:r w:rsidRPr="0019308F">
        <w:rPr>
          <w:rFonts w:eastAsia="Calibri"/>
        </w:rPr>
        <w:tab/>
        <w:t>That they contain specific commentaries or additional information concerning a new document included in the provisional agenda and that it has not therefore been possible to submit them in time;</w:t>
      </w:r>
    </w:p>
    <w:p w14:paraId="5E966BC3" w14:textId="77777777" w:rsidR="006B4EC5" w:rsidRPr="0019308F" w:rsidRDefault="006B4EC5" w:rsidP="006B4EC5">
      <w:pPr>
        <w:pStyle w:val="SingleTxtG"/>
        <w:ind w:left="2268" w:hanging="567"/>
        <w:rPr>
          <w:rFonts w:eastAsia="Calibri"/>
        </w:rPr>
      </w:pPr>
      <w:r w:rsidRPr="0019308F">
        <w:rPr>
          <w:rFonts w:eastAsia="Calibri"/>
        </w:rPr>
        <w:t>(b)</w:t>
      </w:r>
      <w:r w:rsidRPr="0019308F">
        <w:rPr>
          <w:rFonts w:eastAsia="Calibri"/>
        </w:rPr>
        <w:tab/>
        <w:t>That they are submitted solely for information purposes and require no decision from the Working Party;</w:t>
      </w:r>
    </w:p>
    <w:p w14:paraId="4BB0F281" w14:textId="77777777" w:rsidR="006B4EC5" w:rsidRPr="0019308F" w:rsidRDefault="006B4EC5" w:rsidP="006B4EC5">
      <w:pPr>
        <w:pStyle w:val="SingleTxtG"/>
        <w:ind w:left="2268" w:hanging="567"/>
        <w:rPr>
          <w:rFonts w:eastAsia="Calibri"/>
        </w:rPr>
      </w:pPr>
      <w:r w:rsidRPr="0019308F">
        <w:rPr>
          <w:rFonts w:eastAsia="Calibri"/>
        </w:rPr>
        <w:t>(c)</w:t>
      </w:r>
      <w:r w:rsidRPr="0019308F">
        <w:rPr>
          <w:rFonts w:eastAsia="Calibri"/>
        </w:rPr>
        <w:tab/>
        <w:t xml:space="preserve">That they are intended to correct flagrant errors in existing texts; </w:t>
      </w:r>
    </w:p>
    <w:p w14:paraId="5E541075" w14:textId="77777777" w:rsidR="006B4EC5" w:rsidRPr="0019308F" w:rsidRDefault="006B4EC5" w:rsidP="006B4EC5">
      <w:pPr>
        <w:pStyle w:val="SingleTxtG"/>
        <w:ind w:left="2268" w:hanging="567"/>
        <w:rPr>
          <w:rFonts w:eastAsia="Calibri"/>
        </w:rPr>
      </w:pPr>
      <w:r w:rsidRPr="0019308F">
        <w:rPr>
          <w:rFonts w:eastAsia="Calibri"/>
        </w:rPr>
        <w:t>(d)</w:t>
      </w:r>
      <w:r w:rsidRPr="0019308F">
        <w:rPr>
          <w:rFonts w:eastAsia="Calibri"/>
        </w:rPr>
        <w:tab/>
        <w:t>That they are intended to clarify the interpretation of existing texts; or</w:t>
      </w:r>
    </w:p>
    <w:p w14:paraId="5A085149" w14:textId="77777777" w:rsidR="006B4EC5" w:rsidRPr="0019308F" w:rsidRDefault="006B4EC5" w:rsidP="006B4EC5">
      <w:pPr>
        <w:pStyle w:val="SingleTxtG"/>
        <w:ind w:left="2268" w:hanging="567"/>
        <w:rPr>
          <w:rFonts w:eastAsia="Calibri"/>
        </w:rPr>
      </w:pPr>
      <w:r w:rsidRPr="0019308F">
        <w:rPr>
          <w:rFonts w:eastAsia="Calibri"/>
        </w:rPr>
        <w:t>(e)</w:t>
      </w:r>
      <w:r w:rsidRPr="0019308F">
        <w:rPr>
          <w:rFonts w:eastAsia="Calibri"/>
        </w:rPr>
        <w:tab/>
        <w:t>That they contain the report of an informal working group mentioned in the provisional agenda.</w:t>
      </w:r>
    </w:p>
    <w:p w14:paraId="0C23563C" w14:textId="0F886372" w:rsidR="006B4EC5" w:rsidRPr="0019308F" w:rsidRDefault="007627D4" w:rsidP="006B4EC5">
      <w:pPr>
        <w:pStyle w:val="SingleTxtG"/>
        <w:rPr>
          <w:rFonts w:eastAsia="Calibri"/>
        </w:rPr>
      </w:pPr>
      <w:r>
        <w:rPr>
          <w:rFonts w:eastAsia="Calibri"/>
        </w:rPr>
        <w:t>22</w:t>
      </w:r>
      <w:r w:rsidR="006B4EC5" w:rsidRPr="0019308F">
        <w:rPr>
          <w:rFonts w:eastAsia="Calibri"/>
        </w:rPr>
        <w:t>.</w:t>
      </w:r>
      <w:r w:rsidR="006B4EC5" w:rsidRPr="0019308F">
        <w:rPr>
          <w:rFonts w:eastAsia="Calibri"/>
        </w:rPr>
        <w:tab/>
        <w:t>Since biennium 2012</w:t>
      </w:r>
      <w:r w:rsidR="006B4EC5">
        <w:rPr>
          <w:rFonts w:eastAsia="Calibri"/>
        </w:rPr>
        <w:t>-2013</w:t>
      </w:r>
      <w:r w:rsidR="006B4EC5" w:rsidRPr="0019308F">
        <w:rPr>
          <w:rFonts w:eastAsia="Calibri"/>
        </w:rPr>
        <w:t xml:space="preserve">, the number of documents to be considered per session has remained low and it appears that decisions on amendments or interpretation issues are </w:t>
      </w:r>
      <w:r>
        <w:rPr>
          <w:rFonts w:eastAsia="Calibri"/>
        </w:rPr>
        <w:t>sometimes</w:t>
      </w:r>
      <w:r w:rsidR="006B4EC5" w:rsidRPr="0019308F">
        <w:rPr>
          <w:rFonts w:eastAsia="Calibri"/>
        </w:rPr>
        <w:t xml:space="preserve"> based on informal documents. </w:t>
      </w:r>
    </w:p>
    <w:p w14:paraId="42AFE0D0" w14:textId="47465F8D" w:rsidR="006B4EC5" w:rsidRDefault="00792A8B" w:rsidP="006B4EC5">
      <w:pPr>
        <w:pStyle w:val="SingleTxtG"/>
        <w:rPr>
          <w:rFonts w:eastAsia="Calibri"/>
        </w:rPr>
      </w:pPr>
      <w:r>
        <w:rPr>
          <w:rFonts w:eastAsia="Calibri"/>
        </w:rPr>
        <w:t>23</w:t>
      </w:r>
      <w:r w:rsidR="006B4EC5" w:rsidRPr="0019308F">
        <w:rPr>
          <w:rFonts w:eastAsia="Calibri"/>
        </w:rPr>
        <w:t>.</w:t>
      </w:r>
      <w:r w:rsidR="006B4EC5" w:rsidRPr="0019308F">
        <w:rPr>
          <w:rFonts w:eastAsia="Calibri"/>
        </w:rPr>
        <w:tab/>
        <w:t xml:space="preserve">This makes it difficult for the secretariat and the </w:t>
      </w:r>
      <w:r w:rsidR="006B4EC5">
        <w:rPr>
          <w:rFonts w:eastAsia="Calibri"/>
        </w:rPr>
        <w:t>Bureau</w:t>
      </w:r>
      <w:r w:rsidR="006B4EC5" w:rsidRPr="0019308F">
        <w:rPr>
          <w:rFonts w:eastAsia="Calibri"/>
        </w:rPr>
        <w:t xml:space="preserve"> to plan the sessions and this could have an impact on the budget allocated to the Working Party in the future since the number of parliamentary documents issued is used by Member States to evaluate programme performance of the ECE subprogrammes. </w:t>
      </w:r>
    </w:p>
    <w:p w14:paraId="70505B0F" w14:textId="744E6A27" w:rsidR="006B4EC5" w:rsidRPr="0019308F" w:rsidRDefault="00792A8B" w:rsidP="006B4EC5">
      <w:pPr>
        <w:pStyle w:val="SingleTxtG"/>
        <w:rPr>
          <w:rFonts w:eastAsia="Calibri"/>
        </w:rPr>
      </w:pPr>
      <w:r>
        <w:rPr>
          <w:rFonts w:eastAsia="Calibri"/>
        </w:rPr>
        <w:lastRenderedPageBreak/>
        <w:t>24</w:t>
      </w:r>
      <w:r w:rsidR="006B4EC5">
        <w:rPr>
          <w:rFonts w:eastAsia="Calibri"/>
        </w:rPr>
        <w:t>.</w:t>
      </w:r>
      <w:r w:rsidR="006B4EC5">
        <w:rPr>
          <w:rFonts w:eastAsia="Calibri"/>
        </w:rPr>
        <w:tab/>
      </w:r>
      <w:r w:rsidR="006B4EC5" w:rsidRPr="0019308F">
        <w:rPr>
          <w:rFonts w:eastAsia="Calibri"/>
        </w:rPr>
        <w:t xml:space="preserve">Furthermore, most informal documents are available in English only </w:t>
      </w:r>
      <w:r w:rsidR="006B4EC5" w:rsidRPr="0019308F">
        <w:t xml:space="preserve">which does not facilitate inclusive deliberations. </w:t>
      </w:r>
      <w:r w:rsidR="006B4EC5">
        <w:t>They are also often submitted late which does not allow participants to conduct national consultations before discussion.</w:t>
      </w:r>
    </w:p>
    <w:p w14:paraId="33BCE57F" w14:textId="46A442E9" w:rsidR="00792A8B" w:rsidRPr="0019308F" w:rsidRDefault="00792A8B" w:rsidP="00792A8B">
      <w:pPr>
        <w:pStyle w:val="H23G"/>
        <w:rPr>
          <w:rFonts w:eastAsia="Calibri"/>
        </w:rPr>
      </w:pPr>
      <w:r w:rsidRPr="0019308F">
        <w:rPr>
          <w:rFonts w:eastAsia="Calibri"/>
        </w:rPr>
        <w:tab/>
      </w:r>
      <w:r w:rsidRPr="0019308F">
        <w:rPr>
          <w:rFonts w:eastAsia="Calibri"/>
        </w:rPr>
        <w:tab/>
      </w:r>
      <w:r>
        <w:rPr>
          <w:rFonts w:eastAsia="Calibri"/>
        </w:rPr>
        <w:t>Proposal 4</w:t>
      </w:r>
    </w:p>
    <w:p w14:paraId="6841E5EA" w14:textId="5FDB85C8" w:rsidR="006B4EC5" w:rsidRDefault="006B4EC5" w:rsidP="00792A8B">
      <w:pPr>
        <w:pStyle w:val="SingleTxtG"/>
        <w:rPr>
          <w:rFonts w:eastAsia="Calibri"/>
        </w:rPr>
      </w:pPr>
      <w:r>
        <w:rPr>
          <w:rFonts w:eastAsia="Calibri"/>
        </w:rPr>
        <w:t>2</w:t>
      </w:r>
      <w:r w:rsidR="00E2000C">
        <w:rPr>
          <w:rFonts w:eastAsia="Calibri"/>
        </w:rPr>
        <w:t>5</w:t>
      </w:r>
      <w:r w:rsidRPr="0019308F">
        <w:rPr>
          <w:rFonts w:eastAsia="Calibri"/>
        </w:rPr>
        <w:t>.</w:t>
      </w:r>
      <w:r w:rsidRPr="0019308F">
        <w:rPr>
          <w:rFonts w:eastAsia="Calibri"/>
        </w:rPr>
        <w:tab/>
        <w:t xml:space="preserve">The Working Party may wish to </w:t>
      </w:r>
      <w:r w:rsidR="00792A8B">
        <w:rPr>
          <w:rFonts w:eastAsia="Calibri"/>
        </w:rPr>
        <w:t>re</w:t>
      </w:r>
      <w:r w:rsidRPr="0019308F">
        <w:rPr>
          <w:rFonts w:eastAsia="Calibri"/>
        </w:rPr>
        <w:t xml:space="preserve">confirm the rules for the submission of informal documents in </w:t>
      </w:r>
      <w:r w:rsidRPr="007C3AE3">
        <w:rPr>
          <w:rFonts w:eastAsia="Calibri"/>
        </w:rPr>
        <w:t>ECE/TRANS/WP.15/190/Add.1</w:t>
      </w:r>
      <w:r w:rsidRPr="0019308F">
        <w:rPr>
          <w:rFonts w:eastAsia="Calibri"/>
        </w:rPr>
        <w:t xml:space="preserve"> and invite delegations to favour submissions in official documents whenever possible.</w:t>
      </w:r>
    </w:p>
    <w:p w14:paraId="5DC49E47" w14:textId="5AF8F1CB" w:rsidR="006B4EC5" w:rsidRPr="006B4EC5" w:rsidRDefault="006B4EC5" w:rsidP="006B4EC5">
      <w:pPr>
        <w:spacing w:before="240"/>
        <w:jc w:val="center"/>
        <w:rPr>
          <w:u w:val="single"/>
        </w:rPr>
      </w:pPr>
      <w:r>
        <w:rPr>
          <w:u w:val="single"/>
        </w:rPr>
        <w:tab/>
      </w:r>
      <w:r>
        <w:rPr>
          <w:u w:val="single"/>
        </w:rPr>
        <w:tab/>
      </w:r>
      <w:r>
        <w:rPr>
          <w:u w:val="single"/>
        </w:rPr>
        <w:tab/>
      </w:r>
    </w:p>
    <w:sectPr w:rsidR="006B4EC5" w:rsidRPr="006B4EC5" w:rsidSect="001B6207">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07D8" w14:textId="77777777" w:rsidR="00414C3D" w:rsidRDefault="00414C3D"/>
  </w:endnote>
  <w:endnote w:type="continuationSeparator" w:id="0">
    <w:p w14:paraId="5D01D146" w14:textId="77777777" w:rsidR="00414C3D" w:rsidRDefault="00414C3D"/>
  </w:endnote>
  <w:endnote w:type="continuationNotice" w:id="1">
    <w:p w14:paraId="37D0EA3F" w14:textId="77777777" w:rsidR="00414C3D" w:rsidRDefault="00414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116C" w14:textId="61D7D0EC" w:rsidR="001B6207" w:rsidRPr="001B6207" w:rsidRDefault="001B6207" w:rsidP="001B6207">
    <w:pPr>
      <w:pStyle w:val="Footer"/>
      <w:tabs>
        <w:tab w:val="right" w:pos="9638"/>
      </w:tabs>
      <w:rPr>
        <w:sz w:val="18"/>
      </w:rPr>
    </w:pPr>
    <w:r w:rsidRPr="001B6207">
      <w:rPr>
        <w:b/>
        <w:sz w:val="18"/>
      </w:rPr>
      <w:fldChar w:fldCharType="begin"/>
    </w:r>
    <w:r w:rsidRPr="001B6207">
      <w:rPr>
        <w:b/>
        <w:sz w:val="18"/>
      </w:rPr>
      <w:instrText xml:space="preserve"> PAGE  \* MERGEFORMAT </w:instrText>
    </w:r>
    <w:r w:rsidRPr="001B6207">
      <w:rPr>
        <w:b/>
        <w:sz w:val="18"/>
      </w:rPr>
      <w:fldChar w:fldCharType="separate"/>
    </w:r>
    <w:r w:rsidRPr="001B6207">
      <w:rPr>
        <w:b/>
        <w:noProof/>
        <w:sz w:val="18"/>
      </w:rPr>
      <w:t>2</w:t>
    </w:r>
    <w:r w:rsidRPr="001B620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36A1" w14:textId="1F98AB8E" w:rsidR="001B6207" w:rsidRPr="001B6207" w:rsidRDefault="001B6207" w:rsidP="001B6207">
    <w:pPr>
      <w:pStyle w:val="Footer"/>
      <w:tabs>
        <w:tab w:val="right" w:pos="9638"/>
      </w:tabs>
      <w:rPr>
        <w:b/>
        <w:sz w:val="18"/>
      </w:rPr>
    </w:pPr>
    <w:r>
      <w:tab/>
    </w:r>
    <w:r w:rsidRPr="001B6207">
      <w:rPr>
        <w:b/>
        <w:sz w:val="18"/>
      </w:rPr>
      <w:fldChar w:fldCharType="begin"/>
    </w:r>
    <w:r w:rsidRPr="001B6207">
      <w:rPr>
        <w:b/>
        <w:sz w:val="18"/>
      </w:rPr>
      <w:instrText xml:space="preserve"> PAGE  \* MERGEFORMAT </w:instrText>
    </w:r>
    <w:r w:rsidRPr="001B6207">
      <w:rPr>
        <w:b/>
        <w:sz w:val="18"/>
      </w:rPr>
      <w:fldChar w:fldCharType="separate"/>
    </w:r>
    <w:r w:rsidRPr="001B6207">
      <w:rPr>
        <w:b/>
        <w:noProof/>
        <w:sz w:val="18"/>
      </w:rPr>
      <w:t>3</w:t>
    </w:r>
    <w:r w:rsidRPr="001B620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2DCD" w14:textId="1C955274" w:rsidR="0035223F" w:rsidRDefault="00B67823" w:rsidP="00B67823">
    <w:pPr>
      <w:pStyle w:val="Footer"/>
      <w:rPr>
        <w:sz w:val="20"/>
      </w:rPr>
    </w:pPr>
    <w:r w:rsidRPr="00B67823">
      <w:rPr>
        <w:noProof/>
        <w:sz w:val="20"/>
        <w:lang w:val="en-US"/>
      </w:rPr>
      <w:drawing>
        <wp:anchor distT="0" distB="0" distL="114300" distR="114300" simplePos="0" relativeHeight="251659776" behindDoc="0" locked="1" layoutInCell="1" allowOverlap="1" wp14:anchorId="27962B38" wp14:editId="4704C37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0AB0947" w14:textId="1F6748D6" w:rsidR="00B67823" w:rsidRPr="00B67823" w:rsidRDefault="00B67823" w:rsidP="00B67823">
    <w:pPr>
      <w:pStyle w:val="Footer"/>
      <w:ind w:right="1134"/>
      <w:rPr>
        <w:sz w:val="20"/>
      </w:rPr>
    </w:pPr>
    <w:r>
      <w:rPr>
        <w:sz w:val="20"/>
      </w:rPr>
      <w:t>GE.23-15923(E)</w:t>
    </w:r>
    <w:r>
      <w:rPr>
        <w:noProof/>
        <w:sz w:val="20"/>
      </w:rPr>
      <w:drawing>
        <wp:anchor distT="0" distB="0" distL="114300" distR="114300" simplePos="0" relativeHeight="251660800" behindDoc="0" locked="0" layoutInCell="1" allowOverlap="1" wp14:anchorId="249E6212" wp14:editId="3DA03D58">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7705" w14:textId="77777777" w:rsidR="00414C3D" w:rsidRPr="000B175B" w:rsidRDefault="00414C3D" w:rsidP="000B175B">
      <w:pPr>
        <w:tabs>
          <w:tab w:val="right" w:pos="2155"/>
        </w:tabs>
        <w:spacing w:after="80"/>
        <w:ind w:left="680"/>
        <w:rPr>
          <w:u w:val="single"/>
        </w:rPr>
      </w:pPr>
      <w:r>
        <w:rPr>
          <w:u w:val="single"/>
        </w:rPr>
        <w:tab/>
      </w:r>
    </w:p>
  </w:footnote>
  <w:footnote w:type="continuationSeparator" w:id="0">
    <w:p w14:paraId="0109810B" w14:textId="77777777" w:rsidR="00414C3D" w:rsidRPr="00FC68B7" w:rsidRDefault="00414C3D" w:rsidP="00FC68B7">
      <w:pPr>
        <w:tabs>
          <w:tab w:val="left" w:pos="2155"/>
        </w:tabs>
        <w:spacing w:after="80"/>
        <w:ind w:left="680"/>
        <w:rPr>
          <w:u w:val="single"/>
        </w:rPr>
      </w:pPr>
      <w:r>
        <w:rPr>
          <w:u w:val="single"/>
        </w:rPr>
        <w:tab/>
      </w:r>
    </w:p>
  </w:footnote>
  <w:footnote w:type="continuationNotice" w:id="1">
    <w:p w14:paraId="22E5A127" w14:textId="77777777" w:rsidR="00414C3D" w:rsidRDefault="00414C3D"/>
  </w:footnote>
  <w:footnote w:id="2">
    <w:p w14:paraId="2C1FE013" w14:textId="77777777" w:rsidR="00C438E7" w:rsidRPr="00AD4A1B" w:rsidRDefault="00C438E7" w:rsidP="00C438E7">
      <w:pPr>
        <w:pStyle w:val="FootnoteText"/>
      </w:pPr>
      <w:r>
        <w:rPr>
          <w:rStyle w:val="FootnoteReference"/>
        </w:rPr>
        <w:tab/>
      </w:r>
      <w:r w:rsidRPr="00154B47">
        <w:rPr>
          <w:rStyle w:val="FootnoteReference"/>
          <w:sz w:val="20"/>
          <w:vertAlign w:val="baseline"/>
        </w:rPr>
        <w:t>*</w:t>
      </w:r>
      <w:r>
        <w:rPr>
          <w:rStyle w:val="FootnoteReference"/>
          <w:sz w:val="20"/>
          <w:vertAlign w:val="baseline"/>
        </w:rPr>
        <w:tab/>
      </w:r>
      <w:r w:rsidRPr="00655CB8">
        <w:t>A/77/6 (Sect. 20), table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D26B" w14:textId="4F46B4BD" w:rsidR="001B6207" w:rsidRPr="001B6207" w:rsidRDefault="00B67823">
    <w:pPr>
      <w:pStyle w:val="Header"/>
    </w:pPr>
    <w:r>
      <w:fldChar w:fldCharType="begin"/>
    </w:r>
    <w:r>
      <w:instrText xml:space="preserve"> TITLE  \* MERGEFORMAT </w:instrText>
    </w:r>
    <w:r>
      <w:fldChar w:fldCharType="separate"/>
    </w:r>
    <w:r w:rsidR="001B6207">
      <w:t>ECE/TRANS/WP.15/2023/15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3331" w14:textId="1F441830" w:rsidR="001B6207" w:rsidRPr="001B6207" w:rsidRDefault="00B67823" w:rsidP="001B6207">
    <w:pPr>
      <w:pStyle w:val="Header"/>
      <w:jc w:val="right"/>
    </w:pPr>
    <w:r>
      <w:fldChar w:fldCharType="begin"/>
    </w:r>
    <w:r>
      <w:instrText xml:space="preserve"> TITLE  \* MERGEFORMAT </w:instrText>
    </w:r>
    <w:r>
      <w:fldChar w:fldCharType="separate"/>
    </w:r>
    <w:r w:rsidR="001B6207">
      <w:t>ECE/TRANS/WP.15/2023/15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70074403">
    <w:abstractNumId w:val="1"/>
  </w:num>
  <w:num w:numId="2" w16cid:durableId="633410968">
    <w:abstractNumId w:val="0"/>
  </w:num>
  <w:num w:numId="3" w16cid:durableId="1917937845">
    <w:abstractNumId w:val="2"/>
  </w:num>
  <w:num w:numId="4" w16cid:durableId="1347095384">
    <w:abstractNumId w:val="3"/>
  </w:num>
  <w:num w:numId="5" w16cid:durableId="221790594">
    <w:abstractNumId w:val="8"/>
  </w:num>
  <w:num w:numId="6" w16cid:durableId="415637945">
    <w:abstractNumId w:val="9"/>
  </w:num>
  <w:num w:numId="7" w16cid:durableId="916594017">
    <w:abstractNumId w:val="7"/>
  </w:num>
  <w:num w:numId="8" w16cid:durableId="1616208600">
    <w:abstractNumId w:val="6"/>
  </w:num>
  <w:num w:numId="9" w16cid:durableId="616063202">
    <w:abstractNumId w:val="5"/>
  </w:num>
  <w:num w:numId="10" w16cid:durableId="2067604762">
    <w:abstractNumId w:val="4"/>
  </w:num>
  <w:num w:numId="11" w16cid:durableId="1879275902">
    <w:abstractNumId w:val="15"/>
  </w:num>
  <w:num w:numId="12" w16cid:durableId="590896338">
    <w:abstractNumId w:val="14"/>
  </w:num>
  <w:num w:numId="13" w16cid:durableId="290402087">
    <w:abstractNumId w:val="10"/>
  </w:num>
  <w:num w:numId="14" w16cid:durableId="1736587813">
    <w:abstractNumId w:val="12"/>
  </w:num>
  <w:num w:numId="15" w16cid:durableId="441656633">
    <w:abstractNumId w:val="16"/>
  </w:num>
  <w:num w:numId="16" w16cid:durableId="1391071506">
    <w:abstractNumId w:val="13"/>
  </w:num>
  <w:num w:numId="17" w16cid:durableId="766586376">
    <w:abstractNumId w:val="17"/>
  </w:num>
  <w:num w:numId="18" w16cid:durableId="671251636">
    <w:abstractNumId w:val="18"/>
  </w:num>
  <w:num w:numId="19" w16cid:durableId="1241451049">
    <w:abstractNumId w:val="11"/>
  </w:num>
  <w:num w:numId="20" w16cid:durableId="193732818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7"/>
    <w:rsid w:val="00002A7D"/>
    <w:rsid w:val="000038A8"/>
    <w:rsid w:val="00006790"/>
    <w:rsid w:val="00027624"/>
    <w:rsid w:val="00044EDD"/>
    <w:rsid w:val="00050F6B"/>
    <w:rsid w:val="000678CD"/>
    <w:rsid w:val="00072C8C"/>
    <w:rsid w:val="00081CE0"/>
    <w:rsid w:val="00084D30"/>
    <w:rsid w:val="00090320"/>
    <w:rsid w:val="000931C0"/>
    <w:rsid w:val="0009732C"/>
    <w:rsid w:val="000A01F9"/>
    <w:rsid w:val="000A2E09"/>
    <w:rsid w:val="000B175B"/>
    <w:rsid w:val="000B3A0F"/>
    <w:rsid w:val="000E0415"/>
    <w:rsid w:val="000E11B0"/>
    <w:rsid w:val="000F7715"/>
    <w:rsid w:val="00156B99"/>
    <w:rsid w:val="00166124"/>
    <w:rsid w:val="0017181D"/>
    <w:rsid w:val="00184DDA"/>
    <w:rsid w:val="001900CD"/>
    <w:rsid w:val="00191723"/>
    <w:rsid w:val="001A0452"/>
    <w:rsid w:val="001B4B04"/>
    <w:rsid w:val="001B5875"/>
    <w:rsid w:val="001B6207"/>
    <w:rsid w:val="001C4B9C"/>
    <w:rsid w:val="001C6663"/>
    <w:rsid w:val="001C7895"/>
    <w:rsid w:val="001D26DF"/>
    <w:rsid w:val="001E1392"/>
    <w:rsid w:val="001E555D"/>
    <w:rsid w:val="001F1599"/>
    <w:rsid w:val="001F19C4"/>
    <w:rsid w:val="00203F6E"/>
    <w:rsid w:val="002043F0"/>
    <w:rsid w:val="00211E0B"/>
    <w:rsid w:val="00223E9A"/>
    <w:rsid w:val="00232575"/>
    <w:rsid w:val="00247258"/>
    <w:rsid w:val="00257CAC"/>
    <w:rsid w:val="00264441"/>
    <w:rsid w:val="0027237A"/>
    <w:rsid w:val="002974E9"/>
    <w:rsid w:val="002A7F94"/>
    <w:rsid w:val="002B109A"/>
    <w:rsid w:val="002C6D45"/>
    <w:rsid w:val="002D3E96"/>
    <w:rsid w:val="002D6E53"/>
    <w:rsid w:val="002F046D"/>
    <w:rsid w:val="002F3023"/>
    <w:rsid w:val="00301764"/>
    <w:rsid w:val="003229D8"/>
    <w:rsid w:val="00336C97"/>
    <w:rsid w:val="00337F88"/>
    <w:rsid w:val="00342432"/>
    <w:rsid w:val="00345987"/>
    <w:rsid w:val="0035223F"/>
    <w:rsid w:val="00352D4B"/>
    <w:rsid w:val="00353ADF"/>
    <w:rsid w:val="0035638C"/>
    <w:rsid w:val="003A46BB"/>
    <w:rsid w:val="003A4EC7"/>
    <w:rsid w:val="003A6C05"/>
    <w:rsid w:val="003A7295"/>
    <w:rsid w:val="003B1F60"/>
    <w:rsid w:val="003C2CC4"/>
    <w:rsid w:val="003D4B23"/>
    <w:rsid w:val="003E278A"/>
    <w:rsid w:val="00413520"/>
    <w:rsid w:val="00414C3D"/>
    <w:rsid w:val="00430D57"/>
    <w:rsid w:val="004325CB"/>
    <w:rsid w:val="00440A07"/>
    <w:rsid w:val="00462880"/>
    <w:rsid w:val="00475178"/>
    <w:rsid w:val="00476F24"/>
    <w:rsid w:val="004B66D2"/>
    <w:rsid w:val="004C55B0"/>
    <w:rsid w:val="004D4DBC"/>
    <w:rsid w:val="004F6BA0"/>
    <w:rsid w:val="00503BEA"/>
    <w:rsid w:val="00533616"/>
    <w:rsid w:val="00535ABA"/>
    <w:rsid w:val="0053768B"/>
    <w:rsid w:val="005420F2"/>
    <w:rsid w:val="0054285C"/>
    <w:rsid w:val="0055155D"/>
    <w:rsid w:val="00584173"/>
    <w:rsid w:val="00595520"/>
    <w:rsid w:val="00595786"/>
    <w:rsid w:val="005A44B9"/>
    <w:rsid w:val="005A7390"/>
    <w:rsid w:val="005B1BA0"/>
    <w:rsid w:val="005B3DB3"/>
    <w:rsid w:val="005D15CA"/>
    <w:rsid w:val="005D7969"/>
    <w:rsid w:val="005E6DC3"/>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4EC5"/>
    <w:rsid w:val="006B67D9"/>
    <w:rsid w:val="006C0801"/>
    <w:rsid w:val="006C34C7"/>
    <w:rsid w:val="006C5535"/>
    <w:rsid w:val="006D0589"/>
    <w:rsid w:val="006E564B"/>
    <w:rsid w:val="006E6E63"/>
    <w:rsid w:val="006E7154"/>
    <w:rsid w:val="007003CD"/>
    <w:rsid w:val="0070701E"/>
    <w:rsid w:val="007173E0"/>
    <w:rsid w:val="0072632A"/>
    <w:rsid w:val="007358E8"/>
    <w:rsid w:val="00736ECE"/>
    <w:rsid w:val="00737A87"/>
    <w:rsid w:val="0074533B"/>
    <w:rsid w:val="00755F7B"/>
    <w:rsid w:val="007627D4"/>
    <w:rsid w:val="007643BC"/>
    <w:rsid w:val="00777E9B"/>
    <w:rsid w:val="007801C5"/>
    <w:rsid w:val="00780C68"/>
    <w:rsid w:val="00792A8B"/>
    <w:rsid w:val="007959FE"/>
    <w:rsid w:val="007A0CF1"/>
    <w:rsid w:val="007A478E"/>
    <w:rsid w:val="007B6BA5"/>
    <w:rsid w:val="007C3390"/>
    <w:rsid w:val="007C3AE3"/>
    <w:rsid w:val="007C42D8"/>
    <w:rsid w:val="007C4F4B"/>
    <w:rsid w:val="007D0387"/>
    <w:rsid w:val="007D6CA2"/>
    <w:rsid w:val="007D7362"/>
    <w:rsid w:val="007F5CE2"/>
    <w:rsid w:val="007F6611"/>
    <w:rsid w:val="00800522"/>
    <w:rsid w:val="00802B61"/>
    <w:rsid w:val="0080400C"/>
    <w:rsid w:val="00810BAC"/>
    <w:rsid w:val="0081124B"/>
    <w:rsid w:val="008175E9"/>
    <w:rsid w:val="008242D7"/>
    <w:rsid w:val="0082577B"/>
    <w:rsid w:val="008272DD"/>
    <w:rsid w:val="00834798"/>
    <w:rsid w:val="00847D83"/>
    <w:rsid w:val="00854435"/>
    <w:rsid w:val="00866893"/>
    <w:rsid w:val="00866F02"/>
    <w:rsid w:val="00867D18"/>
    <w:rsid w:val="00871F9A"/>
    <w:rsid w:val="00871FD5"/>
    <w:rsid w:val="0088172E"/>
    <w:rsid w:val="00881EFA"/>
    <w:rsid w:val="008879CB"/>
    <w:rsid w:val="008979B1"/>
    <w:rsid w:val="008A6B25"/>
    <w:rsid w:val="008A6C4F"/>
    <w:rsid w:val="008A6F9A"/>
    <w:rsid w:val="008A77AE"/>
    <w:rsid w:val="008B389E"/>
    <w:rsid w:val="008D045E"/>
    <w:rsid w:val="008D3F25"/>
    <w:rsid w:val="008D4D82"/>
    <w:rsid w:val="008E0E46"/>
    <w:rsid w:val="008E7116"/>
    <w:rsid w:val="008F143B"/>
    <w:rsid w:val="008F3882"/>
    <w:rsid w:val="008F4B7C"/>
    <w:rsid w:val="008F713A"/>
    <w:rsid w:val="009115C2"/>
    <w:rsid w:val="0092695D"/>
    <w:rsid w:val="00926E47"/>
    <w:rsid w:val="00947162"/>
    <w:rsid w:val="009610D0"/>
    <w:rsid w:val="0096375C"/>
    <w:rsid w:val="009662E6"/>
    <w:rsid w:val="0097095E"/>
    <w:rsid w:val="0098592B"/>
    <w:rsid w:val="00985FC4"/>
    <w:rsid w:val="00990766"/>
    <w:rsid w:val="00990E0F"/>
    <w:rsid w:val="00991261"/>
    <w:rsid w:val="009964C4"/>
    <w:rsid w:val="009A7B81"/>
    <w:rsid w:val="009D01C0"/>
    <w:rsid w:val="009D6926"/>
    <w:rsid w:val="009D6A08"/>
    <w:rsid w:val="009E0A16"/>
    <w:rsid w:val="009E6CB7"/>
    <w:rsid w:val="009E7970"/>
    <w:rsid w:val="009F2EAC"/>
    <w:rsid w:val="009F57E3"/>
    <w:rsid w:val="009F76B4"/>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23D55"/>
    <w:rsid w:val="00B30179"/>
    <w:rsid w:val="00B33FC7"/>
    <w:rsid w:val="00B37B15"/>
    <w:rsid w:val="00B45C02"/>
    <w:rsid w:val="00B60E98"/>
    <w:rsid w:val="00B67823"/>
    <w:rsid w:val="00B70B63"/>
    <w:rsid w:val="00B72A1E"/>
    <w:rsid w:val="00B81E12"/>
    <w:rsid w:val="00B859A9"/>
    <w:rsid w:val="00B8691A"/>
    <w:rsid w:val="00BA339B"/>
    <w:rsid w:val="00BB0D4B"/>
    <w:rsid w:val="00BB23CC"/>
    <w:rsid w:val="00BB2475"/>
    <w:rsid w:val="00BC1E7E"/>
    <w:rsid w:val="00BC74E9"/>
    <w:rsid w:val="00BD1882"/>
    <w:rsid w:val="00BD1F9A"/>
    <w:rsid w:val="00BE36A9"/>
    <w:rsid w:val="00BE618E"/>
    <w:rsid w:val="00BE7BEC"/>
    <w:rsid w:val="00BF0A5A"/>
    <w:rsid w:val="00BF0E63"/>
    <w:rsid w:val="00BF12A3"/>
    <w:rsid w:val="00BF16D7"/>
    <w:rsid w:val="00BF2373"/>
    <w:rsid w:val="00BF7826"/>
    <w:rsid w:val="00C0294F"/>
    <w:rsid w:val="00C044E2"/>
    <w:rsid w:val="00C048CB"/>
    <w:rsid w:val="00C066F3"/>
    <w:rsid w:val="00C15421"/>
    <w:rsid w:val="00C21859"/>
    <w:rsid w:val="00C408B7"/>
    <w:rsid w:val="00C411EB"/>
    <w:rsid w:val="00C438E7"/>
    <w:rsid w:val="00C463DD"/>
    <w:rsid w:val="00C61CA7"/>
    <w:rsid w:val="00C62A4C"/>
    <w:rsid w:val="00C745C3"/>
    <w:rsid w:val="00C75423"/>
    <w:rsid w:val="00C978F5"/>
    <w:rsid w:val="00CA24A4"/>
    <w:rsid w:val="00CB348D"/>
    <w:rsid w:val="00CD46F5"/>
    <w:rsid w:val="00CE4A8F"/>
    <w:rsid w:val="00CE78F6"/>
    <w:rsid w:val="00CF071D"/>
    <w:rsid w:val="00D0123D"/>
    <w:rsid w:val="00D15B04"/>
    <w:rsid w:val="00D2031B"/>
    <w:rsid w:val="00D25FE2"/>
    <w:rsid w:val="00D363F4"/>
    <w:rsid w:val="00D368BE"/>
    <w:rsid w:val="00D37DA9"/>
    <w:rsid w:val="00D406A7"/>
    <w:rsid w:val="00D40765"/>
    <w:rsid w:val="00D40EBC"/>
    <w:rsid w:val="00D43252"/>
    <w:rsid w:val="00D44D86"/>
    <w:rsid w:val="00D50B7D"/>
    <w:rsid w:val="00D52012"/>
    <w:rsid w:val="00D65AC3"/>
    <w:rsid w:val="00D704E5"/>
    <w:rsid w:val="00D72727"/>
    <w:rsid w:val="00D978C6"/>
    <w:rsid w:val="00DA0956"/>
    <w:rsid w:val="00DA357F"/>
    <w:rsid w:val="00DA3E12"/>
    <w:rsid w:val="00DB6908"/>
    <w:rsid w:val="00DC18AD"/>
    <w:rsid w:val="00DF7CAE"/>
    <w:rsid w:val="00E2000C"/>
    <w:rsid w:val="00E423C0"/>
    <w:rsid w:val="00E6414C"/>
    <w:rsid w:val="00E7260F"/>
    <w:rsid w:val="00E86DBE"/>
    <w:rsid w:val="00E8702D"/>
    <w:rsid w:val="00E87930"/>
    <w:rsid w:val="00E905F4"/>
    <w:rsid w:val="00E916A9"/>
    <w:rsid w:val="00E916DE"/>
    <w:rsid w:val="00E925AD"/>
    <w:rsid w:val="00E96630"/>
    <w:rsid w:val="00ED18DC"/>
    <w:rsid w:val="00ED6201"/>
    <w:rsid w:val="00ED7A2A"/>
    <w:rsid w:val="00EF1D7F"/>
    <w:rsid w:val="00F0137E"/>
    <w:rsid w:val="00F21786"/>
    <w:rsid w:val="00F3742B"/>
    <w:rsid w:val="00F41FDB"/>
    <w:rsid w:val="00F50596"/>
    <w:rsid w:val="00F56D63"/>
    <w:rsid w:val="00F57CB0"/>
    <w:rsid w:val="00F609A9"/>
    <w:rsid w:val="00F667C0"/>
    <w:rsid w:val="00F80C99"/>
    <w:rsid w:val="00F83D22"/>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7D9FC"/>
  <w15:docId w15:val="{35EA30D6-0E91-4937-8A1B-19F6B799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C438E7"/>
    <w:rPr>
      <w:sz w:val="18"/>
      <w:lang w:val="en-GB"/>
    </w:rPr>
  </w:style>
  <w:style w:type="character" w:styleId="UnresolvedMention">
    <w:name w:val="Unresolved Mention"/>
    <w:basedOn w:val="DefaultParagraphFont"/>
    <w:uiPriority w:val="99"/>
    <w:semiHidden/>
    <w:unhideWhenUsed/>
    <w:rsid w:val="00762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dangerous-goods/unece-bodies-dealing-transport-dangerous-good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C5E0B984-1E9E-4E14-AF98-3E64A68F624A}"/>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4</Pages>
  <Words>1438</Words>
  <Characters>7622</Characters>
  <Application>Microsoft Office Word</Application>
  <DocSecurity>0</DocSecurity>
  <Lines>144</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ECE/TRANS/WP.15/2023/15</dc:title>
  <dc:subject>2315923</dc:subject>
  <dc:creator>Una Giltsoff</dc:creator>
  <cp:keywords/>
  <dc:description/>
  <cp:lastModifiedBy>Una Giltsoff</cp:lastModifiedBy>
  <cp:revision>2</cp:revision>
  <cp:lastPrinted>2009-02-18T09:36:00Z</cp:lastPrinted>
  <dcterms:created xsi:type="dcterms:W3CDTF">2023-08-17T13:01:00Z</dcterms:created>
  <dcterms:modified xsi:type="dcterms:W3CDTF">2023-08-17T13:01:00Z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