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39304DB" w14:textId="77777777" w:rsidTr="00B20551">
        <w:trPr>
          <w:cantSplit/>
          <w:trHeight w:hRule="exact" w:val="851"/>
        </w:trPr>
        <w:tc>
          <w:tcPr>
            <w:tcW w:w="1276" w:type="dxa"/>
            <w:tcBorders>
              <w:bottom w:val="single" w:sz="4" w:space="0" w:color="auto"/>
            </w:tcBorders>
            <w:vAlign w:val="bottom"/>
          </w:tcPr>
          <w:p w14:paraId="4F9433B1" w14:textId="77777777" w:rsidR="009E6CB7" w:rsidRDefault="009E6CB7" w:rsidP="00B20551">
            <w:pPr>
              <w:spacing w:after="80"/>
            </w:pPr>
          </w:p>
        </w:tc>
        <w:tc>
          <w:tcPr>
            <w:tcW w:w="2268" w:type="dxa"/>
            <w:tcBorders>
              <w:bottom w:val="single" w:sz="4" w:space="0" w:color="auto"/>
            </w:tcBorders>
            <w:vAlign w:val="bottom"/>
          </w:tcPr>
          <w:p w14:paraId="038FE964"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2F95DDF" w14:textId="13C478F7" w:rsidR="009E6CB7" w:rsidRPr="00D47EEA" w:rsidRDefault="00436219" w:rsidP="00436219">
            <w:pPr>
              <w:jc w:val="right"/>
            </w:pPr>
            <w:r w:rsidRPr="00436219">
              <w:rPr>
                <w:sz w:val="40"/>
              </w:rPr>
              <w:t>ECE</w:t>
            </w:r>
            <w:r>
              <w:t>/TRANS/WP.15/</w:t>
            </w:r>
            <w:r w:rsidR="008E463B">
              <w:t>2023/</w:t>
            </w:r>
            <w:r>
              <w:t>14</w:t>
            </w:r>
          </w:p>
        </w:tc>
      </w:tr>
      <w:tr w:rsidR="009E6CB7" w14:paraId="7F5D332C" w14:textId="77777777" w:rsidTr="00B20551">
        <w:trPr>
          <w:cantSplit/>
          <w:trHeight w:hRule="exact" w:val="2835"/>
        </w:trPr>
        <w:tc>
          <w:tcPr>
            <w:tcW w:w="1276" w:type="dxa"/>
            <w:tcBorders>
              <w:top w:val="single" w:sz="4" w:space="0" w:color="auto"/>
              <w:bottom w:val="single" w:sz="12" w:space="0" w:color="auto"/>
            </w:tcBorders>
          </w:tcPr>
          <w:p w14:paraId="6A2E4562" w14:textId="77777777" w:rsidR="009E6CB7" w:rsidRDefault="00686A48" w:rsidP="00B20551">
            <w:pPr>
              <w:spacing w:before="120"/>
            </w:pPr>
            <w:r>
              <w:rPr>
                <w:noProof/>
                <w:lang w:val="fr-CH" w:eastAsia="fr-CH"/>
              </w:rPr>
              <w:drawing>
                <wp:inline distT="0" distB="0" distL="0" distR="0" wp14:anchorId="363A1EBD" wp14:editId="6EBA0D54">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C28BC50"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6DDC9C6C" w14:textId="77777777" w:rsidR="009E6CB7" w:rsidRDefault="00436219" w:rsidP="00436219">
            <w:pPr>
              <w:spacing w:before="240" w:line="240" w:lineRule="exact"/>
            </w:pPr>
            <w:r>
              <w:t>Distr.: General</w:t>
            </w:r>
          </w:p>
          <w:p w14:paraId="38697A5C" w14:textId="4ECA53EB" w:rsidR="00436219" w:rsidRDefault="00436219" w:rsidP="00436219">
            <w:pPr>
              <w:spacing w:line="240" w:lineRule="exact"/>
            </w:pPr>
            <w:r w:rsidRPr="00D44AC1">
              <w:t>1</w:t>
            </w:r>
            <w:r w:rsidR="00EE19CE" w:rsidRPr="00D44AC1">
              <w:t>7</w:t>
            </w:r>
            <w:r w:rsidRPr="00D44AC1">
              <w:t xml:space="preserve"> August 2023</w:t>
            </w:r>
          </w:p>
          <w:p w14:paraId="19098F4E" w14:textId="77777777" w:rsidR="00436219" w:rsidRDefault="00436219" w:rsidP="00436219">
            <w:pPr>
              <w:spacing w:line="240" w:lineRule="exact"/>
            </w:pPr>
          </w:p>
          <w:p w14:paraId="11CCF845" w14:textId="1ECB6DE4" w:rsidR="00436219" w:rsidRDefault="00436219" w:rsidP="00436219">
            <w:pPr>
              <w:spacing w:line="240" w:lineRule="exact"/>
            </w:pPr>
            <w:r>
              <w:t>Original: English</w:t>
            </w:r>
          </w:p>
        </w:tc>
      </w:tr>
    </w:tbl>
    <w:p w14:paraId="0000CE43" w14:textId="77777777" w:rsidR="008E463B" w:rsidRDefault="008E463B" w:rsidP="00C411EB">
      <w:pPr>
        <w:spacing w:before="120"/>
        <w:rPr>
          <w:b/>
          <w:sz w:val="28"/>
          <w:szCs w:val="28"/>
        </w:rPr>
      </w:pPr>
      <w:r>
        <w:rPr>
          <w:b/>
          <w:sz w:val="28"/>
          <w:szCs w:val="28"/>
        </w:rPr>
        <w:t>Economic Commission for Europe</w:t>
      </w:r>
    </w:p>
    <w:p w14:paraId="39F58594" w14:textId="77777777" w:rsidR="008E463B" w:rsidRDefault="008E463B" w:rsidP="00C411EB">
      <w:pPr>
        <w:spacing w:before="120"/>
        <w:rPr>
          <w:sz w:val="28"/>
          <w:szCs w:val="28"/>
        </w:rPr>
      </w:pPr>
      <w:r>
        <w:rPr>
          <w:sz w:val="28"/>
          <w:szCs w:val="28"/>
        </w:rPr>
        <w:t>Inland Transport Committee</w:t>
      </w:r>
    </w:p>
    <w:p w14:paraId="1B12632C" w14:textId="77777777" w:rsidR="008E463B" w:rsidRPr="001330DE" w:rsidRDefault="008E463B" w:rsidP="00C411EB">
      <w:pPr>
        <w:spacing w:before="120"/>
        <w:rPr>
          <w:b/>
          <w:sz w:val="24"/>
          <w:szCs w:val="24"/>
        </w:rPr>
      </w:pPr>
      <w:r>
        <w:rPr>
          <w:b/>
          <w:sz w:val="24"/>
          <w:szCs w:val="24"/>
        </w:rPr>
        <w:t xml:space="preserve">Working Party on the Transport </w:t>
      </w:r>
      <w:r w:rsidRPr="001330DE">
        <w:rPr>
          <w:b/>
          <w:sz w:val="24"/>
          <w:szCs w:val="24"/>
        </w:rPr>
        <w:t>of Dangerous Goods</w:t>
      </w:r>
    </w:p>
    <w:p w14:paraId="2B735F89" w14:textId="7434AF9A" w:rsidR="008E463B" w:rsidRPr="001330DE" w:rsidRDefault="008E463B" w:rsidP="00C411EB">
      <w:pPr>
        <w:spacing w:before="120"/>
        <w:rPr>
          <w:rFonts w:eastAsia="SimSun"/>
          <w:b/>
        </w:rPr>
      </w:pPr>
      <w:r>
        <w:rPr>
          <w:rFonts w:eastAsia="SimSun"/>
          <w:b/>
        </w:rPr>
        <w:t xml:space="preserve">114th </w:t>
      </w:r>
      <w:r w:rsidRPr="001330DE">
        <w:rPr>
          <w:rFonts w:eastAsia="SimSun"/>
          <w:b/>
        </w:rPr>
        <w:t xml:space="preserve">session </w:t>
      </w:r>
    </w:p>
    <w:p w14:paraId="0424C85D" w14:textId="4179D9D5" w:rsidR="008E463B" w:rsidRPr="00BA64A8" w:rsidRDefault="008E463B" w:rsidP="00C411EB">
      <w:pPr>
        <w:rPr>
          <w:rFonts w:eastAsia="SimSun"/>
        </w:rPr>
      </w:pPr>
      <w:r w:rsidRPr="00BA64A8">
        <w:rPr>
          <w:rFonts w:eastAsia="SimSun"/>
        </w:rPr>
        <w:t>Geneva,</w:t>
      </w:r>
      <w:r>
        <w:rPr>
          <w:rFonts w:eastAsia="SimSun"/>
        </w:rPr>
        <w:t xml:space="preserve"> </w:t>
      </w:r>
      <w:r w:rsidR="00333E2B">
        <w:rPr>
          <w:rFonts w:eastAsia="SimSun"/>
        </w:rPr>
        <w:t>6-10 November 2023</w:t>
      </w:r>
    </w:p>
    <w:p w14:paraId="1227571A" w14:textId="72D0F5E3" w:rsidR="008E463B" w:rsidRPr="00C521A6" w:rsidRDefault="008E463B" w:rsidP="00C411EB">
      <w:pPr>
        <w:autoSpaceDE w:val="0"/>
        <w:autoSpaceDN w:val="0"/>
        <w:adjustRightInd w:val="0"/>
      </w:pPr>
      <w:r>
        <w:t xml:space="preserve">Item </w:t>
      </w:r>
      <w:r w:rsidR="0035529A">
        <w:t>5 (a)</w:t>
      </w:r>
      <w:r>
        <w:t xml:space="preserve"> of the provisional agenda</w:t>
      </w:r>
    </w:p>
    <w:p w14:paraId="44B7E495" w14:textId="77777777" w:rsidR="000C4FA0" w:rsidRDefault="000C4FA0" w:rsidP="000C4FA0">
      <w:pPr>
        <w:autoSpaceDE w:val="0"/>
        <w:autoSpaceDN w:val="0"/>
        <w:adjustRightInd w:val="0"/>
      </w:pPr>
      <w:r w:rsidRPr="001B1CA1">
        <w:rPr>
          <w:b/>
          <w:bCs/>
        </w:rPr>
        <w:t>Proposals for amendments to annexes A and B of ADR</w:t>
      </w:r>
      <w:r>
        <w:t>:</w:t>
      </w:r>
    </w:p>
    <w:p w14:paraId="21E957C3" w14:textId="41CBB5F9" w:rsidR="001C6663" w:rsidRDefault="00763EB1" w:rsidP="000C4FA0">
      <w:pPr>
        <w:rPr>
          <w:b/>
          <w:bCs/>
        </w:rPr>
      </w:pPr>
      <w:r>
        <w:rPr>
          <w:b/>
          <w:bCs/>
        </w:rPr>
        <w:t xml:space="preserve">construction </w:t>
      </w:r>
      <w:r w:rsidR="000C4FA0">
        <w:rPr>
          <w:b/>
          <w:bCs/>
        </w:rPr>
        <w:t>and approval of vehicles</w:t>
      </w:r>
    </w:p>
    <w:p w14:paraId="2B394225" w14:textId="58AB6197" w:rsidR="000C4FA0" w:rsidRDefault="000C4FA0" w:rsidP="000C4FA0">
      <w:pPr>
        <w:pStyle w:val="HChG"/>
        <w:rPr>
          <w:bCs/>
          <w:sz w:val="24"/>
          <w:szCs w:val="24"/>
        </w:rPr>
      </w:pPr>
      <w:r>
        <w:tab/>
      </w:r>
      <w:r>
        <w:tab/>
      </w:r>
      <w:r w:rsidR="009F125E" w:rsidRPr="00E337BD">
        <w:rPr>
          <w:bCs/>
          <w:sz w:val="24"/>
          <w:szCs w:val="24"/>
        </w:rPr>
        <w:t xml:space="preserve">Battery </w:t>
      </w:r>
      <w:r w:rsidR="00763EB1">
        <w:rPr>
          <w:bCs/>
          <w:sz w:val="24"/>
          <w:szCs w:val="24"/>
        </w:rPr>
        <w:t>e</w:t>
      </w:r>
      <w:r w:rsidR="00763EB1" w:rsidRPr="00E337BD">
        <w:rPr>
          <w:bCs/>
          <w:sz w:val="24"/>
          <w:szCs w:val="24"/>
        </w:rPr>
        <w:t xml:space="preserve">lectric </w:t>
      </w:r>
      <w:r w:rsidR="00763EB1">
        <w:rPr>
          <w:bCs/>
          <w:sz w:val="24"/>
          <w:szCs w:val="24"/>
        </w:rPr>
        <w:t>v</w:t>
      </w:r>
      <w:r w:rsidR="00763EB1" w:rsidRPr="00E337BD">
        <w:rPr>
          <w:bCs/>
          <w:sz w:val="24"/>
          <w:szCs w:val="24"/>
        </w:rPr>
        <w:t xml:space="preserve">ehicles </w:t>
      </w:r>
      <w:r w:rsidR="009F125E" w:rsidRPr="00E337BD">
        <w:rPr>
          <w:bCs/>
          <w:sz w:val="24"/>
          <w:szCs w:val="24"/>
        </w:rPr>
        <w:t xml:space="preserve">and </w:t>
      </w:r>
      <w:r w:rsidR="00763EB1">
        <w:rPr>
          <w:bCs/>
          <w:sz w:val="24"/>
          <w:szCs w:val="24"/>
        </w:rPr>
        <w:t>h</w:t>
      </w:r>
      <w:r w:rsidR="00763EB1" w:rsidRPr="00E337BD">
        <w:rPr>
          <w:bCs/>
          <w:sz w:val="24"/>
          <w:szCs w:val="24"/>
        </w:rPr>
        <w:t xml:space="preserve">ydrogen </w:t>
      </w:r>
      <w:r w:rsidR="00763EB1">
        <w:rPr>
          <w:bCs/>
          <w:sz w:val="24"/>
          <w:szCs w:val="24"/>
        </w:rPr>
        <w:t>f</w:t>
      </w:r>
      <w:r w:rsidR="00763EB1" w:rsidRPr="00E337BD">
        <w:rPr>
          <w:bCs/>
          <w:sz w:val="24"/>
          <w:szCs w:val="24"/>
        </w:rPr>
        <w:t xml:space="preserve">uelled </w:t>
      </w:r>
      <w:r w:rsidR="00763EB1">
        <w:rPr>
          <w:bCs/>
          <w:sz w:val="24"/>
          <w:szCs w:val="24"/>
        </w:rPr>
        <w:t>v</w:t>
      </w:r>
      <w:r w:rsidR="00763EB1" w:rsidRPr="00E337BD">
        <w:rPr>
          <w:bCs/>
          <w:sz w:val="24"/>
          <w:szCs w:val="24"/>
        </w:rPr>
        <w:t>ehicles</w:t>
      </w:r>
    </w:p>
    <w:p w14:paraId="442F85BC" w14:textId="04506C58" w:rsidR="009F125E" w:rsidRDefault="009F125E" w:rsidP="009F125E">
      <w:pPr>
        <w:pStyle w:val="H1G"/>
        <w:rPr>
          <w:szCs w:val="24"/>
        </w:rPr>
      </w:pPr>
      <w:r>
        <w:tab/>
      </w:r>
      <w:r>
        <w:tab/>
      </w:r>
      <w:r w:rsidR="00BD3C80" w:rsidRPr="003912CD">
        <w:t xml:space="preserve">Transmitted by </w:t>
      </w:r>
      <w:r w:rsidR="00BD3C80">
        <w:t>the Government of the Netherlands</w:t>
      </w:r>
      <w:r w:rsidR="00BD3C80" w:rsidRPr="00024C88">
        <w:rPr>
          <w:szCs w:val="24"/>
        </w:rPr>
        <w:t xml:space="preserve"> on behalf of the </w:t>
      </w:r>
      <w:r w:rsidR="00615C99">
        <w:rPr>
          <w:szCs w:val="24"/>
        </w:rPr>
        <w:t>i</w:t>
      </w:r>
      <w:r w:rsidR="00BD3C80" w:rsidRPr="00024C88">
        <w:rPr>
          <w:szCs w:val="24"/>
        </w:rPr>
        <w:t xml:space="preserve">nformal </w:t>
      </w:r>
      <w:r w:rsidR="00615C99">
        <w:rPr>
          <w:szCs w:val="24"/>
        </w:rPr>
        <w:t>w</w:t>
      </w:r>
      <w:r w:rsidR="00BD3C80" w:rsidRPr="00024C88">
        <w:rPr>
          <w:szCs w:val="24"/>
        </w:rPr>
        <w:t xml:space="preserve">orking </w:t>
      </w:r>
      <w:r w:rsidR="00615C99">
        <w:rPr>
          <w:szCs w:val="24"/>
        </w:rPr>
        <w:t>g</w:t>
      </w:r>
      <w:r w:rsidR="00BD3C80" w:rsidRPr="00024C88">
        <w:rPr>
          <w:szCs w:val="24"/>
        </w:rPr>
        <w:t>roup</w:t>
      </w:r>
      <w:r w:rsidR="00BD3C80">
        <w:rPr>
          <w:szCs w:val="24"/>
        </w:rPr>
        <w:t xml:space="preserve"> on </w:t>
      </w:r>
      <w:r w:rsidR="00615C99">
        <w:rPr>
          <w:szCs w:val="24"/>
        </w:rPr>
        <w:t>e</w:t>
      </w:r>
      <w:r w:rsidR="00BD3C80">
        <w:rPr>
          <w:szCs w:val="24"/>
        </w:rPr>
        <w:t xml:space="preserve">lectrified </w:t>
      </w:r>
      <w:r w:rsidR="00615C99">
        <w:rPr>
          <w:szCs w:val="24"/>
        </w:rPr>
        <w:t>v</w:t>
      </w:r>
      <w:r w:rsidR="00BD3C80">
        <w:rPr>
          <w:szCs w:val="24"/>
        </w:rPr>
        <w:t>ehicles</w:t>
      </w:r>
      <w:r w:rsidR="00615C99" w:rsidRPr="00763EB1">
        <w:rPr>
          <w:rStyle w:val="FootnoteReference"/>
          <w:sz w:val="20"/>
          <w:vertAlign w:val="baseline"/>
        </w:rPr>
        <w:footnoteReference w:customMarkFollows="1" w:id="2"/>
        <w:t>*</w:t>
      </w:r>
    </w:p>
    <w:p w14:paraId="6949F1B9" w14:textId="3C8546B2" w:rsidR="008F1EFA" w:rsidRDefault="0056018A" w:rsidP="0056018A">
      <w:pPr>
        <w:pStyle w:val="HChG"/>
      </w:pPr>
      <w:r>
        <w:tab/>
      </w:r>
      <w:r>
        <w:tab/>
      </w:r>
      <w:r w:rsidR="008F1EFA" w:rsidRPr="0056018A">
        <w:t>Introduction</w:t>
      </w:r>
    </w:p>
    <w:p w14:paraId="11A186A0" w14:textId="77BAC3EB" w:rsidR="008F1EFA" w:rsidRPr="002D45F3" w:rsidRDefault="008F1EFA" w:rsidP="0056018A">
      <w:pPr>
        <w:pStyle w:val="SingleTxtG"/>
      </w:pPr>
      <w:r>
        <w:t>1.</w:t>
      </w:r>
      <w:r>
        <w:tab/>
      </w:r>
      <w:r w:rsidRPr="002D45F3">
        <w:t xml:space="preserve">This document contains proposals by the </w:t>
      </w:r>
      <w:r w:rsidR="00932A23">
        <w:t>i</w:t>
      </w:r>
      <w:r w:rsidRPr="002D45F3">
        <w:t xml:space="preserve">nformal </w:t>
      </w:r>
      <w:r w:rsidR="00932A23">
        <w:t>w</w:t>
      </w:r>
      <w:r w:rsidRPr="002D45F3">
        <w:t xml:space="preserve">orking </w:t>
      </w:r>
      <w:r w:rsidR="00932A23">
        <w:t>g</w:t>
      </w:r>
      <w:r w:rsidRPr="002D45F3">
        <w:t xml:space="preserve">roup on </w:t>
      </w:r>
      <w:r w:rsidR="00932A23">
        <w:t>e</w:t>
      </w:r>
      <w:r w:rsidRPr="002D45F3">
        <w:t xml:space="preserve">lectrified </w:t>
      </w:r>
      <w:r w:rsidR="00932A23">
        <w:t>v</w:t>
      </w:r>
      <w:r w:rsidRPr="002D45F3">
        <w:t xml:space="preserve">ehicles. The purpose is to include </w:t>
      </w:r>
      <w:r w:rsidR="00932A23">
        <w:t>b</w:t>
      </w:r>
      <w:r w:rsidRPr="002D45F3">
        <w:t xml:space="preserve">attery </w:t>
      </w:r>
      <w:r w:rsidR="00932A23">
        <w:t>e</w:t>
      </w:r>
      <w:r w:rsidRPr="002D45F3">
        <w:t xml:space="preserve">lectric </w:t>
      </w:r>
      <w:r w:rsidR="00932A23">
        <w:t>v</w:t>
      </w:r>
      <w:r w:rsidRPr="002D45F3">
        <w:t>ehicles for the vehicle category FL, in addition to the inclusion of category AT in ADR 2023</w:t>
      </w:r>
      <w:r w:rsidR="00932A23">
        <w:t>;</w:t>
      </w:r>
      <w:r w:rsidRPr="002D45F3">
        <w:t xml:space="preserve"> </w:t>
      </w:r>
      <w:r w:rsidR="00BB3B46" w:rsidRPr="002D45F3">
        <w:t xml:space="preserve">hydrogen fuel cell vehicles </w:t>
      </w:r>
      <w:r w:rsidRPr="002D45F3">
        <w:t>for the categor</w:t>
      </w:r>
      <w:r>
        <w:t>ies</w:t>
      </w:r>
      <w:r w:rsidRPr="002D45F3">
        <w:t xml:space="preserve"> AT and FL</w:t>
      </w:r>
      <w:r w:rsidR="00BB3B46">
        <w:t>;</w:t>
      </w:r>
      <w:r w:rsidRPr="002D45F3">
        <w:t xml:space="preserve"> and hydrogen as fuel for vehicles with an internal combustion engine for vehicle categories AT and FL. </w:t>
      </w:r>
    </w:p>
    <w:p w14:paraId="7E06F088" w14:textId="52FB0B20" w:rsidR="008F1EFA" w:rsidRDefault="008F1EFA" w:rsidP="0056018A">
      <w:pPr>
        <w:pStyle w:val="SingleTxtG"/>
      </w:pPr>
      <w:r>
        <w:t>2.</w:t>
      </w:r>
      <w:r>
        <w:tab/>
        <w:t xml:space="preserve">Vehicle </w:t>
      </w:r>
      <w:r w:rsidRPr="002D45F3">
        <w:t xml:space="preserve">technology and safety regulations are still evolving, </w:t>
      </w:r>
      <w:r>
        <w:t xml:space="preserve">they </w:t>
      </w:r>
      <w:r w:rsidRPr="002D45F3">
        <w:t>should not be hindered by provisions in ADR</w:t>
      </w:r>
      <w:r>
        <w:t>. T</w:t>
      </w:r>
      <w:r w:rsidRPr="002D45F3">
        <w:t>he</w:t>
      </w:r>
      <w:r>
        <w:t>y</w:t>
      </w:r>
      <w:r w:rsidRPr="002D45F3">
        <w:t xml:space="preserve"> </w:t>
      </w:r>
      <w:r>
        <w:t xml:space="preserve">have design neutrality </w:t>
      </w:r>
      <w:r w:rsidRPr="002D45F3">
        <w:t>and guarantee that vehicles will be safe enough for the carriage of dangerous goods</w:t>
      </w:r>
      <w:r>
        <w:t xml:space="preserve"> and a fine balancing of wording is therefore necessary. As a consequence </w:t>
      </w:r>
      <w:r w:rsidRPr="002D45F3">
        <w:t>some proposed wording is still in square brackets</w:t>
      </w:r>
      <w:r>
        <w:t xml:space="preserve"> as further fine tuning may be needed</w:t>
      </w:r>
      <w:r w:rsidRPr="002D45F3">
        <w:t>.</w:t>
      </w:r>
      <w:r>
        <w:t xml:space="preserve"> It was decided however to proceed with this document </w:t>
      </w:r>
      <w:r w:rsidRPr="002D45F3">
        <w:t xml:space="preserve">for the </w:t>
      </w:r>
      <w:r w:rsidRPr="003E0930">
        <w:t>114</w:t>
      </w:r>
      <w:r w:rsidRPr="003E0930">
        <w:rPr>
          <w:vertAlign w:val="superscript"/>
        </w:rPr>
        <w:t>th</w:t>
      </w:r>
      <w:r w:rsidRPr="003E0930">
        <w:t xml:space="preserve"> s</w:t>
      </w:r>
      <w:r w:rsidRPr="002D45F3">
        <w:t xml:space="preserve">ession of WP.15 to allow for </w:t>
      </w:r>
      <w:r>
        <w:t xml:space="preserve">a timely </w:t>
      </w:r>
      <w:r w:rsidRPr="002D45F3">
        <w:t xml:space="preserve">discussion and </w:t>
      </w:r>
      <w:r>
        <w:t xml:space="preserve">possibility </w:t>
      </w:r>
      <w:r w:rsidRPr="002D45F3">
        <w:t>to adjust if necessary for inclusion in ADR 2025.</w:t>
      </w:r>
    </w:p>
    <w:p w14:paraId="27E40F36" w14:textId="41A89C7E" w:rsidR="008F1EFA" w:rsidRPr="002D45F3" w:rsidRDefault="008F1EFA" w:rsidP="0056018A">
      <w:pPr>
        <w:pStyle w:val="SingleTxtG"/>
      </w:pPr>
      <w:r>
        <w:t>3.</w:t>
      </w:r>
      <w:r>
        <w:tab/>
        <w:t xml:space="preserve">To aid the discussion a consolidated wording of </w:t>
      </w:r>
      <w:r w:rsidR="00BB3B46">
        <w:t>C</w:t>
      </w:r>
      <w:r>
        <w:t>hapter 9.2 of ADR will be provided in the form of an informal document</w:t>
      </w:r>
      <w:r w:rsidR="00BB3B46">
        <w:t xml:space="preserve"> (</w:t>
      </w:r>
      <w:r w:rsidR="0004332A">
        <w:t>informal document INF.3</w:t>
      </w:r>
      <w:r w:rsidR="00BB3B46">
        <w:t>)</w:t>
      </w:r>
      <w:r>
        <w:t xml:space="preserve">. A report of the </w:t>
      </w:r>
      <w:r w:rsidR="0004332A">
        <w:t xml:space="preserve">informal working group </w:t>
      </w:r>
      <w:r>
        <w:t xml:space="preserve">will follow in due time. </w:t>
      </w:r>
    </w:p>
    <w:p w14:paraId="31ADB021" w14:textId="210699AB" w:rsidR="004A1D9B" w:rsidRDefault="004A1D9B" w:rsidP="004A1D9B">
      <w:pPr>
        <w:pStyle w:val="HChG"/>
      </w:pPr>
      <w:r>
        <w:tab/>
      </w:r>
      <w:r>
        <w:tab/>
      </w:r>
      <w:r w:rsidR="008F1EFA" w:rsidRPr="002D45F3">
        <w:t>Proposal 1</w:t>
      </w:r>
    </w:p>
    <w:p w14:paraId="6EE216D7" w14:textId="78E197C4" w:rsidR="008F1EFA" w:rsidRPr="002D45F3" w:rsidRDefault="0004332A" w:rsidP="0056018A">
      <w:pPr>
        <w:pStyle w:val="SingleTxtG"/>
      </w:pPr>
      <w:r>
        <w:t>4.</w:t>
      </w:r>
      <w:r>
        <w:tab/>
      </w:r>
      <w:r w:rsidR="008F1EFA" w:rsidRPr="002D45F3">
        <w:t>Amend the following lines in the table of 9.2.1.1 (ADR 2023)</w:t>
      </w:r>
      <w:r w:rsidR="008F1EFA">
        <w:t xml:space="preserve"> (deleted wording </w:t>
      </w:r>
      <w:r w:rsidR="008F1EFA" w:rsidRPr="002D45F3">
        <w:rPr>
          <w:strike/>
        </w:rPr>
        <w:t>stricken</w:t>
      </w:r>
      <w:r w:rsidR="008F1EFA">
        <w:t xml:space="preserve"> through, new wording in </w:t>
      </w:r>
      <w:r>
        <w:rPr>
          <w:i/>
          <w:iCs/>
          <w:u w:val="single"/>
        </w:rPr>
        <w:t>i</w:t>
      </w:r>
      <w:r w:rsidR="008F1EFA" w:rsidRPr="002D45F3">
        <w:rPr>
          <w:i/>
          <w:iCs/>
          <w:u w:val="single"/>
        </w:rPr>
        <w:t>talic underlined</w:t>
      </w:r>
      <w:r w:rsidR="008F1EFA">
        <w:t>):</w:t>
      </w:r>
    </w:p>
    <w:p w14:paraId="72931723" w14:textId="77777777" w:rsidR="008F1EFA" w:rsidRDefault="008F1EFA" w:rsidP="0056018A">
      <w:pPr>
        <w:pStyle w:val="SingleTxtG"/>
      </w:pPr>
      <w:r w:rsidRPr="002D45F3">
        <w:t xml:space="preserve">9.2.4 replace </w:t>
      </w:r>
      <w:r w:rsidRPr="0056018A">
        <w:rPr>
          <w:i/>
          <w:iCs/>
        </w:rPr>
        <w:t xml:space="preserve">“PREVENTION OF FIRE RISKS” </w:t>
      </w:r>
      <w:r w:rsidRPr="00C14D76">
        <w:t xml:space="preserve">by </w:t>
      </w:r>
      <w:r w:rsidRPr="0056018A">
        <w:rPr>
          <w:i/>
          <w:iCs/>
        </w:rPr>
        <w:t>“VEHICLE PROPULSION SYSTEM”</w:t>
      </w:r>
    </w:p>
    <w:tbl>
      <w:tblPr>
        <w:tblStyle w:val="TableGrid"/>
        <w:tblW w:w="7705" w:type="dxa"/>
        <w:tblInd w:w="1129" w:type="dxa"/>
        <w:tblLook w:val="04A0" w:firstRow="1" w:lastRow="0" w:firstColumn="1" w:lastColumn="0" w:noHBand="0" w:noVBand="1"/>
      </w:tblPr>
      <w:tblGrid>
        <w:gridCol w:w="993"/>
        <w:gridCol w:w="3117"/>
        <w:gridCol w:w="480"/>
        <w:gridCol w:w="480"/>
        <w:gridCol w:w="480"/>
        <w:gridCol w:w="480"/>
        <w:gridCol w:w="1675"/>
      </w:tblGrid>
      <w:tr w:rsidR="008F1EFA" w:rsidRPr="002D45F3" w14:paraId="4E29CDF1" w14:textId="77777777">
        <w:tc>
          <w:tcPr>
            <w:tcW w:w="993" w:type="dxa"/>
          </w:tcPr>
          <w:p w14:paraId="580A5154" w14:textId="77777777" w:rsidR="008F1EFA" w:rsidRPr="002D45F3" w:rsidRDefault="008F1EFA">
            <w:pPr>
              <w:ind w:left="284"/>
              <w:rPr>
                <w:i/>
                <w:iCs/>
                <w:sz w:val="18"/>
                <w:szCs w:val="18"/>
              </w:rPr>
            </w:pPr>
            <w:bookmarkStart w:id="0" w:name="_Hlk142657784"/>
            <w:r w:rsidRPr="002D45F3">
              <w:rPr>
                <w:i/>
                <w:iCs/>
                <w:sz w:val="18"/>
                <w:szCs w:val="18"/>
              </w:rPr>
              <w:lastRenderedPageBreak/>
              <w:t>9.2.4</w:t>
            </w:r>
          </w:p>
        </w:tc>
        <w:tc>
          <w:tcPr>
            <w:tcW w:w="3117" w:type="dxa"/>
          </w:tcPr>
          <w:p w14:paraId="1EDEF88E" w14:textId="77777777" w:rsidR="008F1EFA" w:rsidRPr="002D45F3" w:rsidRDefault="008F1EFA">
            <w:pPr>
              <w:ind w:left="138"/>
              <w:rPr>
                <w:i/>
                <w:iCs/>
                <w:sz w:val="18"/>
                <w:szCs w:val="18"/>
              </w:rPr>
            </w:pPr>
            <w:r w:rsidRPr="002D45F3">
              <w:rPr>
                <w:b/>
                <w:bCs/>
                <w:caps/>
                <w:strike/>
                <w:sz w:val="18"/>
                <w:szCs w:val="18"/>
              </w:rPr>
              <w:t>Prevention of fire risks</w:t>
            </w:r>
            <w:r w:rsidRPr="002D45F3">
              <w:rPr>
                <w:b/>
                <w:bCs/>
                <w:caps/>
                <w:sz w:val="18"/>
                <w:szCs w:val="18"/>
              </w:rPr>
              <w:t xml:space="preserve"> </w:t>
            </w:r>
            <w:r w:rsidRPr="002D45F3">
              <w:rPr>
                <w:b/>
                <w:bCs/>
                <w:i/>
                <w:iCs/>
                <w:caps/>
                <w:sz w:val="18"/>
                <w:szCs w:val="18"/>
              </w:rPr>
              <w:t>Vehicle propulsion system</w:t>
            </w:r>
          </w:p>
        </w:tc>
        <w:tc>
          <w:tcPr>
            <w:tcW w:w="480" w:type="dxa"/>
          </w:tcPr>
          <w:p w14:paraId="6AF22EC8" w14:textId="77777777" w:rsidR="008F1EFA" w:rsidRPr="002D45F3" w:rsidRDefault="008F1EFA">
            <w:pPr>
              <w:ind w:left="1134"/>
              <w:rPr>
                <w:i/>
                <w:iCs/>
              </w:rPr>
            </w:pPr>
          </w:p>
        </w:tc>
        <w:tc>
          <w:tcPr>
            <w:tcW w:w="480" w:type="dxa"/>
          </w:tcPr>
          <w:p w14:paraId="67F9AEA2" w14:textId="77777777" w:rsidR="008F1EFA" w:rsidRPr="002D45F3" w:rsidRDefault="008F1EFA">
            <w:pPr>
              <w:ind w:left="1134"/>
              <w:rPr>
                <w:i/>
                <w:iCs/>
              </w:rPr>
            </w:pPr>
          </w:p>
        </w:tc>
        <w:tc>
          <w:tcPr>
            <w:tcW w:w="480" w:type="dxa"/>
          </w:tcPr>
          <w:p w14:paraId="70AD5FFB" w14:textId="77777777" w:rsidR="008F1EFA" w:rsidRPr="002D45F3" w:rsidRDefault="008F1EFA">
            <w:pPr>
              <w:ind w:left="1134"/>
              <w:rPr>
                <w:i/>
                <w:iCs/>
              </w:rPr>
            </w:pPr>
          </w:p>
        </w:tc>
        <w:tc>
          <w:tcPr>
            <w:tcW w:w="480" w:type="dxa"/>
          </w:tcPr>
          <w:p w14:paraId="464805F0" w14:textId="77777777" w:rsidR="008F1EFA" w:rsidRPr="002D45F3" w:rsidRDefault="008F1EFA">
            <w:pPr>
              <w:ind w:left="1134"/>
              <w:rPr>
                <w:i/>
                <w:iCs/>
              </w:rPr>
            </w:pPr>
          </w:p>
        </w:tc>
        <w:tc>
          <w:tcPr>
            <w:tcW w:w="1675" w:type="dxa"/>
          </w:tcPr>
          <w:p w14:paraId="54189570" w14:textId="77777777" w:rsidR="008F1EFA" w:rsidRPr="002D45F3" w:rsidRDefault="008F1EFA">
            <w:pPr>
              <w:ind w:left="1134"/>
              <w:rPr>
                <w:i/>
                <w:iCs/>
              </w:rPr>
            </w:pPr>
          </w:p>
        </w:tc>
      </w:tr>
    </w:tbl>
    <w:bookmarkEnd w:id="0"/>
    <w:p w14:paraId="6EEE3BAB" w14:textId="77777777" w:rsidR="008F1EFA" w:rsidRDefault="008F1EFA" w:rsidP="00A82EF2">
      <w:pPr>
        <w:pStyle w:val="SingleTxtG"/>
        <w:spacing w:before="120"/>
        <w:rPr>
          <w:i/>
          <w:iCs/>
        </w:rPr>
      </w:pPr>
      <w:r w:rsidRPr="002D45F3">
        <w:t>9.2.4.3 “Fuel tank and cylinders”: Renumber as 9.2.4.2, include an [</w:t>
      </w:r>
      <w:r w:rsidRPr="002D45F3">
        <w:rPr>
          <w:i/>
          <w:iCs/>
        </w:rPr>
        <w:t>“</w:t>
      </w:r>
      <w:proofErr w:type="spellStart"/>
      <w:r w:rsidRPr="002D45F3">
        <w:rPr>
          <w:i/>
          <w:iCs/>
        </w:rPr>
        <w:t>X</w:t>
      </w:r>
      <w:r w:rsidRPr="002D45F3">
        <w:rPr>
          <w:i/>
          <w:iCs/>
          <w:vertAlign w:val="superscript"/>
        </w:rPr>
        <w:t>k</w:t>
      </w:r>
      <w:proofErr w:type="spellEnd"/>
      <w:r w:rsidRPr="002D45F3">
        <w:rPr>
          <w:i/>
          <w:iCs/>
        </w:rPr>
        <w:t>”</w:t>
      </w:r>
      <w:r w:rsidRPr="002D45F3">
        <w:t>] in the column for “AT” and under column “Comments” add [</w:t>
      </w:r>
      <w:r w:rsidRPr="002D45F3">
        <w:rPr>
          <w:i/>
          <w:iCs/>
        </w:rPr>
        <w:t>“</w:t>
      </w:r>
      <w:proofErr w:type="spellStart"/>
      <w:r w:rsidRPr="002D45F3">
        <w:rPr>
          <w:i/>
          <w:iCs/>
          <w:vertAlign w:val="superscript"/>
        </w:rPr>
        <w:t>K</w:t>
      </w:r>
      <w:r w:rsidRPr="002D45F3">
        <w:rPr>
          <w:i/>
          <w:iCs/>
        </w:rPr>
        <w:t>Applicable</w:t>
      </w:r>
      <w:proofErr w:type="spellEnd"/>
      <w:r w:rsidRPr="002D45F3">
        <w:rPr>
          <w:i/>
          <w:iCs/>
        </w:rPr>
        <w:t xml:space="preserve"> to motor vehicles first registered after 31 March 2026”.].</w:t>
      </w:r>
    </w:p>
    <w:tbl>
      <w:tblPr>
        <w:tblStyle w:val="TableGrid"/>
        <w:tblW w:w="8081" w:type="dxa"/>
        <w:tblInd w:w="1129" w:type="dxa"/>
        <w:tblLayout w:type="fixed"/>
        <w:tblLook w:val="04A0" w:firstRow="1" w:lastRow="0" w:firstColumn="1" w:lastColumn="0" w:noHBand="0" w:noVBand="1"/>
      </w:tblPr>
      <w:tblGrid>
        <w:gridCol w:w="851"/>
        <w:gridCol w:w="1878"/>
        <w:gridCol w:w="532"/>
        <w:gridCol w:w="567"/>
        <w:gridCol w:w="709"/>
        <w:gridCol w:w="567"/>
        <w:gridCol w:w="2977"/>
      </w:tblGrid>
      <w:tr w:rsidR="008F1EFA" w:rsidRPr="002D45F3" w14:paraId="2A1B69B3" w14:textId="77777777">
        <w:tc>
          <w:tcPr>
            <w:tcW w:w="851" w:type="dxa"/>
          </w:tcPr>
          <w:p w14:paraId="33CD3147" w14:textId="77777777" w:rsidR="008F1EFA" w:rsidRPr="002D45F3" w:rsidRDefault="008F1EFA">
            <w:pPr>
              <w:ind w:left="142" w:right="-11"/>
              <w:rPr>
                <w:i/>
                <w:iCs/>
                <w:strike/>
                <w:sz w:val="18"/>
                <w:szCs w:val="18"/>
              </w:rPr>
            </w:pPr>
            <w:bookmarkStart w:id="1" w:name="_Hlk142716978"/>
            <w:r w:rsidRPr="002D45F3">
              <w:rPr>
                <w:i/>
                <w:iCs/>
                <w:strike/>
                <w:sz w:val="18"/>
                <w:szCs w:val="18"/>
              </w:rPr>
              <w:t>9.2.4.3</w:t>
            </w:r>
          </w:p>
          <w:p w14:paraId="61E850D9" w14:textId="77777777" w:rsidR="008F1EFA" w:rsidRPr="002D45F3" w:rsidRDefault="008F1EFA">
            <w:pPr>
              <w:ind w:left="142" w:right="-11"/>
              <w:rPr>
                <w:i/>
                <w:iCs/>
                <w:sz w:val="18"/>
                <w:szCs w:val="18"/>
              </w:rPr>
            </w:pPr>
            <w:r w:rsidRPr="002D45F3">
              <w:rPr>
                <w:i/>
                <w:iCs/>
                <w:sz w:val="18"/>
                <w:szCs w:val="18"/>
              </w:rPr>
              <w:t>9.2.4.2</w:t>
            </w:r>
          </w:p>
        </w:tc>
        <w:tc>
          <w:tcPr>
            <w:tcW w:w="1878" w:type="dxa"/>
          </w:tcPr>
          <w:p w14:paraId="28728FCB" w14:textId="77777777" w:rsidR="008F1EFA" w:rsidRPr="002D45F3" w:rsidRDefault="008F1EFA">
            <w:pPr>
              <w:ind w:left="142" w:right="-11"/>
              <w:rPr>
                <w:i/>
                <w:iCs/>
                <w:sz w:val="18"/>
                <w:szCs w:val="18"/>
              </w:rPr>
            </w:pPr>
            <w:r w:rsidRPr="002D45F3">
              <w:t>Fuel tanks and cylinders</w:t>
            </w:r>
          </w:p>
        </w:tc>
        <w:tc>
          <w:tcPr>
            <w:tcW w:w="532" w:type="dxa"/>
          </w:tcPr>
          <w:p w14:paraId="4E0314FE" w14:textId="77777777" w:rsidR="008F1EFA" w:rsidRPr="002D45F3" w:rsidRDefault="008F1EFA">
            <w:pPr>
              <w:ind w:left="246" w:right="-11"/>
              <w:rPr>
                <w:sz w:val="18"/>
                <w:szCs w:val="18"/>
              </w:rPr>
            </w:pPr>
            <w:r w:rsidRPr="002D45F3">
              <w:rPr>
                <w:sz w:val="18"/>
                <w:szCs w:val="18"/>
              </w:rPr>
              <w:t>X</w:t>
            </w:r>
          </w:p>
        </w:tc>
        <w:tc>
          <w:tcPr>
            <w:tcW w:w="567" w:type="dxa"/>
          </w:tcPr>
          <w:p w14:paraId="67494197" w14:textId="77777777" w:rsidR="008F1EFA" w:rsidRPr="002D45F3" w:rsidRDefault="008F1EFA">
            <w:pPr>
              <w:ind w:left="286" w:right="-11"/>
              <w:rPr>
                <w:sz w:val="18"/>
                <w:szCs w:val="18"/>
              </w:rPr>
            </w:pPr>
            <w:r w:rsidRPr="002D45F3">
              <w:rPr>
                <w:sz w:val="18"/>
                <w:szCs w:val="18"/>
              </w:rPr>
              <w:t>X</w:t>
            </w:r>
          </w:p>
        </w:tc>
        <w:tc>
          <w:tcPr>
            <w:tcW w:w="709" w:type="dxa"/>
          </w:tcPr>
          <w:p w14:paraId="00663E96" w14:textId="77777777" w:rsidR="008F1EFA" w:rsidRPr="002D45F3" w:rsidRDefault="008F1EFA">
            <w:pPr>
              <w:ind w:left="144" w:right="-11"/>
              <w:rPr>
                <w:sz w:val="18"/>
                <w:szCs w:val="18"/>
              </w:rPr>
            </w:pPr>
            <w:r w:rsidRPr="002D45F3">
              <w:rPr>
                <w:sz w:val="18"/>
                <w:szCs w:val="18"/>
              </w:rPr>
              <w:t>[</w:t>
            </w:r>
            <w:proofErr w:type="spellStart"/>
            <w:r w:rsidRPr="002D45F3">
              <w:rPr>
                <w:sz w:val="18"/>
                <w:szCs w:val="18"/>
              </w:rPr>
              <w:t>X</w:t>
            </w:r>
            <w:r w:rsidRPr="002D45F3">
              <w:rPr>
                <w:vertAlign w:val="superscript"/>
              </w:rPr>
              <w:t>k</w:t>
            </w:r>
            <w:proofErr w:type="spellEnd"/>
            <w:r w:rsidRPr="002D45F3">
              <w:t>]</w:t>
            </w:r>
          </w:p>
        </w:tc>
        <w:tc>
          <w:tcPr>
            <w:tcW w:w="567" w:type="dxa"/>
          </w:tcPr>
          <w:p w14:paraId="6D7BB637" w14:textId="77777777" w:rsidR="008F1EFA" w:rsidRPr="002D45F3" w:rsidRDefault="008F1EFA">
            <w:pPr>
              <w:ind w:left="141" w:right="-11"/>
              <w:rPr>
                <w:sz w:val="18"/>
                <w:szCs w:val="18"/>
              </w:rPr>
            </w:pPr>
            <w:r w:rsidRPr="002D45F3">
              <w:rPr>
                <w:sz w:val="18"/>
                <w:szCs w:val="18"/>
              </w:rPr>
              <w:t>X</w:t>
            </w:r>
          </w:p>
        </w:tc>
        <w:tc>
          <w:tcPr>
            <w:tcW w:w="2977" w:type="dxa"/>
          </w:tcPr>
          <w:p w14:paraId="3E0A3EE3" w14:textId="77777777" w:rsidR="008F1EFA" w:rsidRPr="002D45F3" w:rsidRDefault="008F1EFA">
            <w:pPr>
              <w:ind w:left="141" w:right="-11"/>
              <w:rPr>
                <w:sz w:val="18"/>
                <w:szCs w:val="18"/>
              </w:rPr>
            </w:pPr>
            <w:r w:rsidRPr="002D45F3">
              <w:t>[</w:t>
            </w:r>
            <w:r w:rsidRPr="002D45F3">
              <w:rPr>
                <w:vertAlign w:val="superscript"/>
              </w:rPr>
              <w:t xml:space="preserve">k </w:t>
            </w:r>
            <w:r w:rsidRPr="002D45F3">
              <w:t>Applicable to motor vehicles first registered after 31 March 2026]</w:t>
            </w:r>
          </w:p>
        </w:tc>
      </w:tr>
    </w:tbl>
    <w:bookmarkEnd w:id="1"/>
    <w:p w14:paraId="7E63AC3E" w14:textId="77777777" w:rsidR="008F1EFA" w:rsidRPr="00A82EF2" w:rsidRDefault="008F1EFA" w:rsidP="00A82EF2">
      <w:pPr>
        <w:pStyle w:val="SingleTxtG"/>
        <w:spacing w:before="120"/>
      </w:pPr>
      <w:r w:rsidRPr="002D45F3">
        <w:t xml:space="preserve">9.2.4.4 renumber as 9.2.4.3 and replace </w:t>
      </w:r>
      <w:r w:rsidRPr="00A82EF2">
        <w:t>“Engine”</w:t>
      </w:r>
      <w:r w:rsidRPr="002D45F3">
        <w:t xml:space="preserve"> by </w:t>
      </w:r>
      <w:r w:rsidRPr="00A82EF2">
        <w:t>“Internal combustion engine”.</w:t>
      </w:r>
    </w:p>
    <w:tbl>
      <w:tblPr>
        <w:tblStyle w:val="TableGrid"/>
        <w:tblW w:w="8080" w:type="dxa"/>
        <w:tblInd w:w="1129" w:type="dxa"/>
        <w:tblLook w:val="04A0" w:firstRow="1" w:lastRow="0" w:firstColumn="1" w:lastColumn="0" w:noHBand="0" w:noVBand="1"/>
      </w:tblPr>
      <w:tblGrid>
        <w:gridCol w:w="851"/>
        <w:gridCol w:w="1843"/>
        <w:gridCol w:w="567"/>
        <w:gridCol w:w="567"/>
        <w:gridCol w:w="567"/>
        <w:gridCol w:w="567"/>
        <w:gridCol w:w="3118"/>
      </w:tblGrid>
      <w:tr w:rsidR="008F1EFA" w:rsidRPr="002D45F3" w14:paraId="7ADD2EBA" w14:textId="77777777">
        <w:tc>
          <w:tcPr>
            <w:tcW w:w="851" w:type="dxa"/>
          </w:tcPr>
          <w:p w14:paraId="3C71343E" w14:textId="77777777" w:rsidR="008F1EFA" w:rsidRPr="002D45F3" w:rsidRDefault="008F1EFA">
            <w:pPr>
              <w:ind w:left="139"/>
              <w:rPr>
                <w:i/>
                <w:iCs/>
                <w:strike/>
                <w:sz w:val="18"/>
                <w:szCs w:val="18"/>
              </w:rPr>
            </w:pPr>
            <w:r w:rsidRPr="002D45F3">
              <w:rPr>
                <w:i/>
                <w:iCs/>
                <w:strike/>
                <w:sz w:val="18"/>
                <w:szCs w:val="18"/>
              </w:rPr>
              <w:t>9.2.4.4</w:t>
            </w:r>
          </w:p>
          <w:p w14:paraId="5DEDF913" w14:textId="77777777" w:rsidR="008F1EFA" w:rsidRPr="002D45F3" w:rsidRDefault="008F1EFA">
            <w:pPr>
              <w:ind w:left="139"/>
              <w:rPr>
                <w:i/>
                <w:iCs/>
                <w:sz w:val="18"/>
                <w:szCs w:val="18"/>
              </w:rPr>
            </w:pPr>
            <w:r w:rsidRPr="002D45F3">
              <w:rPr>
                <w:i/>
                <w:iCs/>
                <w:sz w:val="18"/>
                <w:szCs w:val="18"/>
              </w:rPr>
              <w:t>9.2.4.3</w:t>
            </w:r>
          </w:p>
        </w:tc>
        <w:tc>
          <w:tcPr>
            <w:tcW w:w="1843" w:type="dxa"/>
          </w:tcPr>
          <w:p w14:paraId="0D7943D8" w14:textId="77777777" w:rsidR="008F1EFA" w:rsidRPr="002D45F3" w:rsidRDefault="008F1EFA">
            <w:pPr>
              <w:ind w:left="139"/>
              <w:rPr>
                <w:i/>
                <w:iCs/>
                <w:sz w:val="18"/>
                <w:szCs w:val="18"/>
              </w:rPr>
            </w:pPr>
            <w:r w:rsidRPr="002D45F3">
              <w:rPr>
                <w:i/>
                <w:iCs/>
                <w:strike/>
                <w:sz w:val="18"/>
                <w:szCs w:val="18"/>
              </w:rPr>
              <w:t>Engine</w:t>
            </w:r>
            <w:r w:rsidRPr="002D45F3">
              <w:rPr>
                <w:i/>
                <w:iCs/>
                <w:sz w:val="18"/>
                <w:szCs w:val="18"/>
              </w:rPr>
              <w:t xml:space="preserve"> Internal combustion engine</w:t>
            </w:r>
          </w:p>
        </w:tc>
        <w:tc>
          <w:tcPr>
            <w:tcW w:w="567" w:type="dxa"/>
          </w:tcPr>
          <w:p w14:paraId="002C6534" w14:textId="77777777" w:rsidR="008F1EFA" w:rsidRPr="002D45F3" w:rsidRDefault="008F1EFA">
            <w:pPr>
              <w:ind w:left="139"/>
              <w:rPr>
                <w:sz w:val="18"/>
                <w:szCs w:val="18"/>
              </w:rPr>
            </w:pPr>
            <w:r w:rsidRPr="002D45F3">
              <w:rPr>
                <w:sz w:val="18"/>
                <w:szCs w:val="18"/>
              </w:rPr>
              <w:t>X</w:t>
            </w:r>
          </w:p>
        </w:tc>
        <w:tc>
          <w:tcPr>
            <w:tcW w:w="567" w:type="dxa"/>
          </w:tcPr>
          <w:p w14:paraId="4233240D" w14:textId="77777777" w:rsidR="008F1EFA" w:rsidRPr="002D45F3" w:rsidRDefault="008F1EFA">
            <w:pPr>
              <w:ind w:left="139"/>
              <w:rPr>
                <w:sz w:val="18"/>
                <w:szCs w:val="18"/>
              </w:rPr>
            </w:pPr>
            <w:r w:rsidRPr="002D45F3">
              <w:rPr>
                <w:sz w:val="18"/>
                <w:szCs w:val="18"/>
              </w:rPr>
              <w:t>X</w:t>
            </w:r>
          </w:p>
        </w:tc>
        <w:tc>
          <w:tcPr>
            <w:tcW w:w="567" w:type="dxa"/>
          </w:tcPr>
          <w:p w14:paraId="3EFAEE5A" w14:textId="77777777" w:rsidR="008F1EFA" w:rsidRPr="002D45F3" w:rsidRDefault="008F1EFA">
            <w:pPr>
              <w:ind w:left="139"/>
              <w:rPr>
                <w:sz w:val="18"/>
                <w:szCs w:val="18"/>
              </w:rPr>
            </w:pPr>
          </w:p>
        </w:tc>
        <w:tc>
          <w:tcPr>
            <w:tcW w:w="567" w:type="dxa"/>
          </w:tcPr>
          <w:p w14:paraId="3B96BC93" w14:textId="77777777" w:rsidR="008F1EFA" w:rsidRPr="002D45F3" w:rsidRDefault="008F1EFA">
            <w:pPr>
              <w:ind w:left="139"/>
              <w:rPr>
                <w:sz w:val="18"/>
                <w:szCs w:val="18"/>
              </w:rPr>
            </w:pPr>
            <w:r w:rsidRPr="002D45F3">
              <w:rPr>
                <w:sz w:val="18"/>
                <w:szCs w:val="18"/>
              </w:rPr>
              <w:t>X</w:t>
            </w:r>
          </w:p>
        </w:tc>
        <w:tc>
          <w:tcPr>
            <w:tcW w:w="3118" w:type="dxa"/>
          </w:tcPr>
          <w:p w14:paraId="20CD30FD" w14:textId="77777777" w:rsidR="008F1EFA" w:rsidRPr="002D45F3" w:rsidRDefault="008F1EFA">
            <w:pPr>
              <w:ind w:left="139"/>
              <w:rPr>
                <w:i/>
                <w:iCs/>
                <w:sz w:val="18"/>
                <w:szCs w:val="18"/>
              </w:rPr>
            </w:pPr>
          </w:p>
        </w:tc>
      </w:tr>
    </w:tbl>
    <w:p w14:paraId="1C893807" w14:textId="77777777" w:rsidR="008F1EFA" w:rsidRPr="00A82EF2" w:rsidRDefault="008F1EFA" w:rsidP="00A82EF2">
      <w:pPr>
        <w:pStyle w:val="SingleTxtG"/>
        <w:spacing w:before="120"/>
      </w:pPr>
      <w:r w:rsidRPr="002D45F3">
        <w:t>Delete line 9.2.4.5</w:t>
      </w:r>
      <w:r w:rsidRPr="00A82EF2">
        <w:t>.</w:t>
      </w:r>
    </w:p>
    <w:tbl>
      <w:tblPr>
        <w:tblStyle w:val="TableGrid"/>
        <w:tblW w:w="8080" w:type="dxa"/>
        <w:tblInd w:w="1129" w:type="dxa"/>
        <w:tblLook w:val="04A0" w:firstRow="1" w:lastRow="0" w:firstColumn="1" w:lastColumn="0" w:noHBand="0" w:noVBand="1"/>
      </w:tblPr>
      <w:tblGrid>
        <w:gridCol w:w="851"/>
        <w:gridCol w:w="1843"/>
        <w:gridCol w:w="567"/>
        <w:gridCol w:w="567"/>
        <w:gridCol w:w="567"/>
        <w:gridCol w:w="567"/>
        <w:gridCol w:w="3118"/>
      </w:tblGrid>
      <w:tr w:rsidR="008F1EFA" w:rsidRPr="002D45F3" w14:paraId="18B3BC36" w14:textId="77777777">
        <w:tc>
          <w:tcPr>
            <w:tcW w:w="851" w:type="dxa"/>
          </w:tcPr>
          <w:p w14:paraId="78EBDA9D" w14:textId="77777777" w:rsidR="008F1EFA" w:rsidRPr="002D45F3" w:rsidRDefault="008F1EFA">
            <w:pPr>
              <w:ind w:left="136"/>
              <w:rPr>
                <w:i/>
                <w:iCs/>
                <w:strike/>
                <w:sz w:val="18"/>
                <w:szCs w:val="18"/>
              </w:rPr>
            </w:pPr>
            <w:r w:rsidRPr="002D45F3">
              <w:rPr>
                <w:i/>
                <w:iCs/>
                <w:strike/>
                <w:sz w:val="18"/>
                <w:szCs w:val="18"/>
              </w:rPr>
              <w:t>9.2.4.5</w:t>
            </w:r>
          </w:p>
        </w:tc>
        <w:tc>
          <w:tcPr>
            <w:tcW w:w="1843" w:type="dxa"/>
          </w:tcPr>
          <w:p w14:paraId="0B2EAB3B" w14:textId="77777777" w:rsidR="008F1EFA" w:rsidRPr="002D45F3" w:rsidRDefault="008F1EFA">
            <w:pPr>
              <w:ind w:left="142"/>
              <w:rPr>
                <w:i/>
                <w:iCs/>
                <w:strike/>
                <w:sz w:val="18"/>
                <w:szCs w:val="18"/>
              </w:rPr>
            </w:pPr>
            <w:r w:rsidRPr="002D45F3">
              <w:rPr>
                <w:i/>
                <w:iCs/>
                <w:strike/>
                <w:sz w:val="18"/>
                <w:szCs w:val="18"/>
              </w:rPr>
              <w:t>Exhaust system</w:t>
            </w:r>
          </w:p>
        </w:tc>
        <w:tc>
          <w:tcPr>
            <w:tcW w:w="567" w:type="dxa"/>
          </w:tcPr>
          <w:p w14:paraId="186BA305" w14:textId="77777777" w:rsidR="008F1EFA" w:rsidRPr="002D45F3" w:rsidRDefault="008F1EFA">
            <w:pPr>
              <w:ind w:left="138"/>
              <w:rPr>
                <w:strike/>
                <w:sz w:val="18"/>
                <w:szCs w:val="18"/>
              </w:rPr>
            </w:pPr>
            <w:r w:rsidRPr="002D45F3">
              <w:rPr>
                <w:strike/>
                <w:sz w:val="18"/>
                <w:szCs w:val="18"/>
              </w:rPr>
              <w:t>X</w:t>
            </w:r>
          </w:p>
        </w:tc>
        <w:tc>
          <w:tcPr>
            <w:tcW w:w="567" w:type="dxa"/>
          </w:tcPr>
          <w:p w14:paraId="7459AD36" w14:textId="77777777" w:rsidR="008F1EFA" w:rsidRPr="002D45F3" w:rsidRDefault="008F1EFA">
            <w:pPr>
              <w:ind w:left="286"/>
              <w:rPr>
                <w:strike/>
                <w:sz w:val="18"/>
                <w:szCs w:val="18"/>
              </w:rPr>
            </w:pPr>
            <w:r w:rsidRPr="002D45F3">
              <w:rPr>
                <w:strike/>
                <w:sz w:val="18"/>
                <w:szCs w:val="18"/>
              </w:rPr>
              <w:t>X</w:t>
            </w:r>
          </w:p>
        </w:tc>
        <w:tc>
          <w:tcPr>
            <w:tcW w:w="567" w:type="dxa"/>
          </w:tcPr>
          <w:p w14:paraId="2F56EBE0" w14:textId="77777777" w:rsidR="008F1EFA" w:rsidRPr="002D45F3" w:rsidRDefault="008F1EFA">
            <w:pPr>
              <w:ind w:left="1134"/>
              <w:rPr>
                <w:strike/>
                <w:sz w:val="18"/>
                <w:szCs w:val="18"/>
              </w:rPr>
            </w:pPr>
          </w:p>
        </w:tc>
        <w:tc>
          <w:tcPr>
            <w:tcW w:w="567" w:type="dxa"/>
          </w:tcPr>
          <w:p w14:paraId="34A3C293" w14:textId="77777777" w:rsidR="008F1EFA" w:rsidRPr="002D45F3" w:rsidRDefault="008F1EFA">
            <w:pPr>
              <w:ind w:left="144"/>
              <w:rPr>
                <w:strike/>
                <w:sz w:val="18"/>
                <w:szCs w:val="18"/>
              </w:rPr>
            </w:pPr>
            <w:r w:rsidRPr="002D45F3">
              <w:rPr>
                <w:strike/>
                <w:sz w:val="18"/>
                <w:szCs w:val="18"/>
              </w:rPr>
              <w:t>X</w:t>
            </w:r>
          </w:p>
        </w:tc>
        <w:tc>
          <w:tcPr>
            <w:tcW w:w="3118" w:type="dxa"/>
          </w:tcPr>
          <w:p w14:paraId="096C3ED9" w14:textId="77777777" w:rsidR="008F1EFA" w:rsidRPr="002D45F3" w:rsidRDefault="008F1EFA">
            <w:pPr>
              <w:ind w:left="1134"/>
              <w:rPr>
                <w:i/>
                <w:iCs/>
                <w:strike/>
                <w:sz w:val="18"/>
                <w:szCs w:val="18"/>
              </w:rPr>
            </w:pPr>
          </w:p>
        </w:tc>
      </w:tr>
    </w:tbl>
    <w:p w14:paraId="66B2B6F6" w14:textId="77777777" w:rsidR="008F1EFA" w:rsidRDefault="008F1EFA" w:rsidP="00A82EF2">
      <w:pPr>
        <w:pStyle w:val="SingleTxtG"/>
        <w:spacing w:before="120"/>
      </w:pPr>
      <w:r w:rsidRPr="002D45F3">
        <w:t>Renumber the existing 9.2.4.6 as  9.2.4.4 to read:</w:t>
      </w:r>
    </w:p>
    <w:tbl>
      <w:tblPr>
        <w:tblStyle w:val="TableGrid"/>
        <w:tblW w:w="8080" w:type="dxa"/>
        <w:tblInd w:w="1129" w:type="dxa"/>
        <w:tblLook w:val="04A0" w:firstRow="1" w:lastRow="0" w:firstColumn="1" w:lastColumn="0" w:noHBand="0" w:noVBand="1"/>
      </w:tblPr>
      <w:tblGrid>
        <w:gridCol w:w="988"/>
        <w:gridCol w:w="1706"/>
        <w:gridCol w:w="567"/>
        <w:gridCol w:w="567"/>
        <w:gridCol w:w="567"/>
        <w:gridCol w:w="567"/>
        <w:gridCol w:w="3118"/>
      </w:tblGrid>
      <w:tr w:rsidR="008F1EFA" w:rsidRPr="002D45F3" w14:paraId="4FC36D3E" w14:textId="77777777">
        <w:tc>
          <w:tcPr>
            <w:tcW w:w="988" w:type="dxa"/>
          </w:tcPr>
          <w:p w14:paraId="3C6CE7DD" w14:textId="77777777" w:rsidR="008F1EFA" w:rsidRPr="002D45F3" w:rsidRDefault="008F1EFA">
            <w:pPr>
              <w:ind w:left="136"/>
              <w:rPr>
                <w:i/>
                <w:iCs/>
                <w:sz w:val="18"/>
                <w:szCs w:val="18"/>
              </w:rPr>
            </w:pPr>
            <w:r w:rsidRPr="002D45F3">
              <w:rPr>
                <w:i/>
                <w:iCs/>
                <w:sz w:val="18"/>
                <w:szCs w:val="18"/>
              </w:rPr>
              <w:t>9.2.4.4</w:t>
            </w:r>
          </w:p>
        </w:tc>
        <w:tc>
          <w:tcPr>
            <w:tcW w:w="1706" w:type="dxa"/>
          </w:tcPr>
          <w:p w14:paraId="3907D6D6" w14:textId="77777777" w:rsidR="008F1EFA" w:rsidRPr="002D45F3" w:rsidRDefault="008F1EFA">
            <w:pPr>
              <w:ind w:left="86"/>
              <w:rPr>
                <w:i/>
                <w:iCs/>
                <w:sz w:val="18"/>
                <w:szCs w:val="18"/>
              </w:rPr>
            </w:pPr>
            <w:r w:rsidRPr="002D45F3">
              <w:rPr>
                <w:i/>
                <w:iCs/>
                <w:sz w:val="18"/>
                <w:szCs w:val="18"/>
              </w:rPr>
              <w:t>Electric power train</w:t>
            </w:r>
          </w:p>
        </w:tc>
        <w:tc>
          <w:tcPr>
            <w:tcW w:w="567" w:type="dxa"/>
          </w:tcPr>
          <w:p w14:paraId="7CC9A981" w14:textId="77777777" w:rsidR="008F1EFA" w:rsidRPr="002D45F3" w:rsidRDefault="008F1EFA">
            <w:pPr>
              <w:ind w:left="1134"/>
              <w:rPr>
                <w:i/>
                <w:iCs/>
                <w:sz w:val="18"/>
                <w:szCs w:val="18"/>
              </w:rPr>
            </w:pPr>
          </w:p>
        </w:tc>
        <w:tc>
          <w:tcPr>
            <w:tcW w:w="567" w:type="dxa"/>
          </w:tcPr>
          <w:p w14:paraId="5F78AAEE" w14:textId="77777777" w:rsidR="008F1EFA" w:rsidRPr="002D45F3" w:rsidRDefault="008F1EFA">
            <w:pPr>
              <w:ind w:left="1134"/>
              <w:rPr>
                <w:i/>
                <w:iCs/>
                <w:sz w:val="18"/>
                <w:szCs w:val="18"/>
              </w:rPr>
            </w:pPr>
          </w:p>
        </w:tc>
        <w:tc>
          <w:tcPr>
            <w:tcW w:w="567" w:type="dxa"/>
          </w:tcPr>
          <w:p w14:paraId="33424A0C" w14:textId="77777777" w:rsidR="008F1EFA" w:rsidRPr="002D45F3" w:rsidRDefault="008F1EFA">
            <w:pPr>
              <w:ind w:left="118"/>
              <w:rPr>
                <w:sz w:val="18"/>
                <w:szCs w:val="18"/>
              </w:rPr>
            </w:pPr>
          </w:p>
        </w:tc>
        <w:tc>
          <w:tcPr>
            <w:tcW w:w="567" w:type="dxa"/>
          </w:tcPr>
          <w:p w14:paraId="111F832E" w14:textId="77777777" w:rsidR="008F1EFA" w:rsidRPr="002D45F3" w:rsidRDefault="008F1EFA">
            <w:pPr>
              <w:ind w:left="143"/>
              <w:rPr>
                <w:sz w:val="18"/>
                <w:szCs w:val="18"/>
              </w:rPr>
            </w:pPr>
          </w:p>
        </w:tc>
        <w:tc>
          <w:tcPr>
            <w:tcW w:w="3118" w:type="dxa"/>
          </w:tcPr>
          <w:p w14:paraId="00F846DE" w14:textId="77777777" w:rsidR="008F1EFA" w:rsidRPr="002D45F3" w:rsidRDefault="008F1EFA">
            <w:pPr>
              <w:ind w:left="1134"/>
              <w:rPr>
                <w:i/>
                <w:iCs/>
                <w:sz w:val="18"/>
                <w:szCs w:val="18"/>
              </w:rPr>
            </w:pPr>
          </w:p>
        </w:tc>
      </w:tr>
    </w:tbl>
    <w:p w14:paraId="76A6B313" w14:textId="77777777" w:rsidR="008F1EFA" w:rsidRDefault="008F1EFA" w:rsidP="00A82EF2">
      <w:pPr>
        <w:pStyle w:val="SingleTxtG"/>
        <w:spacing w:before="120"/>
      </w:pPr>
      <w:r w:rsidRPr="002D45F3">
        <w:t>Introduce a new line 9.2.4.</w:t>
      </w:r>
      <w:r>
        <w:t>4.</w:t>
      </w:r>
      <w:r w:rsidRPr="002D45F3">
        <w:t>1 to read:</w:t>
      </w:r>
    </w:p>
    <w:tbl>
      <w:tblPr>
        <w:tblStyle w:val="TableGrid"/>
        <w:tblW w:w="8080" w:type="dxa"/>
        <w:tblInd w:w="1129" w:type="dxa"/>
        <w:tblLook w:val="04A0" w:firstRow="1" w:lastRow="0" w:firstColumn="1" w:lastColumn="0" w:noHBand="0" w:noVBand="1"/>
      </w:tblPr>
      <w:tblGrid>
        <w:gridCol w:w="988"/>
        <w:gridCol w:w="1706"/>
        <w:gridCol w:w="567"/>
        <w:gridCol w:w="567"/>
        <w:gridCol w:w="567"/>
        <w:gridCol w:w="567"/>
        <w:gridCol w:w="3118"/>
      </w:tblGrid>
      <w:tr w:rsidR="008F1EFA" w:rsidRPr="002D45F3" w14:paraId="72D8B7F4" w14:textId="77777777">
        <w:tc>
          <w:tcPr>
            <w:tcW w:w="988" w:type="dxa"/>
          </w:tcPr>
          <w:p w14:paraId="0EB6C427" w14:textId="77777777" w:rsidR="008F1EFA" w:rsidRPr="002D45F3" w:rsidRDefault="008F1EFA">
            <w:pPr>
              <w:ind w:left="136"/>
              <w:rPr>
                <w:i/>
                <w:iCs/>
                <w:sz w:val="18"/>
                <w:szCs w:val="18"/>
              </w:rPr>
            </w:pPr>
            <w:r w:rsidRPr="002D45F3">
              <w:rPr>
                <w:i/>
                <w:iCs/>
                <w:sz w:val="18"/>
                <w:szCs w:val="18"/>
              </w:rPr>
              <w:t>9.2.4</w:t>
            </w:r>
            <w:r>
              <w:rPr>
                <w:i/>
                <w:iCs/>
                <w:sz w:val="18"/>
                <w:szCs w:val="18"/>
              </w:rPr>
              <w:t>.4</w:t>
            </w:r>
            <w:r w:rsidRPr="002D45F3">
              <w:rPr>
                <w:i/>
                <w:iCs/>
                <w:sz w:val="18"/>
                <w:szCs w:val="18"/>
              </w:rPr>
              <w:t>.1</w:t>
            </w:r>
          </w:p>
        </w:tc>
        <w:tc>
          <w:tcPr>
            <w:tcW w:w="1706" w:type="dxa"/>
          </w:tcPr>
          <w:p w14:paraId="148FC3D8" w14:textId="77777777" w:rsidR="008F1EFA" w:rsidRPr="002D45F3" w:rsidRDefault="008F1EFA">
            <w:pPr>
              <w:ind w:left="194"/>
              <w:rPr>
                <w:i/>
                <w:iCs/>
                <w:sz w:val="18"/>
                <w:szCs w:val="18"/>
              </w:rPr>
            </w:pPr>
            <w:r w:rsidRPr="002D45F3">
              <w:rPr>
                <w:i/>
                <w:iCs/>
                <w:sz w:val="18"/>
                <w:szCs w:val="18"/>
              </w:rPr>
              <w:t>General</w:t>
            </w:r>
            <w:r>
              <w:rPr>
                <w:i/>
                <w:iCs/>
                <w:sz w:val="18"/>
                <w:szCs w:val="18"/>
              </w:rPr>
              <w:t xml:space="preserve"> provisions</w:t>
            </w:r>
          </w:p>
        </w:tc>
        <w:tc>
          <w:tcPr>
            <w:tcW w:w="567" w:type="dxa"/>
          </w:tcPr>
          <w:p w14:paraId="6A58E75E" w14:textId="77777777" w:rsidR="008F1EFA" w:rsidRPr="002D45F3" w:rsidRDefault="008F1EFA">
            <w:pPr>
              <w:ind w:left="1134"/>
              <w:rPr>
                <w:i/>
                <w:iCs/>
                <w:sz w:val="18"/>
                <w:szCs w:val="18"/>
              </w:rPr>
            </w:pPr>
          </w:p>
        </w:tc>
        <w:tc>
          <w:tcPr>
            <w:tcW w:w="567" w:type="dxa"/>
          </w:tcPr>
          <w:p w14:paraId="6FB1004D" w14:textId="77777777" w:rsidR="008F1EFA" w:rsidRPr="002D45F3" w:rsidRDefault="008F1EFA">
            <w:pPr>
              <w:ind w:left="1134"/>
              <w:rPr>
                <w:i/>
                <w:iCs/>
                <w:sz w:val="18"/>
                <w:szCs w:val="18"/>
              </w:rPr>
            </w:pPr>
          </w:p>
        </w:tc>
        <w:tc>
          <w:tcPr>
            <w:tcW w:w="567" w:type="dxa"/>
          </w:tcPr>
          <w:p w14:paraId="74656D2D" w14:textId="77777777" w:rsidR="008F1EFA" w:rsidRPr="002D45F3" w:rsidRDefault="008F1EFA">
            <w:pPr>
              <w:ind w:left="96"/>
              <w:rPr>
                <w:sz w:val="18"/>
                <w:szCs w:val="18"/>
              </w:rPr>
            </w:pPr>
            <w:r w:rsidRPr="002D45F3">
              <w:rPr>
                <w:sz w:val="18"/>
                <w:szCs w:val="18"/>
              </w:rPr>
              <w:t>X</w:t>
            </w:r>
          </w:p>
        </w:tc>
        <w:tc>
          <w:tcPr>
            <w:tcW w:w="567" w:type="dxa"/>
          </w:tcPr>
          <w:p w14:paraId="721A4411" w14:textId="77777777" w:rsidR="008F1EFA" w:rsidRPr="002D45F3" w:rsidRDefault="008F1EFA">
            <w:pPr>
              <w:ind w:left="132"/>
              <w:rPr>
                <w:sz w:val="18"/>
                <w:szCs w:val="18"/>
              </w:rPr>
            </w:pPr>
            <w:r w:rsidRPr="002D45F3">
              <w:rPr>
                <w:sz w:val="18"/>
                <w:szCs w:val="18"/>
              </w:rPr>
              <w:t>X</w:t>
            </w:r>
          </w:p>
        </w:tc>
        <w:tc>
          <w:tcPr>
            <w:tcW w:w="3118" w:type="dxa"/>
          </w:tcPr>
          <w:p w14:paraId="74B22F97" w14:textId="77777777" w:rsidR="008F1EFA" w:rsidRPr="002D45F3" w:rsidRDefault="008F1EFA">
            <w:pPr>
              <w:ind w:left="1134"/>
              <w:rPr>
                <w:i/>
                <w:iCs/>
                <w:sz w:val="18"/>
                <w:szCs w:val="18"/>
              </w:rPr>
            </w:pPr>
          </w:p>
        </w:tc>
      </w:tr>
    </w:tbl>
    <w:p w14:paraId="076A61EA" w14:textId="77777777" w:rsidR="008F1EFA" w:rsidRDefault="008F1EFA" w:rsidP="00A82EF2">
      <w:pPr>
        <w:pStyle w:val="SingleTxtG"/>
        <w:spacing w:before="120"/>
      </w:pPr>
      <w:r w:rsidRPr="002D45F3">
        <w:t>Introduce a new line 9.2.4.4.2  to read:</w:t>
      </w:r>
    </w:p>
    <w:tbl>
      <w:tblPr>
        <w:tblStyle w:val="TableGrid"/>
        <w:tblW w:w="8080" w:type="dxa"/>
        <w:tblInd w:w="1129" w:type="dxa"/>
        <w:tblLook w:val="04A0" w:firstRow="1" w:lastRow="0" w:firstColumn="1" w:lastColumn="0" w:noHBand="0" w:noVBand="1"/>
      </w:tblPr>
      <w:tblGrid>
        <w:gridCol w:w="988"/>
        <w:gridCol w:w="1706"/>
        <w:gridCol w:w="567"/>
        <w:gridCol w:w="708"/>
        <w:gridCol w:w="426"/>
        <w:gridCol w:w="567"/>
        <w:gridCol w:w="3118"/>
      </w:tblGrid>
      <w:tr w:rsidR="008F1EFA" w:rsidRPr="002D45F3" w14:paraId="0FC7762C" w14:textId="77777777">
        <w:tc>
          <w:tcPr>
            <w:tcW w:w="988" w:type="dxa"/>
          </w:tcPr>
          <w:p w14:paraId="4F52B118" w14:textId="77777777" w:rsidR="008F1EFA" w:rsidRPr="002D45F3" w:rsidRDefault="008F1EFA">
            <w:pPr>
              <w:ind w:left="136"/>
              <w:rPr>
                <w:i/>
                <w:iCs/>
                <w:sz w:val="18"/>
                <w:szCs w:val="18"/>
              </w:rPr>
            </w:pPr>
            <w:r w:rsidRPr="002D45F3">
              <w:rPr>
                <w:i/>
                <w:iCs/>
                <w:sz w:val="18"/>
                <w:szCs w:val="18"/>
              </w:rPr>
              <w:t>9.2.4.4.2</w:t>
            </w:r>
          </w:p>
        </w:tc>
        <w:tc>
          <w:tcPr>
            <w:tcW w:w="1706" w:type="dxa"/>
          </w:tcPr>
          <w:p w14:paraId="3260D37D" w14:textId="446C6C26" w:rsidR="008F1EFA" w:rsidRPr="002D45F3" w:rsidRDefault="00752030">
            <w:pPr>
              <w:ind w:left="166"/>
              <w:rPr>
                <w:i/>
                <w:iCs/>
                <w:sz w:val="18"/>
                <w:szCs w:val="18"/>
              </w:rPr>
            </w:pPr>
            <w:r>
              <w:rPr>
                <w:i/>
                <w:iCs/>
                <w:sz w:val="18"/>
                <w:szCs w:val="18"/>
              </w:rPr>
              <w:t>R</w:t>
            </w:r>
            <w:r w:rsidRPr="002D45F3">
              <w:rPr>
                <w:i/>
                <w:iCs/>
                <w:sz w:val="18"/>
                <w:szCs w:val="18"/>
              </w:rPr>
              <w:t>echargeable electrical energy storage system</w:t>
            </w:r>
          </w:p>
        </w:tc>
        <w:tc>
          <w:tcPr>
            <w:tcW w:w="567" w:type="dxa"/>
          </w:tcPr>
          <w:p w14:paraId="479E4038" w14:textId="77777777" w:rsidR="008F1EFA" w:rsidRPr="002D45F3" w:rsidRDefault="008F1EFA">
            <w:pPr>
              <w:ind w:left="1134"/>
              <w:rPr>
                <w:i/>
                <w:iCs/>
                <w:sz w:val="18"/>
                <w:szCs w:val="18"/>
              </w:rPr>
            </w:pPr>
          </w:p>
        </w:tc>
        <w:tc>
          <w:tcPr>
            <w:tcW w:w="708" w:type="dxa"/>
          </w:tcPr>
          <w:p w14:paraId="1D128E12" w14:textId="77777777" w:rsidR="008F1EFA" w:rsidRPr="002D45F3" w:rsidRDefault="008F1EFA">
            <w:pPr>
              <w:ind w:left="1134"/>
              <w:rPr>
                <w:i/>
                <w:iCs/>
                <w:sz w:val="18"/>
                <w:szCs w:val="18"/>
              </w:rPr>
            </w:pPr>
          </w:p>
        </w:tc>
        <w:tc>
          <w:tcPr>
            <w:tcW w:w="426" w:type="dxa"/>
          </w:tcPr>
          <w:p w14:paraId="6BE10754" w14:textId="77777777" w:rsidR="008F1EFA" w:rsidRPr="002D45F3" w:rsidRDefault="008F1EFA">
            <w:pPr>
              <w:ind w:left="3"/>
              <w:rPr>
                <w:i/>
                <w:iCs/>
                <w:sz w:val="18"/>
                <w:szCs w:val="18"/>
              </w:rPr>
            </w:pPr>
            <w:r w:rsidRPr="002D45F3">
              <w:rPr>
                <w:sz w:val="18"/>
                <w:szCs w:val="18"/>
              </w:rPr>
              <w:t>[</w:t>
            </w:r>
            <w:proofErr w:type="spellStart"/>
            <w:r w:rsidRPr="002D45F3">
              <w:rPr>
                <w:sz w:val="18"/>
                <w:szCs w:val="18"/>
              </w:rPr>
              <w:t>X</w:t>
            </w:r>
            <w:r w:rsidRPr="002D45F3">
              <w:rPr>
                <w:vertAlign w:val="superscript"/>
              </w:rPr>
              <w:t>k</w:t>
            </w:r>
            <w:proofErr w:type="spellEnd"/>
            <w:r w:rsidRPr="002D45F3">
              <w:t>]</w:t>
            </w:r>
          </w:p>
        </w:tc>
        <w:tc>
          <w:tcPr>
            <w:tcW w:w="567" w:type="dxa"/>
          </w:tcPr>
          <w:p w14:paraId="32E30399" w14:textId="77777777" w:rsidR="008F1EFA" w:rsidRPr="002D45F3" w:rsidRDefault="008F1EFA">
            <w:pPr>
              <w:ind w:left="126"/>
              <w:rPr>
                <w:sz w:val="18"/>
                <w:szCs w:val="18"/>
              </w:rPr>
            </w:pPr>
            <w:r w:rsidRPr="002D45F3">
              <w:rPr>
                <w:sz w:val="18"/>
                <w:szCs w:val="18"/>
              </w:rPr>
              <w:t>X</w:t>
            </w:r>
          </w:p>
        </w:tc>
        <w:tc>
          <w:tcPr>
            <w:tcW w:w="3118" w:type="dxa"/>
          </w:tcPr>
          <w:p w14:paraId="4A0DD594" w14:textId="77777777" w:rsidR="008F1EFA" w:rsidRPr="002D45F3" w:rsidRDefault="008F1EFA">
            <w:pPr>
              <w:ind w:left="139"/>
              <w:rPr>
                <w:i/>
                <w:iCs/>
                <w:sz w:val="18"/>
                <w:szCs w:val="18"/>
              </w:rPr>
            </w:pPr>
            <w:r w:rsidRPr="002D45F3">
              <w:t>[</w:t>
            </w:r>
            <w:r w:rsidRPr="002D45F3">
              <w:rPr>
                <w:vertAlign w:val="superscript"/>
              </w:rPr>
              <w:t xml:space="preserve">k </w:t>
            </w:r>
            <w:r w:rsidRPr="002D45F3">
              <w:t>Applicable to motor vehicles first registered after 31 March 2026]</w:t>
            </w:r>
          </w:p>
        </w:tc>
      </w:tr>
    </w:tbl>
    <w:p w14:paraId="7C0DFBC8" w14:textId="77777777" w:rsidR="008F1EFA" w:rsidRDefault="008F1EFA" w:rsidP="00A82EF2">
      <w:pPr>
        <w:pStyle w:val="SingleTxtG"/>
        <w:spacing w:before="120"/>
      </w:pPr>
      <w:r w:rsidRPr="002D45F3">
        <w:t>Introduce a new line 9.2.4.4.3 to read:</w:t>
      </w:r>
    </w:p>
    <w:tbl>
      <w:tblPr>
        <w:tblStyle w:val="TableGrid"/>
        <w:tblW w:w="8080" w:type="dxa"/>
        <w:tblInd w:w="1129" w:type="dxa"/>
        <w:tblLook w:val="04A0" w:firstRow="1" w:lastRow="0" w:firstColumn="1" w:lastColumn="0" w:noHBand="0" w:noVBand="1"/>
      </w:tblPr>
      <w:tblGrid>
        <w:gridCol w:w="988"/>
        <w:gridCol w:w="1706"/>
        <w:gridCol w:w="567"/>
        <w:gridCol w:w="567"/>
        <w:gridCol w:w="567"/>
        <w:gridCol w:w="567"/>
        <w:gridCol w:w="3118"/>
      </w:tblGrid>
      <w:tr w:rsidR="008F1EFA" w:rsidRPr="002D45F3" w14:paraId="465ED111" w14:textId="77777777">
        <w:tc>
          <w:tcPr>
            <w:tcW w:w="988" w:type="dxa"/>
          </w:tcPr>
          <w:p w14:paraId="55D517D8" w14:textId="77777777" w:rsidR="008F1EFA" w:rsidRPr="002D45F3" w:rsidRDefault="008F1EFA">
            <w:pPr>
              <w:ind w:left="136"/>
              <w:rPr>
                <w:i/>
                <w:iCs/>
                <w:sz w:val="18"/>
                <w:szCs w:val="18"/>
              </w:rPr>
            </w:pPr>
            <w:r w:rsidRPr="002D45F3">
              <w:rPr>
                <w:i/>
                <w:iCs/>
                <w:sz w:val="18"/>
                <w:szCs w:val="18"/>
              </w:rPr>
              <w:t>9.2.4.4.3</w:t>
            </w:r>
          </w:p>
        </w:tc>
        <w:tc>
          <w:tcPr>
            <w:tcW w:w="1706" w:type="dxa"/>
          </w:tcPr>
          <w:p w14:paraId="6B00A237" w14:textId="008F6A7A" w:rsidR="008F1EFA" w:rsidRPr="002D45F3" w:rsidRDefault="008F1EFA">
            <w:pPr>
              <w:ind w:left="138"/>
              <w:rPr>
                <w:i/>
                <w:iCs/>
                <w:sz w:val="18"/>
                <w:szCs w:val="18"/>
              </w:rPr>
            </w:pPr>
            <w:r>
              <w:rPr>
                <w:i/>
                <w:iCs/>
                <w:sz w:val="18"/>
                <w:szCs w:val="18"/>
              </w:rPr>
              <w:t>Measures against thermal propa</w:t>
            </w:r>
            <w:r w:rsidR="00A82EF2">
              <w:rPr>
                <w:i/>
                <w:iCs/>
                <w:sz w:val="18"/>
                <w:szCs w:val="18"/>
              </w:rPr>
              <w:t>g</w:t>
            </w:r>
            <w:r>
              <w:rPr>
                <w:i/>
                <w:iCs/>
                <w:sz w:val="18"/>
                <w:szCs w:val="18"/>
              </w:rPr>
              <w:t>ation</w:t>
            </w:r>
          </w:p>
        </w:tc>
        <w:tc>
          <w:tcPr>
            <w:tcW w:w="567" w:type="dxa"/>
          </w:tcPr>
          <w:p w14:paraId="125C15A3" w14:textId="77777777" w:rsidR="008F1EFA" w:rsidRPr="002D45F3" w:rsidRDefault="008F1EFA">
            <w:pPr>
              <w:ind w:left="1134"/>
              <w:rPr>
                <w:i/>
                <w:iCs/>
                <w:sz w:val="18"/>
                <w:szCs w:val="18"/>
              </w:rPr>
            </w:pPr>
          </w:p>
        </w:tc>
        <w:tc>
          <w:tcPr>
            <w:tcW w:w="567" w:type="dxa"/>
          </w:tcPr>
          <w:p w14:paraId="71B6D937" w14:textId="77777777" w:rsidR="008F1EFA" w:rsidRPr="002D45F3" w:rsidRDefault="008F1EFA">
            <w:pPr>
              <w:ind w:left="1134"/>
              <w:rPr>
                <w:i/>
                <w:iCs/>
                <w:sz w:val="18"/>
                <w:szCs w:val="18"/>
              </w:rPr>
            </w:pPr>
          </w:p>
        </w:tc>
        <w:tc>
          <w:tcPr>
            <w:tcW w:w="567" w:type="dxa"/>
          </w:tcPr>
          <w:p w14:paraId="0EB80C5E" w14:textId="77777777" w:rsidR="008F1EFA" w:rsidRPr="002D45F3" w:rsidRDefault="008F1EFA">
            <w:pPr>
              <w:ind w:left="118"/>
              <w:rPr>
                <w:sz w:val="18"/>
                <w:szCs w:val="18"/>
              </w:rPr>
            </w:pPr>
          </w:p>
        </w:tc>
        <w:tc>
          <w:tcPr>
            <w:tcW w:w="567" w:type="dxa"/>
          </w:tcPr>
          <w:p w14:paraId="45BF2F84" w14:textId="77777777" w:rsidR="008F1EFA" w:rsidRPr="002D45F3" w:rsidRDefault="008F1EFA">
            <w:pPr>
              <w:ind w:left="108"/>
              <w:rPr>
                <w:sz w:val="18"/>
                <w:szCs w:val="18"/>
              </w:rPr>
            </w:pPr>
            <w:r w:rsidRPr="002D45F3">
              <w:rPr>
                <w:sz w:val="18"/>
                <w:szCs w:val="18"/>
              </w:rPr>
              <w:t>X</w:t>
            </w:r>
          </w:p>
        </w:tc>
        <w:tc>
          <w:tcPr>
            <w:tcW w:w="3118" w:type="dxa"/>
          </w:tcPr>
          <w:p w14:paraId="528EABBA" w14:textId="77777777" w:rsidR="008F1EFA" w:rsidRPr="002D45F3" w:rsidRDefault="008F1EFA">
            <w:pPr>
              <w:ind w:left="1134"/>
              <w:rPr>
                <w:i/>
                <w:iCs/>
                <w:sz w:val="18"/>
                <w:szCs w:val="18"/>
              </w:rPr>
            </w:pPr>
          </w:p>
        </w:tc>
      </w:tr>
    </w:tbl>
    <w:p w14:paraId="68747307" w14:textId="2696ECC7" w:rsidR="008F1EFA" w:rsidRDefault="008F1EFA" w:rsidP="00A82EF2">
      <w:pPr>
        <w:pStyle w:val="SingleTxtG"/>
        <w:spacing w:before="120"/>
      </w:pPr>
      <w:r w:rsidRPr="002D45F3">
        <w:t>Delete line 9.2.4.7</w:t>
      </w:r>
      <w:r w:rsidR="00A82EF2">
        <w:t>.</w:t>
      </w:r>
    </w:p>
    <w:tbl>
      <w:tblPr>
        <w:tblStyle w:val="TableGrid"/>
        <w:tblW w:w="8080" w:type="dxa"/>
        <w:tblInd w:w="1129" w:type="dxa"/>
        <w:tblLook w:val="04A0" w:firstRow="1" w:lastRow="0" w:firstColumn="1" w:lastColumn="0" w:noHBand="0" w:noVBand="1"/>
      </w:tblPr>
      <w:tblGrid>
        <w:gridCol w:w="993"/>
        <w:gridCol w:w="1701"/>
        <w:gridCol w:w="567"/>
        <w:gridCol w:w="567"/>
        <w:gridCol w:w="567"/>
        <w:gridCol w:w="567"/>
        <w:gridCol w:w="3118"/>
      </w:tblGrid>
      <w:tr w:rsidR="008F1EFA" w:rsidRPr="002D45F3" w14:paraId="09E9B470" w14:textId="77777777">
        <w:tc>
          <w:tcPr>
            <w:tcW w:w="993" w:type="dxa"/>
          </w:tcPr>
          <w:p w14:paraId="4CE2C942" w14:textId="77777777" w:rsidR="008F1EFA" w:rsidRPr="002D45F3" w:rsidRDefault="008F1EFA">
            <w:pPr>
              <w:ind w:left="136"/>
              <w:rPr>
                <w:i/>
                <w:iCs/>
                <w:strike/>
                <w:sz w:val="18"/>
                <w:szCs w:val="18"/>
              </w:rPr>
            </w:pPr>
            <w:r w:rsidRPr="002D45F3">
              <w:rPr>
                <w:i/>
                <w:iCs/>
                <w:strike/>
                <w:sz w:val="18"/>
                <w:szCs w:val="18"/>
              </w:rPr>
              <w:t>9.2.4.7</w:t>
            </w:r>
          </w:p>
        </w:tc>
        <w:tc>
          <w:tcPr>
            <w:tcW w:w="1701" w:type="dxa"/>
          </w:tcPr>
          <w:p w14:paraId="334FCD62" w14:textId="77777777" w:rsidR="008F1EFA" w:rsidRPr="002D45F3" w:rsidRDefault="008F1EFA">
            <w:pPr>
              <w:ind w:left="64"/>
              <w:rPr>
                <w:i/>
                <w:iCs/>
                <w:strike/>
                <w:sz w:val="18"/>
                <w:szCs w:val="18"/>
              </w:rPr>
            </w:pPr>
            <w:r w:rsidRPr="002D45F3">
              <w:rPr>
                <w:i/>
                <w:iCs/>
                <w:strike/>
                <w:sz w:val="18"/>
                <w:szCs w:val="18"/>
              </w:rPr>
              <w:t>Vehicle endurance braking</w:t>
            </w:r>
          </w:p>
        </w:tc>
        <w:tc>
          <w:tcPr>
            <w:tcW w:w="567" w:type="dxa"/>
          </w:tcPr>
          <w:p w14:paraId="1786EB5E" w14:textId="77777777" w:rsidR="008F1EFA" w:rsidRPr="002D45F3" w:rsidRDefault="008F1EFA">
            <w:pPr>
              <w:ind w:left="86"/>
              <w:rPr>
                <w:i/>
                <w:iCs/>
                <w:strike/>
                <w:sz w:val="18"/>
                <w:szCs w:val="18"/>
              </w:rPr>
            </w:pPr>
            <w:proofErr w:type="spellStart"/>
            <w:r w:rsidRPr="002D45F3">
              <w:rPr>
                <w:i/>
                <w:iCs/>
                <w:strike/>
                <w:sz w:val="18"/>
                <w:szCs w:val="18"/>
              </w:rPr>
              <w:t>X</w:t>
            </w:r>
            <w:r w:rsidRPr="002D45F3">
              <w:rPr>
                <w:i/>
                <w:iCs/>
                <w:strike/>
                <w:sz w:val="18"/>
                <w:szCs w:val="18"/>
                <w:vertAlign w:val="superscript"/>
              </w:rPr>
              <w:t>f</w:t>
            </w:r>
            <w:proofErr w:type="spellEnd"/>
          </w:p>
        </w:tc>
        <w:tc>
          <w:tcPr>
            <w:tcW w:w="567" w:type="dxa"/>
          </w:tcPr>
          <w:p w14:paraId="2E00228E" w14:textId="77777777" w:rsidR="008F1EFA" w:rsidRPr="002D45F3" w:rsidRDefault="008F1EFA">
            <w:pPr>
              <w:ind w:left="219"/>
              <w:rPr>
                <w:i/>
                <w:iCs/>
                <w:strike/>
                <w:sz w:val="18"/>
                <w:szCs w:val="18"/>
              </w:rPr>
            </w:pPr>
            <w:r w:rsidRPr="002D45F3">
              <w:rPr>
                <w:i/>
                <w:iCs/>
                <w:strike/>
                <w:sz w:val="18"/>
                <w:szCs w:val="18"/>
              </w:rPr>
              <w:t>X</w:t>
            </w:r>
          </w:p>
        </w:tc>
        <w:tc>
          <w:tcPr>
            <w:tcW w:w="567" w:type="dxa"/>
          </w:tcPr>
          <w:p w14:paraId="563A7E45" w14:textId="77777777" w:rsidR="008F1EFA" w:rsidRPr="002D45F3" w:rsidRDefault="008F1EFA">
            <w:pPr>
              <w:ind w:left="97"/>
              <w:rPr>
                <w:i/>
                <w:iCs/>
                <w:strike/>
                <w:sz w:val="18"/>
                <w:szCs w:val="18"/>
              </w:rPr>
            </w:pPr>
            <w:r w:rsidRPr="002D45F3">
              <w:rPr>
                <w:i/>
                <w:iCs/>
                <w:strike/>
                <w:sz w:val="18"/>
                <w:szCs w:val="18"/>
              </w:rPr>
              <w:t>X</w:t>
            </w:r>
          </w:p>
        </w:tc>
        <w:tc>
          <w:tcPr>
            <w:tcW w:w="567" w:type="dxa"/>
          </w:tcPr>
          <w:p w14:paraId="1D0B115C" w14:textId="77777777" w:rsidR="008F1EFA" w:rsidRPr="002D45F3" w:rsidRDefault="008F1EFA">
            <w:pPr>
              <w:ind w:left="121"/>
              <w:rPr>
                <w:strike/>
                <w:sz w:val="18"/>
                <w:szCs w:val="18"/>
              </w:rPr>
            </w:pPr>
            <w:r w:rsidRPr="002D45F3">
              <w:rPr>
                <w:strike/>
                <w:sz w:val="18"/>
                <w:szCs w:val="18"/>
              </w:rPr>
              <w:t>X</w:t>
            </w:r>
          </w:p>
        </w:tc>
        <w:tc>
          <w:tcPr>
            <w:tcW w:w="3118" w:type="dxa"/>
          </w:tcPr>
          <w:p w14:paraId="4CA5A64D" w14:textId="77777777" w:rsidR="008F1EFA" w:rsidRPr="002D45F3" w:rsidRDefault="008F1EFA">
            <w:pPr>
              <w:ind w:left="118"/>
              <w:rPr>
                <w:i/>
                <w:iCs/>
                <w:strike/>
                <w:sz w:val="18"/>
                <w:szCs w:val="18"/>
              </w:rPr>
            </w:pPr>
            <w:proofErr w:type="spellStart"/>
            <w:r w:rsidRPr="002D45F3">
              <w:rPr>
                <w:i/>
                <w:iCs/>
                <w:strike/>
                <w:sz w:val="18"/>
                <w:szCs w:val="18"/>
                <w:vertAlign w:val="superscript"/>
              </w:rPr>
              <w:t>F</w:t>
            </w:r>
            <w:proofErr w:type="spellEnd"/>
            <w:r w:rsidRPr="002D45F3">
              <w:rPr>
                <w:i/>
                <w:iCs/>
                <w:strike/>
                <w:sz w:val="18"/>
                <w:szCs w:val="18"/>
              </w:rPr>
              <w:t xml:space="preserve"> Applicable to motor vehicles…..shall be of type IIA.</w:t>
            </w:r>
          </w:p>
        </w:tc>
      </w:tr>
    </w:tbl>
    <w:p w14:paraId="7468335B" w14:textId="77777777" w:rsidR="008F1EFA" w:rsidRDefault="008F1EFA" w:rsidP="00A82EF2">
      <w:pPr>
        <w:pStyle w:val="SingleTxtG"/>
        <w:spacing w:before="120"/>
      </w:pPr>
      <w:r w:rsidRPr="002D45F3">
        <w:t>Introduce a new line 9.2.4.5 to read:</w:t>
      </w:r>
    </w:p>
    <w:tbl>
      <w:tblPr>
        <w:tblStyle w:val="TableGrid"/>
        <w:tblW w:w="8080" w:type="dxa"/>
        <w:tblInd w:w="1129" w:type="dxa"/>
        <w:tblLook w:val="04A0" w:firstRow="1" w:lastRow="0" w:firstColumn="1" w:lastColumn="0" w:noHBand="0" w:noVBand="1"/>
      </w:tblPr>
      <w:tblGrid>
        <w:gridCol w:w="988"/>
        <w:gridCol w:w="1706"/>
        <w:gridCol w:w="567"/>
        <w:gridCol w:w="567"/>
        <w:gridCol w:w="567"/>
        <w:gridCol w:w="567"/>
        <w:gridCol w:w="3118"/>
      </w:tblGrid>
      <w:tr w:rsidR="008F1EFA" w:rsidRPr="002D45F3" w14:paraId="2B518171" w14:textId="77777777">
        <w:trPr>
          <w:trHeight w:val="385"/>
        </w:trPr>
        <w:tc>
          <w:tcPr>
            <w:tcW w:w="988" w:type="dxa"/>
          </w:tcPr>
          <w:p w14:paraId="48A69B80" w14:textId="77777777" w:rsidR="008F1EFA" w:rsidRPr="002D45F3" w:rsidRDefault="008F1EFA">
            <w:pPr>
              <w:ind w:left="136"/>
              <w:rPr>
                <w:i/>
                <w:iCs/>
                <w:sz w:val="18"/>
                <w:szCs w:val="18"/>
              </w:rPr>
            </w:pPr>
            <w:r w:rsidRPr="002D45F3">
              <w:rPr>
                <w:i/>
                <w:iCs/>
                <w:sz w:val="18"/>
                <w:szCs w:val="18"/>
              </w:rPr>
              <w:t>9.2.4.5</w:t>
            </w:r>
          </w:p>
        </w:tc>
        <w:tc>
          <w:tcPr>
            <w:tcW w:w="1706" w:type="dxa"/>
          </w:tcPr>
          <w:p w14:paraId="3AA8582A" w14:textId="77777777" w:rsidR="008F1EFA" w:rsidRPr="002D45F3" w:rsidRDefault="008F1EFA">
            <w:pPr>
              <w:ind w:left="109"/>
              <w:rPr>
                <w:i/>
                <w:iCs/>
                <w:sz w:val="18"/>
                <w:szCs w:val="18"/>
              </w:rPr>
            </w:pPr>
            <w:r w:rsidRPr="002D45F3">
              <w:rPr>
                <w:i/>
                <w:iCs/>
                <w:sz w:val="18"/>
                <w:szCs w:val="18"/>
              </w:rPr>
              <w:t>Hydrogen Fuel Cell</w:t>
            </w:r>
          </w:p>
        </w:tc>
        <w:tc>
          <w:tcPr>
            <w:tcW w:w="567" w:type="dxa"/>
          </w:tcPr>
          <w:p w14:paraId="674B14DA" w14:textId="77777777" w:rsidR="008F1EFA" w:rsidRPr="002D45F3" w:rsidRDefault="008F1EFA">
            <w:pPr>
              <w:ind w:left="1134"/>
              <w:rPr>
                <w:i/>
                <w:iCs/>
                <w:sz w:val="18"/>
                <w:szCs w:val="18"/>
              </w:rPr>
            </w:pPr>
          </w:p>
        </w:tc>
        <w:tc>
          <w:tcPr>
            <w:tcW w:w="567" w:type="dxa"/>
          </w:tcPr>
          <w:p w14:paraId="466BE7FB" w14:textId="77777777" w:rsidR="008F1EFA" w:rsidRPr="002D45F3" w:rsidRDefault="008F1EFA">
            <w:pPr>
              <w:ind w:left="1134"/>
              <w:rPr>
                <w:i/>
                <w:iCs/>
                <w:sz w:val="18"/>
                <w:szCs w:val="18"/>
              </w:rPr>
            </w:pPr>
          </w:p>
        </w:tc>
        <w:tc>
          <w:tcPr>
            <w:tcW w:w="567" w:type="dxa"/>
          </w:tcPr>
          <w:p w14:paraId="34AF5A88" w14:textId="77777777" w:rsidR="008F1EFA" w:rsidRPr="002D45F3" w:rsidRDefault="008F1EFA">
            <w:pPr>
              <w:ind w:left="177"/>
              <w:rPr>
                <w:i/>
                <w:iCs/>
                <w:sz w:val="18"/>
                <w:szCs w:val="18"/>
              </w:rPr>
            </w:pPr>
            <w:r>
              <w:rPr>
                <w:i/>
                <w:iCs/>
                <w:sz w:val="18"/>
                <w:szCs w:val="18"/>
              </w:rPr>
              <w:t>X</w:t>
            </w:r>
          </w:p>
        </w:tc>
        <w:tc>
          <w:tcPr>
            <w:tcW w:w="567" w:type="dxa"/>
          </w:tcPr>
          <w:p w14:paraId="4630DEC9" w14:textId="77777777" w:rsidR="008F1EFA" w:rsidRPr="002D45F3" w:rsidRDefault="008F1EFA">
            <w:pPr>
              <w:ind w:left="188"/>
              <w:rPr>
                <w:i/>
                <w:iCs/>
                <w:sz w:val="18"/>
                <w:szCs w:val="18"/>
              </w:rPr>
            </w:pPr>
            <w:r w:rsidRPr="002D45F3">
              <w:rPr>
                <w:i/>
                <w:iCs/>
                <w:sz w:val="18"/>
                <w:szCs w:val="18"/>
              </w:rPr>
              <w:t>X</w:t>
            </w:r>
          </w:p>
        </w:tc>
        <w:tc>
          <w:tcPr>
            <w:tcW w:w="3118" w:type="dxa"/>
          </w:tcPr>
          <w:p w14:paraId="5BDF9484" w14:textId="77777777" w:rsidR="008F1EFA" w:rsidRPr="002D45F3" w:rsidRDefault="008F1EFA">
            <w:pPr>
              <w:ind w:left="1134"/>
              <w:rPr>
                <w:i/>
                <w:iCs/>
                <w:sz w:val="18"/>
                <w:szCs w:val="18"/>
              </w:rPr>
            </w:pPr>
          </w:p>
        </w:tc>
      </w:tr>
    </w:tbl>
    <w:p w14:paraId="719B6B88" w14:textId="54AB2162" w:rsidR="008F1EFA" w:rsidRPr="002D45F3" w:rsidRDefault="008F1EFA" w:rsidP="00A82EF2">
      <w:pPr>
        <w:pStyle w:val="SingleTxtG"/>
        <w:spacing w:before="120"/>
      </w:pPr>
      <w:r w:rsidRPr="002D45F3">
        <w:t xml:space="preserve">Renumber line 9.2.4.8 to 9.2.4.8.6 </w:t>
      </w:r>
      <w:r>
        <w:t xml:space="preserve">(Combustion heaters) </w:t>
      </w:r>
      <w:r w:rsidRPr="002D45F3">
        <w:t>as 9.2.5 to 9.2.5.6 respectively.</w:t>
      </w:r>
    </w:p>
    <w:p w14:paraId="4ACFCB79" w14:textId="52549962" w:rsidR="008F1EFA" w:rsidRPr="002D45F3" w:rsidRDefault="008F1EFA" w:rsidP="00A82EF2">
      <w:pPr>
        <w:pStyle w:val="SingleTxtG"/>
      </w:pPr>
      <w:r w:rsidRPr="002D45F3">
        <w:t>Renumber line 9.2.5 (Speed limiting device) as 9.2.6</w:t>
      </w:r>
      <w:r w:rsidR="00A82EF2">
        <w:t>; r</w:t>
      </w:r>
      <w:r w:rsidRPr="002D45F3">
        <w:t>enumber line 9.2.6 (Coupling devices…) as 9.2.7</w:t>
      </w:r>
      <w:r w:rsidR="00A82EF2">
        <w:t>;</w:t>
      </w:r>
      <w:r w:rsidRPr="002D45F3">
        <w:t xml:space="preserve"> and</w:t>
      </w:r>
      <w:r w:rsidR="00A82EF2">
        <w:t xml:space="preserve"> r</w:t>
      </w:r>
      <w:r w:rsidRPr="002D45F3">
        <w:t>enumber line 9.2.7 (Prevention of other risks..) as 9.2.8.</w:t>
      </w:r>
    </w:p>
    <w:p w14:paraId="20BDBE65" w14:textId="61237236" w:rsidR="008F1EFA" w:rsidRPr="002D45F3" w:rsidRDefault="004A1D9B" w:rsidP="004A1D9B">
      <w:pPr>
        <w:pStyle w:val="HChG"/>
      </w:pPr>
      <w:r>
        <w:tab/>
      </w:r>
      <w:r>
        <w:tab/>
      </w:r>
      <w:r w:rsidR="008F1EFA" w:rsidRPr="002D45F3">
        <w:t>Proposal 2</w:t>
      </w:r>
    </w:p>
    <w:p w14:paraId="251CADCD" w14:textId="466954F8" w:rsidR="008F1EFA" w:rsidRPr="004A1D9B" w:rsidRDefault="00A82EF2" w:rsidP="004A1D9B">
      <w:pPr>
        <w:pStyle w:val="SingleTxtG"/>
      </w:pPr>
      <w:r>
        <w:t>5.</w:t>
      </w:r>
      <w:r>
        <w:tab/>
      </w:r>
      <w:r w:rsidR="008F1EFA" w:rsidRPr="002D45F3">
        <w:t xml:space="preserve">Amend 9.2.2.1 to read (deleted wording </w:t>
      </w:r>
      <w:r w:rsidR="008F1EFA" w:rsidRPr="002D45F3">
        <w:rPr>
          <w:strike/>
        </w:rPr>
        <w:t>stricken</w:t>
      </w:r>
      <w:r w:rsidR="008F1EFA" w:rsidRPr="002D45F3">
        <w:t xml:space="preserve"> through- new wording </w:t>
      </w:r>
      <w:r w:rsidR="008F1EFA">
        <w:t xml:space="preserve">in </w:t>
      </w:r>
      <w:r w:rsidR="008F1EFA" w:rsidRPr="002D45F3">
        <w:rPr>
          <w:i/>
          <w:iCs/>
          <w:u w:val="single"/>
        </w:rPr>
        <w:t>Italic underlined</w:t>
      </w:r>
      <w:r w:rsidR="008F1EFA" w:rsidRPr="002D45F3">
        <w:t>):</w:t>
      </w:r>
    </w:p>
    <w:p w14:paraId="58444B51" w14:textId="77777777" w:rsidR="008F1EFA" w:rsidRDefault="008F1EFA" w:rsidP="004A1D9B">
      <w:pPr>
        <w:pStyle w:val="SingleTxtG"/>
      </w:pPr>
      <w:r w:rsidRPr="001C2852">
        <w:rPr>
          <w:b/>
          <w:bCs/>
        </w:rPr>
        <w:t>“9.2.2.1</w:t>
      </w:r>
      <w:r>
        <w:tab/>
      </w:r>
      <w:r w:rsidRPr="004A1D9B">
        <w:rPr>
          <w:b/>
          <w:bCs/>
          <w:i/>
          <w:iCs/>
        </w:rPr>
        <w:t>General provisions</w:t>
      </w:r>
    </w:p>
    <w:p w14:paraId="58043F5F" w14:textId="77777777" w:rsidR="008F1EFA" w:rsidRPr="002D45F3" w:rsidRDefault="008F1EFA" w:rsidP="00D37E5D">
      <w:pPr>
        <w:pStyle w:val="SingleTxtG"/>
        <w:ind w:left="1701"/>
      </w:pPr>
      <w:r w:rsidRPr="002D45F3">
        <w:t>The installation shall be so designed, constructed and protected that it cannot provoke any unintended ignition</w:t>
      </w:r>
      <w:r w:rsidRPr="002D45F3">
        <w:rPr>
          <w:i/>
          <w:iCs/>
          <w:u w:val="single"/>
        </w:rPr>
        <w:t>[, fire]</w:t>
      </w:r>
      <w:r w:rsidRPr="002D45F3">
        <w:t xml:space="preserve"> or short circuit under normal conditions of use of vehicles. </w:t>
      </w:r>
    </w:p>
    <w:p w14:paraId="36000D95" w14:textId="77777777" w:rsidR="008F1EFA" w:rsidRPr="002D45F3" w:rsidRDefault="008F1EFA" w:rsidP="00D37E5D">
      <w:pPr>
        <w:pStyle w:val="SingleTxtG"/>
        <w:ind w:left="1701"/>
      </w:pPr>
      <w:r w:rsidRPr="002D45F3">
        <w:t xml:space="preserve">The electrical installation, </w:t>
      </w:r>
      <w:r w:rsidRPr="00D37E5D">
        <w:rPr>
          <w:strike/>
        </w:rPr>
        <w:t>with the exception of the electric power train in compliance with the technical provisions of UN Regulation No. 100, as amended at least by the 03 series of amendment</w:t>
      </w:r>
      <w:r w:rsidRPr="002D45F3">
        <w:t>, shall meet the provisions of 9.2.2.2 to 9.2.2.9 in accordance with the table of 9.2.1.</w:t>
      </w:r>
    </w:p>
    <w:p w14:paraId="51507504" w14:textId="6D8BA01C" w:rsidR="008F1EFA" w:rsidRPr="00DF301E" w:rsidRDefault="008F1EFA" w:rsidP="00D37E5D">
      <w:pPr>
        <w:pStyle w:val="SingleTxtG"/>
        <w:ind w:left="1701"/>
        <w:rPr>
          <w:i/>
          <w:iCs/>
          <w:u w:val="single"/>
        </w:rPr>
      </w:pPr>
      <w:r w:rsidRPr="00DF301E">
        <w:rPr>
          <w:i/>
          <w:iCs/>
          <w:u w:val="single"/>
        </w:rPr>
        <w:lastRenderedPageBreak/>
        <w:t>The electric power train and the galvanically connected parts in compliance with the technical provisions of UN Regulation No. 100, as amended at least by the 03 series of amendments, need not to comply with the provisions of 9.2.2.2 to 9.2.2.7.</w:t>
      </w:r>
      <w:r w:rsidRPr="000C5FDB">
        <w:t>”</w:t>
      </w:r>
    </w:p>
    <w:p w14:paraId="16A6011C" w14:textId="24FB0356" w:rsidR="008F1EFA" w:rsidRPr="002D45F3" w:rsidRDefault="00D37E5D" w:rsidP="00D37E5D">
      <w:pPr>
        <w:pStyle w:val="HChG"/>
      </w:pPr>
      <w:r>
        <w:tab/>
      </w:r>
      <w:r>
        <w:tab/>
      </w:r>
      <w:r w:rsidR="008F1EFA" w:rsidRPr="002D45F3">
        <w:t>Proposal 3</w:t>
      </w:r>
    </w:p>
    <w:p w14:paraId="077A7611" w14:textId="4E7CAEC3" w:rsidR="008F1EFA" w:rsidRPr="002D45F3" w:rsidRDefault="00A82EF2" w:rsidP="00D37E5D">
      <w:pPr>
        <w:pStyle w:val="SingleTxtG"/>
      </w:pPr>
      <w:r>
        <w:t>6.</w:t>
      </w:r>
      <w:r>
        <w:tab/>
      </w:r>
      <w:r w:rsidR="008F1EFA" w:rsidRPr="002D45F3">
        <w:t xml:space="preserve">Introduce a </w:t>
      </w:r>
      <w:r w:rsidR="000C5FDB">
        <w:t xml:space="preserve">new </w:t>
      </w:r>
      <w:r w:rsidR="008F1EFA" w:rsidRPr="002D45F3">
        <w:t>note to 9.2.3.1.1 after the paragraph to read:</w:t>
      </w:r>
    </w:p>
    <w:p w14:paraId="00102BBE" w14:textId="77777777" w:rsidR="008F1EFA" w:rsidRPr="003C54A7" w:rsidRDefault="008F1EFA" w:rsidP="00D37E5D">
      <w:pPr>
        <w:pStyle w:val="SingleTxtG"/>
        <w:ind w:left="1701"/>
      </w:pPr>
      <w:r w:rsidRPr="00DF301E">
        <w:rPr>
          <w:i/>
          <w:iCs/>
        </w:rPr>
        <w:t>“</w:t>
      </w:r>
      <w:r w:rsidRPr="00DF301E">
        <w:rPr>
          <w:b/>
          <w:bCs/>
          <w:i/>
          <w:iCs/>
        </w:rPr>
        <w:t>NOTE</w:t>
      </w:r>
      <w:r w:rsidRPr="008E3BB2">
        <w:rPr>
          <w:b/>
          <w:i/>
          <w:iCs/>
        </w:rPr>
        <w:t>:</w:t>
      </w:r>
      <w:r w:rsidRPr="003C54A7">
        <w:t xml:space="preserve"> </w:t>
      </w:r>
      <w:r w:rsidRPr="00D37E5D">
        <w:rPr>
          <w:i/>
          <w:iCs/>
        </w:rPr>
        <w:t>Trailers with re-generative braking or electric power train are not allowed.”</w:t>
      </w:r>
    </w:p>
    <w:p w14:paraId="076AC908" w14:textId="33CE657D" w:rsidR="008F1EFA" w:rsidRPr="002D45F3" w:rsidRDefault="008935BA" w:rsidP="00D37E5D">
      <w:pPr>
        <w:pStyle w:val="HChG"/>
      </w:pPr>
      <w:r>
        <w:tab/>
      </w:r>
      <w:r>
        <w:tab/>
      </w:r>
      <w:r w:rsidR="008F1EFA" w:rsidRPr="002D45F3">
        <w:t>Proposal 4</w:t>
      </w:r>
    </w:p>
    <w:p w14:paraId="1E583BA4" w14:textId="3F8E5610" w:rsidR="008F1EFA" w:rsidRPr="002D45F3" w:rsidRDefault="00A82EF2" w:rsidP="008935BA">
      <w:pPr>
        <w:pStyle w:val="SingleTxtG"/>
      </w:pPr>
      <w:r>
        <w:t>7.</w:t>
      </w:r>
      <w:r>
        <w:tab/>
      </w:r>
      <w:r w:rsidR="008F1EFA" w:rsidRPr="002D45F3">
        <w:t xml:space="preserve">Introduce a new paragraph 9.2.3.3 </w:t>
      </w:r>
      <w:r w:rsidR="008E3BB2">
        <w:t xml:space="preserve">with the same </w:t>
      </w:r>
      <w:r w:rsidR="008F1EFA" w:rsidRPr="002D45F3">
        <w:t xml:space="preserve">text </w:t>
      </w:r>
      <w:r w:rsidR="008E3BB2">
        <w:t>as in</w:t>
      </w:r>
      <w:r w:rsidR="008F1EFA" w:rsidRPr="002D45F3">
        <w:t xml:space="preserve"> 9.2.4.7 </w:t>
      </w:r>
      <w:r w:rsidR="008F1EFA">
        <w:t xml:space="preserve">(ADR 2023) </w:t>
      </w:r>
      <w:r w:rsidR="008F1EFA" w:rsidRPr="002D45F3">
        <w:t>to read</w:t>
      </w:r>
      <w:r w:rsidR="008F1EFA">
        <w:t>:</w:t>
      </w:r>
    </w:p>
    <w:p w14:paraId="7D4959A0" w14:textId="561BA496" w:rsidR="008F1EFA" w:rsidRPr="000C5FDB" w:rsidRDefault="008F1EFA" w:rsidP="00CE3593">
      <w:pPr>
        <w:pStyle w:val="SingleTxtG"/>
        <w:rPr>
          <w:rFonts w:eastAsia="SimSun"/>
          <w:iCs/>
        </w:rPr>
      </w:pPr>
      <w:r w:rsidRPr="000C5FDB">
        <w:rPr>
          <w:iCs/>
        </w:rPr>
        <w:t>“</w:t>
      </w:r>
      <w:r w:rsidRPr="000C5FDB">
        <w:rPr>
          <w:bCs/>
          <w:iCs/>
        </w:rPr>
        <w:t>9.2.3.3</w:t>
      </w:r>
      <w:r w:rsidRPr="000C5FDB">
        <w:rPr>
          <w:iCs/>
        </w:rPr>
        <w:tab/>
      </w:r>
      <w:r w:rsidRPr="000C5FDB">
        <w:rPr>
          <w:rFonts w:eastAsia="SimSun"/>
          <w:iCs/>
        </w:rPr>
        <w:t>Vehicles equipped with endurance braking systems emitting high temperatures placed behind the rear wall of the driver's cab shall be equipped with a thermal shield securely fixed and located between this system and the tank or load so as to avoid any heating, even local, of the tank wall or the load.</w:t>
      </w:r>
    </w:p>
    <w:p w14:paraId="02003914" w14:textId="77777777" w:rsidR="008F1EFA" w:rsidRPr="000C5FDB" w:rsidRDefault="008F1EFA" w:rsidP="00CE3593">
      <w:pPr>
        <w:pStyle w:val="SingleTxtG"/>
        <w:rPr>
          <w:iCs/>
        </w:rPr>
      </w:pPr>
      <w:r w:rsidRPr="000C5FDB">
        <w:rPr>
          <w:iCs/>
        </w:rPr>
        <w:tab/>
        <w:t xml:space="preserve">In addition, the thermal shield shall protect the braking system against any outflow or leakage, even accidental, of the load. For instance, a protection including a </w:t>
      </w:r>
      <w:proofErr w:type="spellStart"/>
      <w:r w:rsidRPr="000C5FDB">
        <w:rPr>
          <w:iCs/>
        </w:rPr>
        <w:t>twin­shell</w:t>
      </w:r>
      <w:proofErr w:type="spellEnd"/>
      <w:r w:rsidRPr="000C5FDB">
        <w:rPr>
          <w:iCs/>
        </w:rPr>
        <w:t xml:space="preserve"> shield shall be considered satisfactory.”</w:t>
      </w:r>
    </w:p>
    <w:p w14:paraId="5D9A61BF" w14:textId="59B67C6D" w:rsidR="008F1EFA" w:rsidRPr="002D45F3" w:rsidRDefault="008E3BB2" w:rsidP="0038111C">
      <w:pPr>
        <w:pStyle w:val="HChG"/>
      </w:pPr>
      <w:r>
        <w:tab/>
      </w:r>
      <w:r>
        <w:tab/>
      </w:r>
      <w:r w:rsidR="008F1EFA" w:rsidRPr="002D45F3">
        <w:t>Proposal 5</w:t>
      </w:r>
    </w:p>
    <w:p w14:paraId="06A4C00C" w14:textId="18910D10" w:rsidR="008F1EFA" w:rsidRPr="002D45F3" w:rsidRDefault="008E3BB2" w:rsidP="0050415A">
      <w:pPr>
        <w:pStyle w:val="SingleTxtG"/>
      </w:pPr>
      <w:r>
        <w:t>8.</w:t>
      </w:r>
      <w:r>
        <w:tab/>
      </w:r>
      <w:r w:rsidR="008F1EFA" w:rsidRPr="002D45F3">
        <w:t xml:space="preserve">Amend 9.2.4 to read (deleted wording </w:t>
      </w:r>
      <w:r w:rsidR="008F1EFA" w:rsidRPr="002D45F3">
        <w:rPr>
          <w:strike/>
        </w:rPr>
        <w:t>stricken</w:t>
      </w:r>
      <w:r w:rsidR="008F1EFA" w:rsidRPr="002D45F3">
        <w:t xml:space="preserve"> through, new wording in </w:t>
      </w:r>
      <w:r w:rsidR="008F1EFA" w:rsidRPr="002D45F3">
        <w:rPr>
          <w:i/>
          <w:u w:val="single"/>
        </w:rPr>
        <w:t>Italic underlined</w:t>
      </w:r>
      <w:r w:rsidR="008F1EFA" w:rsidRPr="002D45F3">
        <w:t>):</w:t>
      </w:r>
    </w:p>
    <w:p w14:paraId="796846CD" w14:textId="17EC179E" w:rsidR="008F1EFA" w:rsidRPr="002D45F3" w:rsidRDefault="008F1EFA" w:rsidP="008434D2">
      <w:pPr>
        <w:pStyle w:val="SingleTxtG"/>
        <w:ind w:left="1701"/>
        <w:rPr>
          <w:strike/>
        </w:rPr>
      </w:pPr>
      <w:r w:rsidRPr="00DC079E">
        <w:rPr>
          <w:b/>
          <w:bCs/>
        </w:rPr>
        <w:t>9.2.4</w:t>
      </w:r>
      <w:r w:rsidRPr="002D45F3">
        <w:tab/>
      </w:r>
      <w:r w:rsidRPr="00DC079E">
        <w:rPr>
          <w:b/>
          <w:bCs/>
          <w:i/>
          <w:iCs/>
          <w:u w:val="single"/>
        </w:rPr>
        <w:t>Vehicle propulsion system</w:t>
      </w:r>
      <w:r w:rsidRPr="002D45F3">
        <w:t xml:space="preserve"> </w:t>
      </w:r>
      <w:r w:rsidRPr="002D45F3">
        <w:rPr>
          <w:strike/>
        </w:rPr>
        <w:t>Prevention of fire risks.</w:t>
      </w:r>
    </w:p>
    <w:p w14:paraId="30711A63" w14:textId="0EC42927" w:rsidR="008F1EFA" w:rsidRPr="002D45F3" w:rsidRDefault="008434D2" w:rsidP="008434D2">
      <w:pPr>
        <w:pStyle w:val="HChG"/>
      </w:pPr>
      <w:r>
        <w:tab/>
      </w:r>
      <w:r>
        <w:tab/>
      </w:r>
      <w:r w:rsidR="008F1EFA" w:rsidRPr="002D45F3">
        <w:t>Proposal 6</w:t>
      </w:r>
    </w:p>
    <w:p w14:paraId="7E0E21CD" w14:textId="090C1EFA" w:rsidR="008F1EFA" w:rsidRPr="007767BA" w:rsidRDefault="008E3BB2" w:rsidP="008434D2">
      <w:pPr>
        <w:pStyle w:val="SingleTxtG"/>
      </w:pPr>
      <w:r>
        <w:t>9.</w:t>
      </w:r>
      <w:r>
        <w:tab/>
      </w:r>
      <w:r w:rsidR="008F1EFA" w:rsidRPr="007767BA">
        <w:t>Introduce a new paragraph at the end of 9.2.4.1 to read:</w:t>
      </w:r>
    </w:p>
    <w:p w14:paraId="7F33AD81" w14:textId="77777777" w:rsidR="008F1EFA" w:rsidRPr="000C5FDB" w:rsidRDefault="008F1EFA" w:rsidP="008434D2">
      <w:pPr>
        <w:pStyle w:val="SingleTxtG"/>
        <w:ind w:left="1701"/>
        <w:rPr>
          <w:sz w:val="22"/>
          <w:szCs w:val="22"/>
        </w:rPr>
      </w:pPr>
      <w:r w:rsidRPr="000C5FDB">
        <w:t>“Hybrid vehicles equipped with an internal combustion engine and electric power train shall comply with the provisions of 9.2.4.2 to 9.2.4.4 and 9.2.4.5.”</w:t>
      </w:r>
    </w:p>
    <w:p w14:paraId="7C942DC3" w14:textId="6EDEB6F2" w:rsidR="008F1EFA" w:rsidRPr="002D45F3" w:rsidRDefault="008434D2" w:rsidP="008434D2">
      <w:pPr>
        <w:pStyle w:val="HChG"/>
      </w:pPr>
      <w:r>
        <w:tab/>
      </w:r>
      <w:r>
        <w:tab/>
      </w:r>
      <w:r w:rsidR="008F1EFA" w:rsidRPr="002D45F3">
        <w:t>Proposal 7</w:t>
      </w:r>
    </w:p>
    <w:p w14:paraId="06C77D9C" w14:textId="7BADEA54" w:rsidR="008F1EFA" w:rsidRPr="002D45F3" w:rsidRDefault="008E3BB2" w:rsidP="008434D2">
      <w:pPr>
        <w:pStyle w:val="SingleTxtG"/>
      </w:pPr>
      <w:r>
        <w:t>10.</w:t>
      </w:r>
      <w:r>
        <w:tab/>
      </w:r>
      <w:r w:rsidR="008F1EFA" w:rsidRPr="002D45F3">
        <w:t>Delete 9.2.4.2</w:t>
      </w:r>
      <w:r w:rsidR="008F1EFA">
        <w:t xml:space="preserve"> (</w:t>
      </w:r>
      <w:r w:rsidR="00B15634">
        <w:t>currently marked as “Deleted”</w:t>
      </w:r>
      <w:r w:rsidR="008F1EFA">
        <w:t>)</w:t>
      </w:r>
      <w:r w:rsidR="00B15634">
        <w:t>.</w:t>
      </w:r>
    </w:p>
    <w:p w14:paraId="2D861E32" w14:textId="03EFB867" w:rsidR="008F1EFA" w:rsidRPr="002D45F3" w:rsidRDefault="00B34DE4" w:rsidP="00B34DE4">
      <w:pPr>
        <w:pStyle w:val="HChG"/>
      </w:pPr>
      <w:r>
        <w:tab/>
      </w:r>
      <w:r>
        <w:tab/>
      </w:r>
      <w:r w:rsidR="008F1EFA" w:rsidRPr="002D45F3">
        <w:t>Proposal 8</w:t>
      </w:r>
    </w:p>
    <w:p w14:paraId="19427191" w14:textId="7073B475" w:rsidR="008F1EFA" w:rsidRPr="002D45F3" w:rsidRDefault="00202D3A" w:rsidP="00BE3559">
      <w:pPr>
        <w:pStyle w:val="SingleTxtG"/>
      </w:pPr>
      <w:r>
        <w:t>11.</w:t>
      </w:r>
      <w:r>
        <w:tab/>
      </w:r>
      <w:r w:rsidR="008F1EFA" w:rsidRPr="002D45F3">
        <w:t xml:space="preserve">Renumber existing 9.2.4.3 as 9.2.4.2 </w:t>
      </w:r>
      <w:r w:rsidR="00114C4D">
        <w:t xml:space="preserve">and amend </w:t>
      </w:r>
      <w:r w:rsidR="008F1EFA" w:rsidRPr="002D45F3">
        <w:t xml:space="preserve">to read (deleted wording </w:t>
      </w:r>
      <w:r w:rsidR="008F1EFA" w:rsidRPr="002D45F3">
        <w:rPr>
          <w:strike/>
        </w:rPr>
        <w:t>stricken</w:t>
      </w:r>
      <w:r w:rsidR="008F1EFA" w:rsidRPr="002D45F3">
        <w:t xml:space="preserve"> through, new wording in </w:t>
      </w:r>
      <w:r w:rsidR="008F1EFA" w:rsidRPr="002D45F3">
        <w:rPr>
          <w:i/>
          <w:iCs/>
          <w:u w:val="single"/>
        </w:rPr>
        <w:t>Italic underlined</w:t>
      </w:r>
      <w:r w:rsidR="008F1EFA" w:rsidRPr="002D45F3">
        <w:t>):</w:t>
      </w:r>
    </w:p>
    <w:p w14:paraId="250B832C" w14:textId="71A3D917" w:rsidR="008F1EFA" w:rsidRPr="00D90C07" w:rsidRDefault="00114C4D" w:rsidP="00BE3559">
      <w:pPr>
        <w:pStyle w:val="SingleTxtG"/>
        <w:rPr>
          <w:i/>
          <w:iCs/>
        </w:rPr>
      </w:pPr>
      <w:r>
        <w:rPr>
          <w:b/>
          <w:bCs/>
        </w:rPr>
        <w:t>“</w:t>
      </w:r>
      <w:r w:rsidR="008F1EFA" w:rsidRPr="00BE3559">
        <w:rPr>
          <w:b/>
          <w:bCs/>
        </w:rPr>
        <w:t>9.2.4.</w:t>
      </w:r>
      <w:r w:rsidR="008F1EFA" w:rsidRPr="00BE3559">
        <w:rPr>
          <w:b/>
          <w:bCs/>
          <w:strike/>
        </w:rPr>
        <w:t>3</w:t>
      </w:r>
      <w:r w:rsidR="008F1EFA" w:rsidRPr="00BE3559">
        <w:rPr>
          <w:b/>
          <w:bCs/>
        </w:rPr>
        <w:t>.</w:t>
      </w:r>
      <w:r w:rsidR="008F1EFA" w:rsidRPr="00D90C07">
        <w:rPr>
          <w:b/>
          <w:bCs/>
          <w:i/>
          <w:iCs/>
          <w:u w:val="single"/>
        </w:rPr>
        <w:t>2</w:t>
      </w:r>
      <w:r w:rsidR="008F1EFA" w:rsidRPr="002D45F3">
        <w:t xml:space="preserve"> </w:t>
      </w:r>
      <w:r w:rsidR="008F1EFA" w:rsidRPr="003C54A7">
        <w:tab/>
      </w:r>
      <w:r w:rsidR="008F1EFA" w:rsidRPr="00D90C07">
        <w:rPr>
          <w:b/>
          <w:bCs/>
          <w:i/>
          <w:iCs/>
        </w:rPr>
        <w:t>Fuel tanks and cylinders</w:t>
      </w:r>
    </w:p>
    <w:p w14:paraId="224B4BCC" w14:textId="77777777" w:rsidR="008F1EFA" w:rsidRPr="00D90C07" w:rsidRDefault="008F1EFA" w:rsidP="00EF3E29">
      <w:pPr>
        <w:pStyle w:val="SingleTxtG"/>
        <w:ind w:left="1701"/>
        <w:rPr>
          <w:i/>
          <w:iCs/>
          <w:strike/>
        </w:rPr>
      </w:pPr>
      <w:r w:rsidRPr="00D90C07">
        <w:rPr>
          <w:b/>
          <w:bCs/>
          <w:i/>
          <w:iCs/>
          <w:strike/>
        </w:rPr>
        <w:t>NOTE:  </w:t>
      </w:r>
      <w:r w:rsidRPr="00D90C07">
        <w:rPr>
          <w:i/>
          <w:iCs/>
          <w:strike/>
        </w:rPr>
        <w:t>9.2.4.3 likewise applies to fuel tanks and cylinders used for hybrid vehicles which include an electric power train in the mechanical driveline of the internal combustion engine or use an internal combustion engine to drive a generator to energize the electric power train.</w:t>
      </w:r>
    </w:p>
    <w:p w14:paraId="3DA7A10F" w14:textId="35CC3B92" w:rsidR="008F1EFA" w:rsidRPr="002D45F3" w:rsidRDefault="008F1EFA" w:rsidP="00EF3E29">
      <w:pPr>
        <w:pStyle w:val="SingleTxtG"/>
        <w:ind w:left="1701"/>
      </w:pPr>
      <w:r w:rsidRPr="002D45F3">
        <w:t>The fuel tanks and cylinders supplying the engine</w:t>
      </w:r>
      <w:r w:rsidRPr="002D45F3">
        <w:rPr>
          <w:i/>
          <w:iCs/>
          <w:u w:val="single"/>
        </w:rPr>
        <w:t>, or fuel cell</w:t>
      </w:r>
      <w:r w:rsidRPr="002D45F3">
        <w:t xml:space="preserve"> of the vehicle shall meet the following requirements:</w:t>
      </w:r>
    </w:p>
    <w:p w14:paraId="62DA8F05" w14:textId="77777777" w:rsidR="008F1EFA" w:rsidRPr="002D45F3" w:rsidRDefault="008F1EFA" w:rsidP="00EF3E29">
      <w:pPr>
        <w:pStyle w:val="SingleTxtG"/>
        <w:ind w:left="1701"/>
      </w:pPr>
      <w:r w:rsidRPr="002D45F3">
        <w:lastRenderedPageBreak/>
        <w:t>(a)</w:t>
      </w:r>
      <w:r w:rsidRPr="002D45F3">
        <w:tab/>
        <w:t>In the event of any leakage under normal conditions of carriage, the liquid fuel or the liquid phase of a gaseous fuel shall drain to the ground and not come into contact with the load or hot parts of the vehicle;</w:t>
      </w:r>
    </w:p>
    <w:p w14:paraId="75AD9319" w14:textId="77777777" w:rsidR="008F1EFA" w:rsidRPr="002D45F3" w:rsidRDefault="008F1EFA" w:rsidP="00EF3E29">
      <w:pPr>
        <w:pStyle w:val="SingleTxtG"/>
        <w:ind w:left="1701"/>
        <w:rPr>
          <w:i/>
        </w:rPr>
      </w:pPr>
      <w:r w:rsidRPr="002D45F3">
        <w:t>(b)</w:t>
      </w:r>
      <w:r w:rsidRPr="002D45F3">
        <w:tab/>
        <w:t>Fuel tanks for liquid fuels shall meet the requirements of UN Regulation No. 34; fuel tanks containing petrol shall be equipped with an effective flame trap at the filler opening or with a closure enabling the opening to be kept hermetically sealed</w:t>
      </w:r>
      <w:r w:rsidRPr="002D45F3">
        <w:rPr>
          <w:strike/>
        </w:rPr>
        <w:t>.</w:t>
      </w:r>
      <w:r w:rsidRPr="002D45F3">
        <w:rPr>
          <w:i/>
          <w:strike/>
        </w:rPr>
        <w:t xml:space="preserve"> </w:t>
      </w:r>
      <w:r w:rsidRPr="002D45F3">
        <w:rPr>
          <w:iCs/>
          <w:strike/>
        </w:rPr>
        <w:t>Fuel tanks and cylinders for LNG and for CNG respectively shall meet the relevant requirements of UN Regulation No. 110. Fuel tanks for LPG shall meet the relevant requirements of UN Regulation No. 67.</w:t>
      </w:r>
    </w:p>
    <w:p w14:paraId="1EF10F95" w14:textId="248C547D" w:rsidR="008F1EFA" w:rsidRPr="00EF3E29" w:rsidRDefault="008F1EFA" w:rsidP="00EF3E29">
      <w:pPr>
        <w:pStyle w:val="SingleTxtG"/>
        <w:ind w:left="1701"/>
        <w:rPr>
          <w:i/>
          <w:iCs/>
        </w:rPr>
      </w:pPr>
      <w:r w:rsidRPr="00EF3E29">
        <w:rPr>
          <w:i/>
          <w:iCs/>
        </w:rPr>
        <w:t>(c)</w:t>
      </w:r>
      <w:r w:rsidRPr="00EF3E29">
        <w:rPr>
          <w:i/>
          <w:iCs/>
        </w:rPr>
        <w:tab/>
      </w:r>
      <w:r w:rsidRPr="00B47C27">
        <w:rPr>
          <w:i/>
          <w:iCs/>
          <w:u w:val="single"/>
        </w:rPr>
        <w:t>Fuel tanks and cylinders for LNG and for CNG respectively shall meet the relevant requirements of UN Regulation No. 110.</w:t>
      </w:r>
    </w:p>
    <w:p w14:paraId="20EF9761" w14:textId="6A059F53" w:rsidR="008F1EFA" w:rsidRPr="000463B0" w:rsidRDefault="008F1EFA" w:rsidP="000463B0">
      <w:pPr>
        <w:pStyle w:val="SingleTxtG"/>
        <w:ind w:left="1701"/>
        <w:rPr>
          <w:i/>
          <w:iCs/>
        </w:rPr>
      </w:pPr>
      <w:r w:rsidRPr="00944D91">
        <w:rPr>
          <w:i/>
          <w:iCs/>
          <w:u w:val="single"/>
        </w:rPr>
        <w:t>(d)</w:t>
      </w:r>
      <w:r w:rsidRPr="000463B0">
        <w:rPr>
          <w:i/>
          <w:iCs/>
        </w:rPr>
        <w:tab/>
      </w:r>
      <w:r w:rsidRPr="000463B0">
        <w:rPr>
          <w:i/>
          <w:iCs/>
          <w:u w:val="single"/>
        </w:rPr>
        <w:t>Fuel tanks for LPG shall meet the relevant requirements of UN Regulation No.</w:t>
      </w:r>
      <w:r w:rsidR="000E63E2">
        <w:rPr>
          <w:i/>
          <w:iCs/>
          <w:u w:val="single"/>
        </w:rPr>
        <w:t> </w:t>
      </w:r>
      <w:r w:rsidRPr="000463B0">
        <w:rPr>
          <w:i/>
          <w:iCs/>
          <w:u w:val="single"/>
        </w:rPr>
        <w:t>67.</w:t>
      </w:r>
    </w:p>
    <w:p w14:paraId="228F2C52" w14:textId="4015781C" w:rsidR="008F1EFA" w:rsidRPr="002D45F3" w:rsidRDefault="008F1EFA" w:rsidP="000463B0">
      <w:pPr>
        <w:pStyle w:val="SingleTxtG"/>
        <w:ind w:left="1701"/>
      </w:pPr>
      <w:r w:rsidRPr="00944D91">
        <w:rPr>
          <w:i/>
          <w:iCs/>
          <w:u w:val="single"/>
        </w:rPr>
        <w:t>(e)</w:t>
      </w:r>
      <w:r w:rsidRPr="000463B0">
        <w:rPr>
          <w:i/>
          <w:iCs/>
        </w:rPr>
        <w:tab/>
      </w:r>
      <w:r w:rsidRPr="000463B0">
        <w:rPr>
          <w:i/>
          <w:iCs/>
          <w:u w:val="single"/>
        </w:rPr>
        <w:t>Fuel tanks and cylinders for hydrogen shall meet the relevant requirements of UN Regulation No. 134, at least series 02 of amendments or for liquid hydrogen containers the technical  provisions of GTR 13 Phase 2 part 7.</w:t>
      </w:r>
    </w:p>
    <w:p w14:paraId="69A41596" w14:textId="0883A2FF" w:rsidR="008F1EFA" w:rsidRPr="002D45F3" w:rsidRDefault="008F1EFA" w:rsidP="008A4290">
      <w:pPr>
        <w:pStyle w:val="SingleTxtG"/>
        <w:ind w:left="1701"/>
      </w:pPr>
      <w:r w:rsidRPr="00944D91">
        <w:rPr>
          <w:i/>
          <w:u w:val="single"/>
        </w:rPr>
        <w:t>(f)</w:t>
      </w:r>
      <w:r w:rsidRPr="002D45F3">
        <w:rPr>
          <w:i/>
        </w:rPr>
        <w:tab/>
      </w:r>
      <w:r w:rsidRPr="002D45F3">
        <w:t xml:space="preserve">The discharge opening(s) of pressure relief devices and/or pressure relief valves of fuel tanks containing gaseous fuels shall be directed away from air intakes, fuel tanks, the load or hot parts of the vehicle and shall not impinge on enclosed areas, other vehicles, exterior-mounted systems with air intake (i.e. air-conditioning systems), engine intakes, </w:t>
      </w:r>
      <w:r w:rsidRPr="002D45F3">
        <w:rPr>
          <w:i/>
          <w:iCs/>
          <w:u w:val="single"/>
        </w:rPr>
        <w:t>electrical storage systems</w:t>
      </w:r>
      <w:r w:rsidRPr="002D45F3">
        <w:t xml:space="preserve"> or engine exhaust. Pipes of the fuel system shall not be fixed on the shell containing the load.</w:t>
      </w:r>
      <w:r w:rsidR="00114C4D">
        <w:t>”</w:t>
      </w:r>
    </w:p>
    <w:p w14:paraId="56DD067D" w14:textId="1A379D62" w:rsidR="008F1EFA" w:rsidRPr="002D45F3" w:rsidRDefault="008A4290" w:rsidP="008A4290">
      <w:pPr>
        <w:pStyle w:val="HChG"/>
      </w:pPr>
      <w:r>
        <w:tab/>
      </w:r>
      <w:r>
        <w:tab/>
      </w:r>
      <w:r w:rsidR="008F1EFA" w:rsidRPr="002D45F3">
        <w:t>Proposal 9</w:t>
      </w:r>
    </w:p>
    <w:p w14:paraId="02D8A694" w14:textId="21DECD3D" w:rsidR="008F1EFA" w:rsidRPr="002D45F3" w:rsidRDefault="00114C4D" w:rsidP="008A4290">
      <w:pPr>
        <w:pStyle w:val="SingleTxtG"/>
      </w:pPr>
      <w:r>
        <w:t>12.</w:t>
      </w:r>
      <w:r>
        <w:tab/>
      </w:r>
      <w:r w:rsidR="008F1EFA" w:rsidRPr="002D45F3">
        <w:t xml:space="preserve">Renumber existing 9.2.4.4 as 9.2.4.3 and amend the heading and note to read (deleted wording </w:t>
      </w:r>
      <w:r w:rsidR="008F1EFA" w:rsidRPr="002D45F3">
        <w:rPr>
          <w:strike/>
        </w:rPr>
        <w:t>stricken</w:t>
      </w:r>
      <w:r w:rsidR="008F1EFA" w:rsidRPr="002D45F3">
        <w:t xml:space="preserve"> through, new wording in </w:t>
      </w:r>
      <w:r w:rsidR="008F1EFA" w:rsidRPr="002D45F3">
        <w:rPr>
          <w:i/>
          <w:iCs/>
          <w:u w:val="single"/>
        </w:rPr>
        <w:t>Italic underlined</w:t>
      </w:r>
      <w:r w:rsidR="008F1EFA" w:rsidRPr="002D45F3">
        <w:t>):</w:t>
      </w:r>
    </w:p>
    <w:p w14:paraId="4C7B2CD8" w14:textId="2A62D9CC" w:rsidR="008F1EFA" w:rsidRPr="002D45F3" w:rsidRDefault="00B80591" w:rsidP="008A4290">
      <w:pPr>
        <w:pStyle w:val="SingleTxtG"/>
        <w:rPr>
          <w:strike/>
        </w:rPr>
      </w:pPr>
      <w:r>
        <w:rPr>
          <w:b/>
          <w:bCs/>
        </w:rPr>
        <w:t>“</w:t>
      </w:r>
      <w:r w:rsidR="008F1EFA" w:rsidRPr="006C7006">
        <w:rPr>
          <w:b/>
          <w:bCs/>
        </w:rPr>
        <w:t>9.2.4.</w:t>
      </w:r>
      <w:r w:rsidR="008F1EFA" w:rsidRPr="006C7006">
        <w:rPr>
          <w:b/>
          <w:bCs/>
          <w:i/>
          <w:iCs/>
          <w:u w:val="single"/>
        </w:rPr>
        <w:t>3</w:t>
      </w:r>
      <w:r w:rsidR="008F1EFA" w:rsidRPr="00114C4D">
        <w:rPr>
          <w:b/>
          <w:bCs/>
          <w:strike/>
        </w:rPr>
        <w:t>4</w:t>
      </w:r>
      <w:r w:rsidR="008F1EFA" w:rsidRPr="002D45F3">
        <w:tab/>
      </w:r>
      <w:r w:rsidR="008F1EFA" w:rsidRPr="008A4290">
        <w:rPr>
          <w:b/>
          <w:bCs/>
          <w:i/>
          <w:iCs/>
          <w:u w:val="single"/>
        </w:rPr>
        <w:t xml:space="preserve">Internal combustion engine </w:t>
      </w:r>
      <w:proofErr w:type="spellStart"/>
      <w:r w:rsidR="008F1EFA" w:rsidRPr="008A4290">
        <w:rPr>
          <w:b/>
          <w:bCs/>
          <w:i/>
          <w:iCs/>
          <w:strike/>
          <w:u w:val="single"/>
        </w:rPr>
        <w:t>Engine</w:t>
      </w:r>
      <w:proofErr w:type="spellEnd"/>
    </w:p>
    <w:p w14:paraId="2C743356" w14:textId="5104FDC8" w:rsidR="008F1EFA" w:rsidRDefault="008F1EFA" w:rsidP="00206002">
      <w:pPr>
        <w:pStyle w:val="SingleTxtG"/>
        <w:ind w:left="1701"/>
        <w:rPr>
          <w:i/>
          <w:iCs/>
          <w:strike/>
        </w:rPr>
      </w:pPr>
      <w:r w:rsidRPr="00206002">
        <w:rPr>
          <w:b/>
          <w:bCs/>
          <w:i/>
          <w:iCs/>
          <w:strike/>
        </w:rPr>
        <w:t>NOTE:  </w:t>
      </w:r>
      <w:r w:rsidRPr="00206002">
        <w:rPr>
          <w:i/>
          <w:iCs/>
          <w:strike/>
        </w:rPr>
        <w:t>9.2.4.4 likewise applies to hybrid vehicles which include an electric power train in the mechanical driveline of the internal combustion engine or use an internal combustion engine to drive a generator to energize the electric power train.</w:t>
      </w:r>
      <w:r w:rsidR="00536678" w:rsidRPr="00DE09D2">
        <w:rPr>
          <w:i/>
          <w:iCs/>
        </w:rPr>
        <w:t>”</w:t>
      </w:r>
    </w:p>
    <w:p w14:paraId="0EC427CA" w14:textId="479DDB77" w:rsidR="00B80591" w:rsidRPr="00B80591" w:rsidRDefault="00B80591" w:rsidP="00206002">
      <w:pPr>
        <w:pStyle w:val="SingleTxtG"/>
        <w:ind w:left="1701"/>
      </w:pPr>
      <w:r w:rsidRPr="00B80591">
        <w:t>[</w:t>
      </w:r>
      <w:r w:rsidR="00DE09D2">
        <w:t>R</w:t>
      </w:r>
      <w:r w:rsidR="00536678" w:rsidRPr="00536678">
        <w:t>est of the text is unchanged</w:t>
      </w:r>
      <w:r w:rsidRPr="00B80591">
        <w:t>]</w:t>
      </w:r>
    </w:p>
    <w:p w14:paraId="00E2450F" w14:textId="09C03885" w:rsidR="008F1EFA" w:rsidRPr="002D45F3" w:rsidRDefault="004E7EDD" w:rsidP="004E7EDD">
      <w:pPr>
        <w:pStyle w:val="HChG"/>
        <w:rPr>
          <w:i/>
          <w:iCs/>
        </w:rPr>
      </w:pPr>
      <w:r>
        <w:tab/>
      </w:r>
      <w:r>
        <w:tab/>
      </w:r>
      <w:r w:rsidR="008F1EFA" w:rsidRPr="002D45F3">
        <w:t>Proposal 10</w:t>
      </w:r>
    </w:p>
    <w:p w14:paraId="038009A0" w14:textId="042C1CB4" w:rsidR="008F1EFA" w:rsidRPr="007767BA" w:rsidRDefault="00DE09D2" w:rsidP="004E7EDD">
      <w:pPr>
        <w:pStyle w:val="SingleTxtG"/>
        <w:rPr>
          <w:i/>
          <w:iCs/>
        </w:rPr>
      </w:pPr>
      <w:r>
        <w:t>13.</w:t>
      </w:r>
      <w:r>
        <w:tab/>
      </w:r>
      <w:r w:rsidR="008F1EFA" w:rsidRPr="007767BA">
        <w:t xml:space="preserve">Introduce a new 9.2.4.3.1 and copy-paste, and reorganize the wording of the existing 9.2.4.4 of ADR 2023 to read (deleted wording </w:t>
      </w:r>
      <w:r w:rsidR="008F1EFA" w:rsidRPr="007767BA">
        <w:rPr>
          <w:strike/>
        </w:rPr>
        <w:t xml:space="preserve">stricken </w:t>
      </w:r>
      <w:r w:rsidR="008F1EFA" w:rsidRPr="007767BA">
        <w:t xml:space="preserve">through, new wording in </w:t>
      </w:r>
      <w:r w:rsidR="008F1EFA" w:rsidRPr="00206002">
        <w:rPr>
          <w:i/>
          <w:iCs/>
          <w:u w:val="single"/>
        </w:rPr>
        <w:t>Italic underlined</w:t>
      </w:r>
      <w:r w:rsidR="008F1EFA" w:rsidRPr="007767BA">
        <w:t xml:space="preserve">) : </w:t>
      </w:r>
    </w:p>
    <w:p w14:paraId="61FDE2F1" w14:textId="1E3E8031" w:rsidR="008F1EFA" w:rsidRPr="002D45F3" w:rsidRDefault="00DE09D2" w:rsidP="008A51F5">
      <w:pPr>
        <w:pStyle w:val="SingleTxtG"/>
        <w:ind w:left="1701"/>
        <w:rPr>
          <w:i/>
          <w:iCs/>
          <w:u w:val="single"/>
        </w:rPr>
      </w:pPr>
      <w:r>
        <w:t>“</w:t>
      </w:r>
      <w:r w:rsidR="008F1EFA" w:rsidRPr="002D45F3">
        <w:t>9.2.4.3.1</w:t>
      </w:r>
      <w:r w:rsidR="008F1EFA" w:rsidRPr="002D45F3">
        <w:tab/>
        <w:t xml:space="preserve">The engine propelling the vehicle shall be so equipped and situated to avoid any danger to the load through heating or ignition. </w:t>
      </w:r>
      <w:r w:rsidR="008F1EFA" w:rsidRPr="002D45F3">
        <w:rPr>
          <w:strike/>
        </w:rPr>
        <w:t>The use of CNG or LNG as fuel shall be permitted only if the specific components for CNG and LNG are approved according to UN Regulation No. 110</w:t>
      </w:r>
      <w:r w:rsidR="008F1EFA" w:rsidRPr="002D45F3">
        <w:rPr>
          <w:b/>
          <w:bCs/>
          <w:strike/>
          <w:vertAlign w:val="superscript"/>
        </w:rPr>
        <w:t>7</w:t>
      </w:r>
      <w:r w:rsidR="008F1EFA" w:rsidRPr="002D45F3">
        <w:rPr>
          <w:strike/>
        </w:rPr>
        <w:t xml:space="preserve"> and meet the provisions of 9.2.2. The installation on the vehicle shall meet the technical requirements of 9.2.2 and UN Regulation No. 110</w:t>
      </w:r>
      <w:r w:rsidR="008F1EFA" w:rsidRPr="002D45F3">
        <w:rPr>
          <w:b/>
          <w:bCs/>
          <w:strike/>
          <w:vertAlign w:val="superscript"/>
        </w:rPr>
        <w:t>7</w:t>
      </w:r>
      <w:r w:rsidR="008F1EFA" w:rsidRPr="002D45F3">
        <w:rPr>
          <w:strike/>
        </w:rPr>
        <w:t>. The use of LPG as fuel shall be permitted only if the specific components for LPG are approved according to UN Regulation No. 67</w:t>
      </w:r>
      <w:r w:rsidR="008F1EFA" w:rsidRPr="002D45F3">
        <w:rPr>
          <w:b/>
          <w:bCs/>
          <w:strike/>
          <w:vertAlign w:val="superscript"/>
        </w:rPr>
        <w:t>8</w:t>
      </w:r>
      <w:r w:rsidR="008F1EFA" w:rsidRPr="002D45F3">
        <w:rPr>
          <w:strike/>
        </w:rPr>
        <w:t xml:space="preserve"> and meet the provisions of 9.2.2. The installation on the vehicle shall meet the technical requirements of 9.2.2 and UN Regulation No. 67</w:t>
      </w:r>
      <w:r w:rsidR="008F1EFA" w:rsidRPr="002D45F3">
        <w:rPr>
          <w:b/>
          <w:bCs/>
          <w:strike/>
          <w:vertAlign w:val="superscript"/>
        </w:rPr>
        <w:t>8</w:t>
      </w:r>
      <w:r w:rsidR="008F1EFA" w:rsidRPr="002D45F3">
        <w:rPr>
          <w:strike/>
        </w:rPr>
        <w:t>.</w:t>
      </w:r>
      <w:r w:rsidR="008F1EFA" w:rsidRPr="002D45F3">
        <w:t xml:space="preserve"> </w:t>
      </w:r>
      <w:r w:rsidR="008F1EFA" w:rsidRPr="002D45F3">
        <w:rPr>
          <w:i/>
          <w:iCs/>
          <w:u w:val="single"/>
        </w:rPr>
        <w:t xml:space="preserve">The use of a fuel shall only be permitted if components are approved and installation meet the provisions of 9.2.2 and the technical requirements of: </w:t>
      </w:r>
    </w:p>
    <w:p w14:paraId="63F81624" w14:textId="04B9D08C" w:rsidR="008F1EFA" w:rsidRPr="00AA5ED3" w:rsidRDefault="008F1EFA" w:rsidP="008A51F5">
      <w:pPr>
        <w:pStyle w:val="SingleTxtG"/>
        <w:ind w:left="1701"/>
        <w:rPr>
          <w:i/>
          <w:iCs/>
          <w:u w:val="single"/>
        </w:rPr>
      </w:pPr>
      <w:r w:rsidRPr="00AA5ED3">
        <w:rPr>
          <w:i/>
          <w:iCs/>
          <w:u w:val="single"/>
        </w:rPr>
        <w:t>(a)</w:t>
      </w:r>
      <w:r w:rsidRPr="00AA5ED3">
        <w:rPr>
          <w:i/>
          <w:iCs/>
          <w:u w:val="single"/>
        </w:rPr>
        <w:tab/>
        <w:t>UN Regulation No. 110 for CNG or LNG.</w:t>
      </w:r>
    </w:p>
    <w:p w14:paraId="3F7654D2" w14:textId="67823305" w:rsidR="008F1EFA" w:rsidRPr="00AA5ED3" w:rsidRDefault="008F1EFA" w:rsidP="008A51F5">
      <w:pPr>
        <w:pStyle w:val="SingleTxtG"/>
        <w:ind w:left="1701"/>
        <w:rPr>
          <w:i/>
          <w:iCs/>
          <w:u w:val="single"/>
        </w:rPr>
      </w:pPr>
      <w:r w:rsidRPr="00AA5ED3">
        <w:rPr>
          <w:i/>
          <w:iCs/>
          <w:u w:val="single"/>
        </w:rPr>
        <w:t>(b)</w:t>
      </w:r>
      <w:r w:rsidRPr="00AA5ED3">
        <w:rPr>
          <w:i/>
          <w:iCs/>
          <w:u w:val="single"/>
        </w:rPr>
        <w:tab/>
        <w:t>UN Regulation No. 67 for LPG.</w:t>
      </w:r>
    </w:p>
    <w:p w14:paraId="39A0CBCA" w14:textId="21409CF6" w:rsidR="008F1EFA" w:rsidRPr="00AA5ED3" w:rsidRDefault="008F1EFA" w:rsidP="008A51F5">
      <w:pPr>
        <w:pStyle w:val="SingleTxtG"/>
        <w:ind w:left="1701"/>
        <w:rPr>
          <w:i/>
          <w:iCs/>
          <w:u w:val="single"/>
        </w:rPr>
      </w:pPr>
      <w:r w:rsidRPr="00AA5ED3">
        <w:rPr>
          <w:i/>
          <w:iCs/>
          <w:u w:val="single"/>
        </w:rPr>
        <w:lastRenderedPageBreak/>
        <w:t>(c)</w:t>
      </w:r>
      <w:r w:rsidRPr="00AA5ED3">
        <w:rPr>
          <w:i/>
          <w:iCs/>
          <w:u w:val="single"/>
        </w:rPr>
        <w:tab/>
        <w:t>UN Regulation No. 134 for compressed hydrogen and the technical  provisions of GTR 13 Phase 2 for liquid hydrogen as relevant</w:t>
      </w:r>
      <w:r w:rsidR="00AA5ED3">
        <w:rPr>
          <w:i/>
          <w:iCs/>
          <w:u w:val="single"/>
        </w:rPr>
        <w:t>.</w:t>
      </w:r>
    </w:p>
    <w:p w14:paraId="68B6D381" w14:textId="2473A8AA" w:rsidR="008F1EFA" w:rsidRPr="002D45F3" w:rsidRDefault="008F1EFA" w:rsidP="008A51F5">
      <w:pPr>
        <w:pStyle w:val="SingleTxtG"/>
        <w:ind w:left="1701"/>
      </w:pPr>
      <w:r w:rsidRPr="002D45F3">
        <w:t>In the case of EX/II and EX/III vehicles the engine shall be of compression-ignition construction using only liquid fuels with a flashpoint above 55 °C. Gases shall not be used.</w:t>
      </w:r>
      <w:r w:rsidR="00DE09D2">
        <w:t>”</w:t>
      </w:r>
    </w:p>
    <w:p w14:paraId="5FAAF643" w14:textId="621FAF80" w:rsidR="008F1EFA" w:rsidRPr="0025388F" w:rsidRDefault="0025388F" w:rsidP="0025388F">
      <w:pPr>
        <w:pStyle w:val="HChG"/>
      </w:pPr>
      <w:r>
        <w:tab/>
      </w:r>
      <w:r>
        <w:tab/>
      </w:r>
      <w:r w:rsidR="008F1EFA" w:rsidRPr="002D45F3">
        <w:t>Proposal 11</w:t>
      </w:r>
    </w:p>
    <w:p w14:paraId="38D05C78" w14:textId="0F1A76EB" w:rsidR="008F1EFA" w:rsidRPr="002D45F3" w:rsidRDefault="00DE09D2" w:rsidP="0025388F">
      <w:pPr>
        <w:pStyle w:val="SingleTxtG"/>
      </w:pPr>
      <w:r>
        <w:t>14.</w:t>
      </w:r>
      <w:r>
        <w:tab/>
      </w:r>
      <w:r w:rsidR="008F1EFA" w:rsidRPr="002D45F3">
        <w:t>Renumber existing 9.2.4.5 as 9.2.4.3.2</w:t>
      </w:r>
      <w:r w:rsidR="008F1EFA">
        <w:t>.</w:t>
      </w:r>
    </w:p>
    <w:p w14:paraId="2C782C28" w14:textId="6E43D88E" w:rsidR="008F1EFA" w:rsidRPr="002D45F3" w:rsidRDefault="0025388F" w:rsidP="0025388F">
      <w:pPr>
        <w:pStyle w:val="HChG"/>
      </w:pPr>
      <w:r>
        <w:tab/>
      </w:r>
      <w:r>
        <w:tab/>
      </w:r>
      <w:r w:rsidR="008F1EFA" w:rsidRPr="002D45F3">
        <w:t>Proposal 12</w:t>
      </w:r>
    </w:p>
    <w:p w14:paraId="2F426714" w14:textId="0550BD9D" w:rsidR="008F1EFA" w:rsidRPr="002D45F3" w:rsidRDefault="00DE09D2" w:rsidP="0025388F">
      <w:pPr>
        <w:pStyle w:val="SingleTxtG"/>
      </w:pPr>
      <w:r>
        <w:t>15.</w:t>
      </w:r>
      <w:r>
        <w:tab/>
      </w:r>
      <w:r w:rsidR="008F1EFA" w:rsidRPr="002D45F3">
        <w:t>Renumber existing 9.2.4.6 as 9.2.4.4 and amend to read</w:t>
      </w:r>
      <w:r w:rsidR="008F1EFA">
        <w:t xml:space="preserve"> </w:t>
      </w:r>
      <w:r w:rsidR="008F1EFA" w:rsidRPr="002D45F3">
        <w:t>(</w:t>
      </w:r>
      <w:r w:rsidR="008F1EFA">
        <w:t>d</w:t>
      </w:r>
      <w:r w:rsidR="008F1EFA" w:rsidRPr="002D45F3">
        <w:t xml:space="preserve">eleted wording </w:t>
      </w:r>
      <w:r w:rsidR="008F1EFA" w:rsidRPr="002D45F3">
        <w:rPr>
          <w:strike/>
        </w:rPr>
        <w:t>stricken</w:t>
      </w:r>
      <w:r w:rsidR="008F1EFA" w:rsidRPr="002D45F3">
        <w:t xml:space="preserve"> </w:t>
      </w:r>
      <w:r w:rsidR="008F1EFA">
        <w:t>t</w:t>
      </w:r>
      <w:r w:rsidR="008F1EFA" w:rsidRPr="002D45F3">
        <w:t xml:space="preserve">hrough, new wording in </w:t>
      </w:r>
      <w:r w:rsidR="008F1EFA" w:rsidRPr="002D45F3">
        <w:rPr>
          <w:i/>
          <w:iCs/>
          <w:u w:val="single"/>
        </w:rPr>
        <w:t>Italic underlined</w:t>
      </w:r>
      <w:r w:rsidR="008F1EFA">
        <w:t>):</w:t>
      </w:r>
    </w:p>
    <w:p w14:paraId="2179412F" w14:textId="767037E5" w:rsidR="008F1EFA" w:rsidRPr="0025388F" w:rsidRDefault="009A2C75" w:rsidP="0025388F">
      <w:pPr>
        <w:pStyle w:val="SingleTxtG"/>
        <w:rPr>
          <w:b/>
          <w:bCs/>
          <w:i/>
          <w:iCs/>
        </w:rPr>
      </w:pPr>
      <w:r>
        <w:t>“</w:t>
      </w:r>
      <w:r w:rsidR="008F1EFA" w:rsidRPr="003C54A7">
        <w:t>9.2.4</w:t>
      </w:r>
      <w:r w:rsidR="008F1EFA" w:rsidRPr="002D45F3">
        <w:t>.</w:t>
      </w:r>
      <w:r w:rsidR="008F1EFA" w:rsidRPr="002D45F3">
        <w:rPr>
          <w:u w:val="single"/>
        </w:rPr>
        <w:t>4</w:t>
      </w:r>
      <w:r w:rsidR="00DE09D2">
        <w:t>.</w:t>
      </w:r>
      <w:r w:rsidR="008F1EFA" w:rsidRPr="002D45F3">
        <w:rPr>
          <w:strike/>
        </w:rPr>
        <w:t>6</w:t>
      </w:r>
      <w:r w:rsidR="008F1EFA" w:rsidRPr="003C54A7">
        <w:tab/>
      </w:r>
      <w:r w:rsidR="008F1EFA" w:rsidRPr="0025388F">
        <w:rPr>
          <w:b/>
          <w:bCs/>
          <w:i/>
          <w:iCs/>
        </w:rPr>
        <w:t>Electric power train</w:t>
      </w:r>
    </w:p>
    <w:p w14:paraId="2FBDD357" w14:textId="66AA80D7" w:rsidR="008F1EFA" w:rsidRPr="003C54A7" w:rsidRDefault="008F1EFA" w:rsidP="004C171F">
      <w:pPr>
        <w:pStyle w:val="SingleTxtG"/>
        <w:ind w:left="1701"/>
      </w:pPr>
      <w:r w:rsidRPr="00DD3678">
        <w:rPr>
          <w:b/>
          <w:bCs/>
          <w:i/>
          <w:iCs/>
        </w:rPr>
        <w:t>NOTE</w:t>
      </w:r>
      <w:r w:rsidR="00676A1C">
        <w:rPr>
          <w:b/>
          <w:bCs/>
          <w:i/>
          <w:iCs/>
        </w:rPr>
        <w:t xml:space="preserve"> 1</w:t>
      </w:r>
      <w:r w:rsidRPr="00DD3678">
        <w:rPr>
          <w:b/>
          <w:bCs/>
          <w:i/>
          <w:iCs/>
        </w:rPr>
        <w:t>:</w:t>
      </w:r>
      <w:r w:rsidRPr="003C54A7">
        <w:rPr>
          <w:b/>
          <w:bCs/>
        </w:rPr>
        <w:t>  </w:t>
      </w:r>
      <w:r w:rsidRPr="003C54A7">
        <w:t xml:space="preserve"> </w:t>
      </w:r>
      <w:r w:rsidRPr="00DD3678">
        <w:rPr>
          <w:i/>
          <w:iCs/>
          <w:strike/>
        </w:rPr>
        <w:t>9.2.4.6</w:t>
      </w:r>
      <w:r w:rsidRPr="00DD3678">
        <w:rPr>
          <w:i/>
          <w:iCs/>
        </w:rPr>
        <w:t xml:space="preserve"> </w:t>
      </w:r>
      <w:r w:rsidRPr="00DD3678">
        <w:rPr>
          <w:i/>
          <w:iCs/>
          <w:strike/>
        </w:rPr>
        <w:t>likewise applies to hybrid vehicles that include an electric power train in the mechanical driveline of an internal combustion engine.</w:t>
      </w:r>
      <w:r w:rsidRPr="00DD3678">
        <w:rPr>
          <w:i/>
          <w:iCs/>
        </w:rPr>
        <w:t xml:space="preserve"> Electric power trains shall not be used for EX </w:t>
      </w:r>
      <w:r w:rsidRPr="00C00B86">
        <w:rPr>
          <w:i/>
          <w:iCs/>
          <w:strike/>
        </w:rPr>
        <w:t>and FL</w:t>
      </w:r>
      <w:r w:rsidRPr="00DD3678">
        <w:rPr>
          <w:i/>
          <w:iCs/>
        </w:rPr>
        <w:t xml:space="preserve"> vehicles.</w:t>
      </w:r>
      <w:r w:rsidRPr="003C54A7">
        <w:t xml:space="preserve"> </w:t>
      </w:r>
    </w:p>
    <w:p w14:paraId="20617039" w14:textId="7E353B3A" w:rsidR="008F1EFA" w:rsidRPr="00C00B86" w:rsidRDefault="008F1EFA" w:rsidP="004C171F">
      <w:pPr>
        <w:pStyle w:val="SingleTxtG"/>
        <w:ind w:left="1701"/>
        <w:rPr>
          <w:i/>
          <w:iCs/>
          <w:u w:val="single"/>
        </w:rPr>
      </w:pPr>
      <w:r w:rsidRPr="00C00B86">
        <w:rPr>
          <w:b/>
          <w:bCs/>
          <w:i/>
          <w:iCs/>
          <w:u w:val="single"/>
        </w:rPr>
        <w:t>NOTE</w:t>
      </w:r>
      <w:r w:rsidR="00676A1C">
        <w:rPr>
          <w:b/>
          <w:bCs/>
          <w:i/>
          <w:iCs/>
          <w:u w:val="single"/>
        </w:rPr>
        <w:t xml:space="preserve"> 2</w:t>
      </w:r>
      <w:r w:rsidRPr="00DE09D2">
        <w:rPr>
          <w:b/>
          <w:bCs/>
          <w:i/>
          <w:iCs/>
          <w:u w:val="single"/>
        </w:rPr>
        <w:t>:</w:t>
      </w:r>
      <w:r w:rsidRPr="00C00B86">
        <w:rPr>
          <w:i/>
          <w:iCs/>
          <w:u w:val="single"/>
        </w:rPr>
        <w:t xml:space="preserve"> Trailers with re-generative braking or electric power train are not allowed.</w:t>
      </w:r>
      <w:r w:rsidRPr="009A2C75">
        <w:rPr>
          <w:u w:val="single"/>
        </w:rPr>
        <w:t>”</w:t>
      </w:r>
    </w:p>
    <w:p w14:paraId="551AF659" w14:textId="1430F8FE" w:rsidR="008F1EFA" w:rsidRPr="002D45F3" w:rsidRDefault="004C171F" w:rsidP="004C171F">
      <w:pPr>
        <w:pStyle w:val="HChG"/>
      </w:pPr>
      <w:r>
        <w:tab/>
      </w:r>
      <w:r>
        <w:tab/>
      </w:r>
      <w:r w:rsidR="008F1EFA" w:rsidRPr="002D45F3">
        <w:t>Proposal 13</w:t>
      </w:r>
    </w:p>
    <w:p w14:paraId="1DDE58DC" w14:textId="134CFF8F" w:rsidR="008F1EFA" w:rsidRPr="002D45F3" w:rsidRDefault="009A2C75" w:rsidP="004C171F">
      <w:pPr>
        <w:pStyle w:val="SingleTxtG"/>
      </w:pPr>
      <w:r>
        <w:t>16.</w:t>
      </w:r>
      <w:r>
        <w:tab/>
      </w:r>
      <w:r w:rsidR="008F1EFA" w:rsidRPr="002D45F3">
        <w:t>Introduce a new 9.2.4.4.1 and copy paste the wording of 9.2.4.6 (ADR 2023) to read (</w:t>
      </w:r>
      <w:r w:rsidR="008F1EFA">
        <w:t>d</w:t>
      </w:r>
      <w:r w:rsidR="008F1EFA" w:rsidRPr="002D45F3">
        <w:t xml:space="preserve">eleted wording </w:t>
      </w:r>
      <w:r w:rsidR="008F1EFA" w:rsidRPr="002D45F3">
        <w:rPr>
          <w:strike/>
        </w:rPr>
        <w:t>stricken</w:t>
      </w:r>
      <w:r w:rsidR="008F1EFA" w:rsidRPr="002D45F3">
        <w:t xml:space="preserve"> through):</w:t>
      </w:r>
    </w:p>
    <w:p w14:paraId="7603C09E" w14:textId="263A0B19" w:rsidR="008F1EFA" w:rsidRPr="004C171F" w:rsidRDefault="009A2C75" w:rsidP="004C171F">
      <w:pPr>
        <w:pStyle w:val="SingleTxtG"/>
        <w:rPr>
          <w:i/>
          <w:iCs/>
        </w:rPr>
      </w:pPr>
      <w:r>
        <w:t>“</w:t>
      </w:r>
      <w:r w:rsidR="008F1EFA" w:rsidRPr="003C54A7">
        <w:t>9.2.</w:t>
      </w:r>
      <w:r w:rsidR="008F1EFA" w:rsidRPr="002D45F3">
        <w:t>4.4.1</w:t>
      </w:r>
      <w:r w:rsidR="008F1EFA" w:rsidRPr="003C54A7">
        <w:tab/>
      </w:r>
      <w:r w:rsidR="008F1EFA" w:rsidRPr="004C171F">
        <w:rPr>
          <w:i/>
          <w:iCs/>
        </w:rPr>
        <w:t>General provisions</w:t>
      </w:r>
    </w:p>
    <w:p w14:paraId="09015F4B" w14:textId="204DEE52" w:rsidR="008F1EFA" w:rsidRPr="003C54A7" w:rsidRDefault="008F1EFA" w:rsidP="004C171F">
      <w:pPr>
        <w:pStyle w:val="SingleTxtG"/>
        <w:ind w:left="1701"/>
      </w:pPr>
      <w:r w:rsidRPr="003C54A7">
        <w:t xml:space="preserve">The electric power train shall meet the requirements of UN Regulation No. 100, as amended at least by the 03 series of amendments. </w:t>
      </w:r>
      <w:r w:rsidRPr="002D45F3">
        <w:rPr>
          <w:strike/>
        </w:rPr>
        <w:t>Measures shall be taken to prevent any danger to the load by heating or ignition.</w:t>
      </w:r>
      <w:r w:rsidR="009A2C75" w:rsidRPr="009A2C75">
        <w:t>”</w:t>
      </w:r>
    </w:p>
    <w:p w14:paraId="14B17752" w14:textId="76E47F30" w:rsidR="008F1EFA" w:rsidRPr="002D45F3" w:rsidRDefault="004C171F" w:rsidP="004C171F">
      <w:pPr>
        <w:pStyle w:val="HChG"/>
      </w:pPr>
      <w:r>
        <w:tab/>
      </w:r>
      <w:r>
        <w:tab/>
      </w:r>
      <w:r w:rsidR="008F1EFA" w:rsidRPr="002D45F3">
        <w:t>Proposal 1</w:t>
      </w:r>
      <w:r w:rsidR="008F1EFA">
        <w:t>4</w:t>
      </w:r>
    </w:p>
    <w:p w14:paraId="38D2D8E1" w14:textId="1A39CEFD" w:rsidR="008F1EFA" w:rsidRPr="002D45F3" w:rsidRDefault="00496F08" w:rsidP="004C171F">
      <w:pPr>
        <w:pStyle w:val="SingleTxtG"/>
      </w:pPr>
      <w:r>
        <w:t>17.</w:t>
      </w:r>
      <w:r>
        <w:tab/>
      </w:r>
      <w:r w:rsidR="008F1EFA" w:rsidRPr="002D45F3">
        <w:t>Introduce new 9.2.4.4.</w:t>
      </w:r>
      <w:r w:rsidR="008F1EFA">
        <w:t>1.1</w:t>
      </w:r>
      <w:r w:rsidR="008F1EFA" w:rsidRPr="002D45F3">
        <w:t xml:space="preserve"> </w:t>
      </w:r>
      <w:r>
        <w:t>and</w:t>
      </w:r>
      <w:r w:rsidR="008F1EFA" w:rsidRPr="002D45F3">
        <w:t xml:space="preserve"> 9.2.4.4.</w:t>
      </w:r>
      <w:r w:rsidR="008F1EFA">
        <w:t>1.2</w:t>
      </w:r>
      <w:r w:rsidR="008F1EFA" w:rsidRPr="002D45F3">
        <w:t xml:space="preserve"> to read:</w:t>
      </w:r>
    </w:p>
    <w:p w14:paraId="0BD71006" w14:textId="77777777" w:rsidR="008F1EFA" w:rsidRPr="00496F08" w:rsidRDefault="008F1EFA" w:rsidP="004C171F">
      <w:pPr>
        <w:pStyle w:val="SingleTxtG"/>
      </w:pPr>
      <w:r w:rsidRPr="00496F08">
        <w:t>“9.2.4.4.1.1</w:t>
      </w:r>
      <w:r w:rsidRPr="00496F08">
        <w:tab/>
        <w:t>Vehicles with an electric power train shall be equipped with and isolation resistance  monitoring system.”</w:t>
      </w:r>
    </w:p>
    <w:p w14:paraId="78D0E8AC" w14:textId="2D67E955" w:rsidR="008F1EFA" w:rsidRPr="00496F08" w:rsidRDefault="008F1EFA" w:rsidP="0033367E">
      <w:pPr>
        <w:pStyle w:val="SingleTxtG"/>
      </w:pPr>
      <w:r w:rsidRPr="00496F08">
        <w:t>9.2.4.4.1.2</w:t>
      </w:r>
      <w:r w:rsidRPr="00496F08">
        <w:tab/>
        <w:t>The vehicle shall give external signals in stationary conditions, in addition to the warning to the driver receives in de driver’s cab as required by 6.15.1 of UN Regulation No.100.</w:t>
      </w:r>
      <w:r w:rsidR="00496F08" w:rsidRPr="00496F08">
        <w:t>”</w:t>
      </w:r>
    </w:p>
    <w:p w14:paraId="017AFCEF" w14:textId="4619ED79" w:rsidR="008F1EFA" w:rsidRPr="002D45F3" w:rsidRDefault="0033367E" w:rsidP="0033367E">
      <w:pPr>
        <w:pStyle w:val="HChG"/>
      </w:pPr>
      <w:r>
        <w:tab/>
      </w:r>
      <w:r>
        <w:tab/>
      </w:r>
      <w:r w:rsidR="008F1EFA" w:rsidRPr="002D45F3">
        <w:t>Proposal 1</w:t>
      </w:r>
      <w:r w:rsidR="008F1EFA">
        <w:t>5</w:t>
      </w:r>
    </w:p>
    <w:p w14:paraId="2770BCB8" w14:textId="0586D1E8" w:rsidR="008F1EFA" w:rsidRPr="002D45F3" w:rsidRDefault="00496F08" w:rsidP="00CC0675">
      <w:pPr>
        <w:pStyle w:val="SingleTxtG"/>
      </w:pPr>
      <w:r>
        <w:t>18</w:t>
      </w:r>
      <w:r w:rsidR="008B515B">
        <w:t>.</w:t>
      </w:r>
      <w:r>
        <w:tab/>
      </w:r>
      <w:r w:rsidR="008F1EFA" w:rsidRPr="002D45F3">
        <w:t>Introduce a new 9.2.4.4.2 to read</w:t>
      </w:r>
      <w:r w:rsidR="008F1EFA">
        <w:t>:</w:t>
      </w:r>
    </w:p>
    <w:p w14:paraId="2B04A43B" w14:textId="200435AF" w:rsidR="008F1EFA" w:rsidRPr="008B515B" w:rsidRDefault="00496F08" w:rsidP="00C00B0B">
      <w:pPr>
        <w:pStyle w:val="SingleTxtG"/>
      </w:pPr>
      <w:r w:rsidRPr="008B515B">
        <w:t>“</w:t>
      </w:r>
      <w:r w:rsidR="008F1EFA" w:rsidRPr="008B515B">
        <w:t>9.2.4.4.2</w:t>
      </w:r>
      <w:r w:rsidR="008F1EFA" w:rsidRPr="008B515B">
        <w:tab/>
      </w:r>
      <w:bookmarkStart w:id="2" w:name="_Hlk142650461"/>
      <w:r w:rsidR="008F1EFA" w:rsidRPr="008B515B">
        <w:rPr>
          <w:i/>
          <w:iCs/>
        </w:rPr>
        <w:t xml:space="preserve">Rechargeable </w:t>
      </w:r>
      <w:r w:rsidR="000D127D" w:rsidRPr="008B515B">
        <w:rPr>
          <w:i/>
          <w:iCs/>
        </w:rPr>
        <w:t xml:space="preserve">electrical energy storage system </w:t>
      </w:r>
      <w:bookmarkEnd w:id="2"/>
      <w:r w:rsidR="008F1EFA" w:rsidRPr="008B515B">
        <w:rPr>
          <w:i/>
          <w:iCs/>
        </w:rPr>
        <w:t>(REESS)</w:t>
      </w:r>
    </w:p>
    <w:p w14:paraId="6C1D268D" w14:textId="6D769CD0" w:rsidR="008F1EFA" w:rsidRPr="008B515B" w:rsidRDefault="008F1EFA" w:rsidP="00E46A8B">
      <w:pPr>
        <w:pStyle w:val="SingleTxtG"/>
        <w:ind w:left="2268"/>
        <w:rPr>
          <w:i/>
          <w:iCs/>
        </w:rPr>
      </w:pPr>
      <w:r w:rsidRPr="008B515B">
        <w:rPr>
          <w:b/>
          <w:bCs/>
          <w:i/>
          <w:iCs/>
        </w:rPr>
        <w:t>NOTE</w:t>
      </w:r>
      <w:r w:rsidRPr="008B515B">
        <w:rPr>
          <w:b/>
          <w:i/>
          <w:iCs/>
        </w:rPr>
        <w:t>:</w:t>
      </w:r>
      <w:r w:rsidRPr="008B515B">
        <w:rPr>
          <w:i/>
          <w:iCs/>
        </w:rPr>
        <w:t xml:space="preserve"> Other acronyms for REESS are used in other documentation for similar systems (e.g. RESS).</w:t>
      </w:r>
    </w:p>
    <w:p w14:paraId="355CD520" w14:textId="572D7410" w:rsidR="008F1EFA" w:rsidRPr="008B515B" w:rsidRDefault="008F1EFA" w:rsidP="00E46A8B">
      <w:pPr>
        <w:pStyle w:val="SingleTxtG"/>
        <w:ind w:left="2268"/>
        <w:rPr>
          <w:b/>
          <w:bCs/>
        </w:rPr>
      </w:pPr>
      <w:r w:rsidRPr="008B515B">
        <w:t>REESS of vehicles with an electric power train shall be designed and constructed taking into account a risk evaluation according to ISO 6469-1:2019/</w:t>
      </w:r>
      <w:proofErr w:type="spellStart"/>
      <w:r w:rsidRPr="008B515B">
        <w:t>A</w:t>
      </w:r>
      <w:r w:rsidR="00082F63" w:rsidRPr="008B515B">
        <w:t>md</w:t>
      </w:r>
      <w:proofErr w:type="spellEnd"/>
      <w:r w:rsidR="00101929" w:rsidRPr="008B515B">
        <w:t> </w:t>
      </w:r>
      <w:r w:rsidR="00082F63" w:rsidRPr="008B515B">
        <w:t>1</w:t>
      </w:r>
      <w:r w:rsidRPr="008B515B">
        <w:t>:2022 to establish safety for normal operational conditions. A review shall be carried out by a technical service (e.g.</w:t>
      </w:r>
      <w:r w:rsidR="00672D66">
        <w:t xml:space="preserve"> </w:t>
      </w:r>
      <w:r w:rsidRPr="008B515B">
        <w:t>technical service for vehicle approvals according to UN Regulation No. 100).</w:t>
      </w:r>
      <w:r w:rsidRPr="008B515B">
        <w:rPr>
          <w:b/>
          <w:bCs/>
        </w:rPr>
        <w:t xml:space="preserve"> </w:t>
      </w:r>
    </w:p>
    <w:p w14:paraId="456907AA" w14:textId="1ECDA922" w:rsidR="008F1EFA" w:rsidRPr="008B515B" w:rsidRDefault="008F1EFA" w:rsidP="008F1EFA">
      <w:pPr>
        <w:pStyle w:val="ADR"/>
        <w:ind w:left="2268" w:firstLine="0"/>
      </w:pPr>
      <w:r w:rsidRPr="008B515B">
        <w:rPr>
          <w:b/>
          <w:bCs/>
          <w:i/>
          <w:iCs/>
        </w:rPr>
        <w:lastRenderedPageBreak/>
        <w:t>NOTE</w:t>
      </w:r>
      <w:r w:rsidRPr="008B515B">
        <w:rPr>
          <w:b/>
          <w:i/>
          <w:iCs/>
        </w:rPr>
        <w:t>:</w:t>
      </w:r>
      <w:r w:rsidRPr="008B515B">
        <w:rPr>
          <w:i/>
          <w:iCs/>
        </w:rPr>
        <w:t xml:space="preserve"> Normal operational conditions includes the normal, malfunctioning and </w:t>
      </w:r>
      <w:proofErr w:type="gramStart"/>
      <w:r w:rsidRPr="008B515B">
        <w:rPr>
          <w:i/>
          <w:iCs/>
        </w:rPr>
        <w:t>reasonable</w:t>
      </w:r>
      <w:proofErr w:type="gramEnd"/>
      <w:r w:rsidRPr="008B515B">
        <w:rPr>
          <w:i/>
          <w:iCs/>
        </w:rPr>
        <w:t xml:space="preserve"> foreseeable accidental situations.</w:t>
      </w:r>
      <w:r w:rsidR="008B515B">
        <w:t>”</w:t>
      </w:r>
    </w:p>
    <w:p w14:paraId="6957D2D5" w14:textId="55410482" w:rsidR="008F1EFA" w:rsidRPr="002D45F3" w:rsidRDefault="00B422C2" w:rsidP="00B422C2">
      <w:pPr>
        <w:pStyle w:val="HChG"/>
      </w:pPr>
      <w:r>
        <w:tab/>
      </w:r>
      <w:r>
        <w:tab/>
      </w:r>
      <w:r w:rsidR="008F1EFA" w:rsidRPr="002D45F3">
        <w:t>Proposal 1</w:t>
      </w:r>
      <w:r w:rsidR="008F1EFA">
        <w:t>6</w:t>
      </w:r>
    </w:p>
    <w:p w14:paraId="5B21572B" w14:textId="33DD7B65" w:rsidR="008F1EFA" w:rsidRPr="002D45F3" w:rsidRDefault="00C55FB4" w:rsidP="00B422C2">
      <w:pPr>
        <w:pStyle w:val="SingleTxtG"/>
      </w:pPr>
      <w:r>
        <w:t>19.</w:t>
      </w:r>
      <w:r>
        <w:tab/>
      </w:r>
      <w:r w:rsidR="008F1EFA" w:rsidRPr="002D45F3">
        <w:t>Introduce a new 9.2.4.4.</w:t>
      </w:r>
      <w:r w:rsidR="008F1EFA">
        <w:t>3</w:t>
      </w:r>
      <w:r w:rsidR="008F1EFA" w:rsidRPr="002D45F3">
        <w:t xml:space="preserve"> to read:</w:t>
      </w:r>
    </w:p>
    <w:p w14:paraId="58DEE053" w14:textId="17B2002F" w:rsidR="00CE26DF" w:rsidRPr="00CE26DF" w:rsidRDefault="00CE26DF" w:rsidP="00CE26DF">
      <w:pPr>
        <w:pStyle w:val="SingleTxtG"/>
      </w:pPr>
      <w:r w:rsidRPr="00CE26DF">
        <w:t>“</w:t>
      </w:r>
      <w:r w:rsidR="008F1EFA" w:rsidRPr="00CE26DF">
        <w:t>9.2.4.4.3</w:t>
      </w:r>
      <w:r w:rsidR="008F1EFA" w:rsidRPr="00CE26DF">
        <w:rPr>
          <w:i/>
          <w:iCs/>
        </w:rPr>
        <w:tab/>
      </w:r>
      <w:r w:rsidRPr="00CE26DF">
        <w:rPr>
          <w:i/>
          <w:iCs/>
        </w:rPr>
        <w:t>Measures against thermal propagation</w:t>
      </w:r>
    </w:p>
    <w:p w14:paraId="629C83AD" w14:textId="67E4C4EC" w:rsidR="008F1EFA" w:rsidRPr="00CE26DF" w:rsidRDefault="008F1EFA" w:rsidP="00E46A8B">
      <w:pPr>
        <w:pStyle w:val="SingleTxtG"/>
      </w:pPr>
      <w:r w:rsidRPr="00CE26DF">
        <w:t>REESS containing cells for which thermal propagation cannot be guaranteed to be contained within the REESS, measures shall be taken to prevent danger to the load by heating or ignition. [The design shall consider the need for facilitation of intervention by emergency services to mitigate effects of a thermal propagation.]</w:t>
      </w:r>
      <w:r w:rsidR="00CE26DF" w:rsidRPr="00CE26DF">
        <w:t>”</w:t>
      </w:r>
    </w:p>
    <w:p w14:paraId="29745C57" w14:textId="726EA647" w:rsidR="008F1EFA" w:rsidRDefault="006F63C6" w:rsidP="006F63C6">
      <w:pPr>
        <w:pStyle w:val="HChG"/>
      </w:pPr>
      <w:r>
        <w:tab/>
      </w:r>
      <w:r>
        <w:tab/>
      </w:r>
      <w:r w:rsidR="008F1EFA" w:rsidRPr="002D45F3">
        <w:t>Proposal 17</w:t>
      </w:r>
    </w:p>
    <w:p w14:paraId="70073CEF" w14:textId="61AC5CFB" w:rsidR="008F1EFA" w:rsidRPr="00397AC3" w:rsidRDefault="00CE26DF" w:rsidP="006F63C6">
      <w:pPr>
        <w:pStyle w:val="SingleTxtG"/>
        <w:rPr>
          <w:b/>
          <w:bCs/>
          <w:sz w:val="24"/>
          <w:szCs w:val="24"/>
        </w:rPr>
      </w:pPr>
      <w:r>
        <w:t>20.</w:t>
      </w:r>
      <w:r>
        <w:tab/>
      </w:r>
      <w:r w:rsidR="008F1EFA" w:rsidRPr="002D45F3">
        <w:t>Introduce new 9.2.4.5 to 9.2.4.5.3 to read:</w:t>
      </w:r>
    </w:p>
    <w:p w14:paraId="4B56EC76" w14:textId="3101F60F" w:rsidR="008F1EFA" w:rsidRPr="00CE26DF" w:rsidRDefault="008F1EFA" w:rsidP="00855861">
      <w:pPr>
        <w:pStyle w:val="SingleTxtG"/>
      </w:pPr>
      <w:r w:rsidRPr="00CE26DF">
        <w:t>“</w:t>
      </w:r>
      <w:r w:rsidRPr="00CE26DF">
        <w:rPr>
          <w:b/>
          <w:bCs/>
        </w:rPr>
        <w:t>9.2.4.5</w:t>
      </w:r>
      <w:r w:rsidRPr="00CE26DF">
        <w:tab/>
      </w:r>
      <w:r w:rsidRPr="00CE26DF">
        <w:rPr>
          <w:b/>
          <w:bCs/>
          <w:i/>
          <w:iCs/>
        </w:rPr>
        <w:t>Hydrogen Fuel Cell Vehicles</w:t>
      </w:r>
      <w:r w:rsidRPr="00CE26DF">
        <w:t xml:space="preserve"> </w:t>
      </w:r>
    </w:p>
    <w:p w14:paraId="6799A684" w14:textId="2853ED5F" w:rsidR="008F1EFA" w:rsidRPr="00CE26DF" w:rsidRDefault="008F1EFA" w:rsidP="00E0481C">
      <w:pPr>
        <w:pStyle w:val="SingleTxtG"/>
      </w:pPr>
      <w:r w:rsidRPr="00CE26DF">
        <w:t>9.2.4.5.1</w:t>
      </w:r>
      <w:r w:rsidRPr="00CE26DF">
        <w:tab/>
        <w:t>Hydrogen Fuel Cell Vehicles shall comply with the requirements for the electrical power train of 9.2.4.4</w:t>
      </w:r>
      <w:r w:rsidR="008A7868" w:rsidRPr="00CE26DF">
        <w:t>.</w:t>
      </w:r>
    </w:p>
    <w:p w14:paraId="70EBDB98" w14:textId="2FD9FD5B" w:rsidR="008F1EFA" w:rsidRPr="00CE26DF" w:rsidRDefault="008F1EFA" w:rsidP="00855861">
      <w:pPr>
        <w:pStyle w:val="SingleTxtG"/>
        <w:rPr>
          <w:lang w:val="en-US"/>
        </w:rPr>
      </w:pPr>
      <w:r w:rsidRPr="00CE26DF">
        <w:t>9.2.4.5.2</w:t>
      </w:r>
      <w:r w:rsidRPr="00CE26DF">
        <w:tab/>
      </w:r>
      <w:r w:rsidRPr="00CE26DF">
        <w:rPr>
          <w:lang w:val="en-US"/>
        </w:rPr>
        <w:t xml:space="preserve">Hydrogen Fuel cell vehicles shall comply with UN Regulation No. 134 series 02 of amendment. </w:t>
      </w:r>
      <w:proofErr w:type="gramStart"/>
      <w:r w:rsidRPr="00CE26DF">
        <w:rPr>
          <w:lang w:val="en-US"/>
        </w:rPr>
        <w:t>For  vehicles</w:t>
      </w:r>
      <w:proofErr w:type="gramEnd"/>
      <w:r w:rsidRPr="00CE26DF">
        <w:rPr>
          <w:lang w:val="en-US"/>
        </w:rPr>
        <w:t xml:space="preserve"> using liquid hydrogen the technical requirements of the Global Technical Regulation 13 Phase 2 applies.</w:t>
      </w:r>
    </w:p>
    <w:p w14:paraId="04985308" w14:textId="77777777" w:rsidR="00142A8C" w:rsidRPr="00CE26DF" w:rsidRDefault="008F1EFA" w:rsidP="00855861">
      <w:pPr>
        <w:pStyle w:val="SingleTxtG"/>
        <w:rPr>
          <w:lang w:val="en-US"/>
        </w:rPr>
      </w:pPr>
      <w:r w:rsidRPr="00CE26DF">
        <w:rPr>
          <w:lang w:val="en-US"/>
        </w:rPr>
        <w:t>9.2.4.5.3</w:t>
      </w:r>
      <w:r w:rsidRPr="00CE26DF">
        <w:rPr>
          <w:lang w:val="en-US"/>
        </w:rPr>
        <w:tab/>
        <w:t>Shut-off devices of hydrogen containers shall close automatically</w:t>
      </w:r>
      <w:r w:rsidR="00142A8C" w:rsidRPr="00CE26DF">
        <w:rPr>
          <w:lang w:val="en-US"/>
        </w:rPr>
        <w:t>:</w:t>
      </w:r>
    </w:p>
    <w:p w14:paraId="3D37A5D9" w14:textId="3E50D652" w:rsidR="00142A8C" w:rsidRPr="00CE26DF" w:rsidRDefault="008F1EFA" w:rsidP="00A857EA">
      <w:pPr>
        <w:pStyle w:val="Bullet1G"/>
      </w:pPr>
      <w:r w:rsidRPr="00CE26DF">
        <w:t>when the vehicle is no longer in driving mode;</w:t>
      </w:r>
    </w:p>
    <w:p w14:paraId="7C617799" w14:textId="2DC38AAF" w:rsidR="00855861" w:rsidRPr="00CE26DF" w:rsidRDefault="008F1EFA" w:rsidP="00A857EA">
      <w:pPr>
        <w:pStyle w:val="Bullet1G"/>
      </w:pPr>
      <w:r w:rsidRPr="00CE26DF">
        <w:t>at an impact of 1.5 G against the direction of travel;</w:t>
      </w:r>
    </w:p>
    <w:p w14:paraId="73C0F35B" w14:textId="748655B6" w:rsidR="008F1EFA" w:rsidRPr="00CE26DF" w:rsidRDefault="008F1EFA" w:rsidP="00A857EA">
      <w:pPr>
        <w:pStyle w:val="Bullet1G"/>
      </w:pPr>
      <w:r w:rsidRPr="00CE26DF">
        <w:t>in case of lateral overturning above an angle of 23</w:t>
      </w:r>
      <w:r w:rsidR="00495B83">
        <w:rPr>
          <w:vertAlign w:val="superscript"/>
        </w:rPr>
        <w:t>°</w:t>
      </w:r>
      <w:r w:rsidRPr="00CE26DF">
        <w:t>.</w:t>
      </w:r>
    </w:p>
    <w:p w14:paraId="4C44F294" w14:textId="77777777" w:rsidR="008F1EFA" w:rsidRPr="00CE26DF" w:rsidRDefault="008F1EFA" w:rsidP="0091689B">
      <w:pPr>
        <w:pStyle w:val="Bullet1G"/>
        <w:numPr>
          <w:ilvl w:val="0"/>
          <w:numId w:val="0"/>
        </w:numPr>
        <w:ind w:left="1531"/>
      </w:pPr>
      <w:r w:rsidRPr="00CE26DF">
        <w:t>The shut-off devices may be re-opened by a deliberate action of the driver.”</w:t>
      </w:r>
    </w:p>
    <w:p w14:paraId="0C1AEFCF" w14:textId="622D75EB" w:rsidR="008F1EFA" w:rsidRPr="00E85085" w:rsidRDefault="00E667E5" w:rsidP="00E667E5">
      <w:pPr>
        <w:pStyle w:val="HChG"/>
      </w:pPr>
      <w:r>
        <w:tab/>
      </w:r>
      <w:r>
        <w:tab/>
      </w:r>
      <w:r w:rsidR="008F1EFA" w:rsidRPr="00E85085">
        <w:t>Proposal 18</w:t>
      </w:r>
    </w:p>
    <w:p w14:paraId="006E9C17" w14:textId="500AEBFA" w:rsidR="008F1EFA" w:rsidRPr="007767BA" w:rsidRDefault="00495B83" w:rsidP="00E667E5">
      <w:pPr>
        <w:pStyle w:val="SingleTxtG"/>
      </w:pPr>
      <w:r>
        <w:t>21.</w:t>
      </w:r>
      <w:r>
        <w:tab/>
      </w:r>
      <w:r w:rsidR="008F1EFA" w:rsidRPr="007767BA">
        <w:t xml:space="preserve">Delete 9.2.4.7 (provision replaced </w:t>
      </w:r>
      <w:r w:rsidR="00135D5A">
        <w:t>by</w:t>
      </w:r>
      <w:r w:rsidR="008F1EFA" w:rsidRPr="007767BA">
        <w:t xml:space="preserve"> 9.2.3.3).</w:t>
      </w:r>
    </w:p>
    <w:p w14:paraId="2E66C133" w14:textId="2DF10B1C" w:rsidR="008F1EFA" w:rsidRPr="002D45F3" w:rsidRDefault="00E667E5" w:rsidP="00E667E5">
      <w:pPr>
        <w:pStyle w:val="HChG"/>
      </w:pPr>
      <w:r>
        <w:tab/>
      </w:r>
      <w:r>
        <w:tab/>
      </w:r>
      <w:r w:rsidR="008F1EFA" w:rsidRPr="00E667E5">
        <w:t>Proposal</w:t>
      </w:r>
      <w:r w:rsidR="008F1EFA" w:rsidRPr="002D45F3">
        <w:t xml:space="preserve"> 19</w:t>
      </w:r>
    </w:p>
    <w:p w14:paraId="370E86C3" w14:textId="08E19417" w:rsidR="008F1EFA" w:rsidRPr="007767BA" w:rsidRDefault="00495B83" w:rsidP="00E667E5">
      <w:pPr>
        <w:pStyle w:val="SingleTxtG"/>
      </w:pPr>
      <w:r>
        <w:t>22.</w:t>
      </w:r>
      <w:r>
        <w:tab/>
      </w:r>
      <w:r w:rsidR="008F1EFA" w:rsidRPr="007767BA">
        <w:t>Renumber 9.2.4.8 to 9.2.4.8.6 as 9.2.5 to 9.2.5.6 respectively.</w:t>
      </w:r>
    </w:p>
    <w:p w14:paraId="4354C5E3" w14:textId="16651C9F" w:rsidR="008F1EFA" w:rsidRPr="002D45F3" w:rsidRDefault="00E667E5" w:rsidP="00E667E5">
      <w:pPr>
        <w:pStyle w:val="HChG"/>
      </w:pPr>
      <w:r>
        <w:tab/>
      </w:r>
      <w:r>
        <w:tab/>
      </w:r>
      <w:r w:rsidR="008F1EFA" w:rsidRPr="002D45F3">
        <w:t xml:space="preserve">Proposal 20 </w:t>
      </w:r>
    </w:p>
    <w:p w14:paraId="26386BEF" w14:textId="2E6FF07C" w:rsidR="008F1EFA" w:rsidRPr="007767BA" w:rsidRDefault="00495B83" w:rsidP="00E667E5">
      <w:pPr>
        <w:pStyle w:val="SingleTxtG"/>
        <w:rPr>
          <w:b/>
          <w:bCs/>
          <w:sz w:val="24"/>
          <w:szCs w:val="24"/>
        </w:rPr>
      </w:pPr>
      <w:r>
        <w:t>23.</w:t>
      </w:r>
      <w:r>
        <w:tab/>
      </w:r>
      <w:r w:rsidR="008F1EFA" w:rsidRPr="007767BA">
        <w:t>Renumber 9.2.5 and 9.2.6 as 9.2.6 and 9.2.7</w:t>
      </w:r>
      <w:r w:rsidR="008F1EFA">
        <w:t xml:space="preserve"> </w:t>
      </w:r>
      <w:r w:rsidR="008F1EFA" w:rsidRPr="007767BA">
        <w:t>respectively</w:t>
      </w:r>
      <w:r w:rsidR="008F1EFA">
        <w:rPr>
          <w:b/>
          <w:bCs/>
          <w:sz w:val="24"/>
          <w:szCs w:val="24"/>
        </w:rPr>
        <w:t>.</w:t>
      </w:r>
      <w:r w:rsidR="008F1EFA" w:rsidRPr="007767BA">
        <w:rPr>
          <w:b/>
          <w:bCs/>
          <w:sz w:val="24"/>
          <w:szCs w:val="24"/>
        </w:rPr>
        <w:t xml:space="preserve"> </w:t>
      </w:r>
    </w:p>
    <w:p w14:paraId="5D917AD3" w14:textId="4E33939C" w:rsidR="008F1EFA" w:rsidRPr="002D45F3" w:rsidRDefault="00E667E5" w:rsidP="00E667E5">
      <w:pPr>
        <w:pStyle w:val="HChG"/>
      </w:pPr>
      <w:r>
        <w:tab/>
      </w:r>
      <w:r>
        <w:tab/>
      </w:r>
      <w:r w:rsidR="008F1EFA" w:rsidRPr="002D45F3">
        <w:t>Proposal 21</w:t>
      </w:r>
    </w:p>
    <w:p w14:paraId="3121EA0A" w14:textId="18AFF143" w:rsidR="008F1EFA" w:rsidRPr="007767BA" w:rsidRDefault="00495B83" w:rsidP="00A857EA">
      <w:pPr>
        <w:pStyle w:val="SingleTxtG"/>
      </w:pPr>
      <w:r>
        <w:t>24.</w:t>
      </w:r>
      <w:r>
        <w:tab/>
      </w:r>
      <w:r w:rsidR="008F1EFA" w:rsidRPr="007767BA">
        <w:t xml:space="preserve">Renumber 9.2.7 as 9.2.8 and amend to read (new wording in </w:t>
      </w:r>
      <w:r w:rsidR="008F1EFA" w:rsidRPr="007767BA">
        <w:rPr>
          <w:i/>
          <w:iCs/>
          <w:u w:val="single"/>
        </w:rPr>
        <w:t>Italic underlined</w:t>
      </w:r>
      <w:r w:rsidR="008F1EFA" w:rsidRPr="007767BA">
        <w:t>)</w:t>
      </w:r>
      <w:r w:rsidR="008F1EFA">
        <w:t>.</w:t>
      </w:r>
    </w:p>
    <w:p w14:paraId="3FA9B3C6" w14:textId="74C677AC" w:rsidR="008F1EFA" w:rsidRPr="00D62BAD" w:rsidRDefault="008F1EFA" w:rsidP="00E667E5">
      <w:pPr>
        <w:pStyle w:val="SingleTxtG"/>
        <w:rPr>
          <w:i/>
          <w:iCs/>
        </w:rPr>
      </w:pPr>
      <w:r w:rsidRPr="00495B83">
        <w:t>“</w:t>
      </w:r>
      <w:r w:rsidRPr="00FE5197">
        <w:rPr>
          <w:b/>
          <w:bCs/>
        </w:rPr>
        <w:t>9.2.8</w:t>
      </w:r>
      <w:r w:rsidR="00A857EA">
        <w:rPr>
          <w:b/>
          <w:bCs/>
        </w:rPr>
        <w:tab/>
      </w:r>
      <w:r w:rsidRPr="00FE5197">
        <w:rPr>
          <w:b/>
          <w:bCs/>
        </w:rPr>
        <w:t>Prevention of other risks caused by fuels</w:t>
      </w:r>
    </w:p>
    <w:p w14:paraId="6C628593" w14:textId="2AC29CF5" w:rsidR="008F1EFA" w:rsidRPr="00A857EA" w:rsidRDefault="008F1EFA" w:rsidP="00E667E5">
      <w:pPr>
        <w:pStyle w:val="SingleTxtG"/>
        <w:rPr>
          <w:i/>
          <w:iCs/>
        </w:rPr>
      </w:pPr>
      <w:r w:rsidRPr="002D45F3">
        <w:t>9.2.8.1</w:t>
      </w:r>
      <w:r w:rsidR="00FE5197">
        <w:tab/>
      </w:r>
      <w:r w:rsidRPr="002D45F3">
        <w:tab/>
      </w:r>
      <w:r w:rsidRPr="00171ECF">
        <w:t>Fuel systems for engines fuelled by LNG</w:t>
      </w:r>
      <w:r w:rsidRPr="00A857EA">
        <w:rPr>
          <w:i/>
          <w:iCs/>
        </w:rPr>
        <w:t xml:space="preserve"> </w:t>
      </w:r>
      <w:r w:rsidRPr="00A857EA">
        <w:rPr>
          <w:i/>
          <w:iCs/>
          <w:u w:val="single"/>
        </w:rPr>
        <w:t>and liquid hydrogen</w:t>
      </w:r>
      <w:r w:rsidRPr="00A857EA">
        <w:rPr>
          <w:i/>
          <w:iCs/>
        </w:rPr>
        <w:t xml:space="preserve"> </w:t>
      </w:r>
      <w:r w:rsidRPr="00171ECF">
        <w:t>shall be so equipped and situated to avoid any danger to the load due to the gas being refrigerated.</w:t>
      </w:r>
      <w:r w:rsidRPr="00495B83">
        <w:t>”</w:t>
      </w:r>
    </w:p>
    <w:p w14:paraId="1AAB3FA8" w14:textId="0B470931" w:rsidR="008F1EFA" w:rsidRDefault="00FE5197" w:rsidP="00FE5197">
      <w:pPr>
        <w:pStyle w:val="HChG"/>
      </w:pPr>
      <w:r>
        <w:lastRenderedPageBreak/>
        <w:tab/>
      </w:r>
      <w:r>
        <w:tab/>
      </w:r>
      <w:r w:rsidR="008F1EFA" w:rsidRPr="00E85085">
        <w:t>Proposal 2</w:t>
      </w:r>
      <w:r w:rsidR="008F1EFA">
        <w:t>2</w:t>
      </w:r>
    </w:p>
    <w:p w14:paraId="36B5CF32" w14:textId="0E125D42" w:rsidR="008F1EFA" w:rsidRPr="003B404F" w:rsidRDefault="00171ECF" w:rsidP="00C678A0">
      <w:pPr>
        <w:pStyle w:val="SingleTxtG"/>
      </w:pPr>
      <w:r>
        <w:t>25.</w:t>
      </w:r>
      <w:r>
        <w:tab/>
      </w:r>
      <w:r w:rsidR="008F1EFA" w:rsidRPr="003B404F">
        <w:t>Introduce a new transitional provisions 1.6.5.</w:t>
      </w:r>
      <w:r w:rsidR="008F1EFA">
        <w:t xml:space="preserve">xy, in case of removal of the square brackets in the table of 9.2.11 for AT, in the line for 9.2.4.2 and 9.2.4.4.2 </w:t>
      </w:r>
      <w:r w:rsidR="008F1EFA" w:rsidRPr="003B404F">
        <w:t>to read</w:t>
      </w:r>
      <w:r w:rsidR="008F1EFA">
        <w:t xml:space="preserve">: </w:t>
      </w:r>
    </w:p>
    <w:p w14:paraId="16C88EE4" w14:textId="580EEB54" w:rsidR="008F1EFA" w:rsidRPr="00171ECF" w:rsidRDefault="008F1EFA" w:rsidP="00C678A0">
      <w:pPr>
        <w:pStyle w:val="SingleTxtG"/>
      </w:pPr>
      <w:r w:rsidRPr="00171ECF">
        <w:t>“1.6.5.[23]</w:t>
      </w:r>
      <w:r w:rsidRPr="00171ECF">
        <w:tab/>
        <w:t>Vehicles first registered (or which entered into service if registration is not mandatory) before 1 April 2026, approved as AT vehicle not in compliance with the provisions of 9.2.4.2 concerning fuel tanks and 9.2.4.4.2 concerning the evaluation of the REESS may continue to be used.”</w:t>
      </w:r>
    </w:p>
    <w:p w14:paraId="271E7CD9" w14:textId="7907F21B" w:rsidR="008F1EFA" w:rsidRDefault="00FE5197" w:rsidP="00FE5197">
      <w:pPr>
        <w:pStyle w:val="HChG"/>
        <w:rPr>
          <w:sz w:val="22"/>
          <w:szCs w:val="22"/>
        </w:rPr>
      </w:pPr>
      <w:r>
        <w:tab/>
      </w:r>
      <w:r>
        <w:tab/>
      </w:r>
      <w:r w:rsidR="008F1EFA" w:rsidRPr="002D45F3">
        <w:t>Justificatio</w:t>
      </w:r>
      <w:r w:rsidR="008F1EFA">
        <w:t>n</w:t>
      </w:r>
    </w:p>
    <w:p w14:paraId="373AE402" w14:textId="0B970AC6" w:rsidR="008F1EFA" w:rsidRDefault="00171ECF" w:rsidP="00486466">
      <w:pPr>
        <w:pStyle w:val="SingleTxtG"/>
        <w:rPr>
          <w:u w:val="single"/>
        </w:rPr>
      </w:pPr>
      <w:r>
        <w:t>26.</w:t>
      </w:r>
      <w:r>
        <w:tab/>
      </w:r>
      <w:r w:rsidR="008F1EFA" w:rsidRPr="007767BA">
        <w:t xml:space="preserve">Justification for the amendments in this document will be given in the report of the </w:t>
      </w:r>
      <w:r w:rsidR="00424585" w:rsidRPr="007767BA">
        <w:t xml:space="preserve">informal </w:t>
      </w:r>
      <w:r w:rsidR="00424585">
        <w:t>w</w:t>
      </w:r>
      <w:r w:rsidR="00424585" w:rsidRPr="007767BA">
        <w:t xml:space="preserve">orking group </w:t>
      </w:r>
      <w:r w:rsidR="00424585">
        <w:t xml:space="preserve">on </w:t>
      </w:r>
      <w:r w:rsidR="00424585" w:rsidRPr="007767BA">
        <w:t>electrified vehicle</w:t>
      </w:r>
      <w:r w:rsidR="00424585">
        <w:t>s</w:t>
      </w:r>
      <w:r w:rsidR="008F1EFA" w:rsidRPr="007767BA">
        <w:t>.</w:t>
      </w:r>
    </w:p>
    <w:p w14:paraId="4F93AD99" w14:textId="6F77A98F" w:rsidR="00486466" w:rsidRPr="00486466" w:rsidRDefault="00486466" w:rsidP="00486466">
      <w:pPr>
        <w:spacing w:before="240"/>
        <w:jc w:val="center"/>
        <w:rPr>
          <w:u w:val="single"/>
        </w:rPr>
      </w:pPr>
      <w:r>
        <w:rPr>
          <w:u w:val="single"/>
        </w:rPr>
        <w:tab/>
      </w:r>
      <w:r>
        <w:rPr>
          <w:u w:val="single"/>
        </w:rPr>
        <w:tab/>
      </w:r>
      <w:r>
        <w:rPr>
          <w:u w:val="single"/>
        </w:rPr>
        <w:tab/>
      </w:r>
    </w:p>
    <w:sectPr w:rsidR="00486466" w:rsidRPr="00486466" w:rsidSect="00436219">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CEEB" w14:textId="77777777" w:rsidR="00A81133" w:rsidRDefault="00A81133"/>
  </w:endnote>
  <w:endnote w:type="continuationSeparator" w:id="0">
    <w:p w14:paraId="7AFF3BCE" w14:textId="77777777" w:rsidR="00A81133" w:rsidRDefault="00A81133"/>
  </w:endnote>
  <w:endnote w:type="continuationNotice" w:id="1">
    <w:p w14:paraId="7F8EAF85" w14:textId="77777777" w:rsidR="00A81133" w:rsidRDefault="00A81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D258" w14:textId="0056E6D5" w:rsidR="00436219" w:rsidRPr="00436219" w:rsidRDefault="00436219" w:rsidP="00436219">
    <w:pPr>
      <w:pStyle w:val="Footer"/>
      <w:tabs>
        <w:tab w:val="right" w:pos="9638"/>
      </w:tabs>
      <w:rPr>
        <w:sz w:val="18"/>
      </w:rPr>
    </w:pPr>
    <w:r w:rsidRPr="00436219">
      <w:rPr>
        <w:b/>
        <w:sz w:val="18"/>
      </w:rPr>
      <w:fldChar w:fldCharType="begin"/>
    </w:r>
    <w:r w:rsidRPr="00436219">
      <w:rPr>
        <w:b/>
        <w:sz w:val="18"/>
      </w:rPr>
      <w:instrText xml:space="preserve"> PAGE  \* MERGEFORMAT </w:instrText>
    </w:r>
    <w:r w:rsidRPr="00436219">
      <w:rPr>
        <w:b/>
        <w:sz w:val="18"/>
      </w:rPr>
      <w:fldChar w:fldCharType="separate"/>
    </w:r>
    <w:r w:rsidRPr="00436219">
      <w:rPr>
        <w:b/>
        <w:noProof/>
        <w:sz w:val="18"/>
      </w:rPr>
      <w:t>2</w:t>
    </w:r>
    <w:r w:rsidRPr="0043621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C69C" w14:textId="66B8651F" w:rsidR="00436219" w:rsidRPr="00436219" w:rsidRDefault="00436219" w:rsidP="00436219">
    <w:pPr>
      <w:pStyle w:val="Footer"/>
      <w:tabs>
        <w:tab w:val="right" w:pos="9638"/>
      </w:tabs>
      <w:rPr>
        <w:b/>
        <w:sz w:val="18"/>
      </w:rPr>
    </w:pPr>
    <w:r>
      <w:tab/>
    </w:r>
    <w:r w:rsidRPr="00436219">
      <w:rPr>
        <w:b/>
        <w:sz w:val="18"/>
      </w:rPr>
      <w:fldChar w:fldCharType="begin"/>
    </w:r>
    <w:r w:rsidRPr="00436219">
      <w:rPr>
        <w:b/>
        <w:sz w:val="18"/>
      </w:rPr>
      <w:instrText xml:space="preserve"> PAGE  \* MERGEFORMAT </w:instrText>
    </w:r>
    <w:r w:rsidRPr="00436219">
      <w:rPr>
        <w:b/>
        <w:sz w:val="18"/>
      </w:rPr>
      <w:fldChar w:fldCharType="separate"/>
    </w:r>
    <w:r w:rsidRPr="00436219">
      <w:rPr>
        <w:b/>
        <w:noProof/>
        <w:sz w:val="18"/>
      </w:rPr>
      <w:t>3</w:t>
    </w:r>
    <w:r w:rsidRPr="0043621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167F" w14:textId="200958A3" w:rsidR="0035223F" w:rsidRDefault="008F5264" w:rsidP="008F5264">
    <w:pPr>
      <w:pStyle w:val="Footer"/>
      <w:rPr>
        <w:sz w:val="20"/>
      </w:rPr>
    </w:pPr>
    <w:r w:rsidRPr="008F5264">
      <w:rPr>
        <w:noProof/>
        <w:sz w:val="20"/>
        <w:lang w:val="en-US"/>
      </w:rPr>
      <w:drawing>
        <wp:anchor distT="0" distB="0" distL="114300" distR="114300" simplePos="0" relativeHeight="251660288" behindDoc="0" locked="1" layoutInCell="1" allowOverlap="1" wp14:anchorId="28A4A64F" wp14:editId="4F8CEB5B">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8006537" w14:textId="3615D4FD" w:rsidR="008F5264" w:rsidRPr="008F5264" w:rsidRDefault="008F5264" w:rsidP="008F5264">
    <w:pPr>
      <w:pStyle w:val="Footer"/>
      <w:ind w:right="1134"/>
      <w:rPr>
        <w:sz w:val="20"/>
      </w:rPr>
    </w:pPr>
    <w:r>
      <w:rPr>
        <w:sz w:val="20"/>
      </w:rPr>
      <w:t>GE.23-15891(E)</w:t>
    </w:r>
    <w:r>
      <w:rPr>
        <w:noProof/>
        <w:sz w:val="20"/>
      </w:rPr>
      <w:drawing>
        <wp:anchor distT="0" distB="0" distL="114300" distR="114300" simplePos="0" relativeHeight="251661312" behindDoc="0" locked="0" layoutInCell="1" allowOverlap="1" wp14:anchorId="4A66BC4F" wp14:editId="3168886F">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399A" w14:textId="77777777" w:rsidR="00A81133" w:rsidRPr="000B175B" w:rsidRDefault="00A81133" w:rsidP="000B175B">
      <w:pPr>
        <w:tabs>
          <w:tab w:val="right" w:pos="2155"/>
        </w:tabs>
        <w:spacing w:after="80"/>
        <w:ind w:left="680"/>
        <w:rPr>
          <w:u w:val="single"/>
        </w:rPr>
      </w:pPr>
      <w:r>
        <w:rPr>
          <w:u w:val="single"/>
        </w:rPr>
        <w:tab/>
      </w:r>
    </w:p>
  </w:footnote>
  <w:footnote w:type="continuationSeparator" w:id="0">
    <w:p w14:paraId="1DCFE05D" w14:textId="77777777" w:rsidR="00A81133" w:rsidRPr="00FC68B7" w:rsidRDefault="00A81133" w:rsidP="00FC68B7">
      <w:pPr>
        <w:tabs>
          <w:tab w:val="left" w:pos="2155"/>
        </w:tabs>
        <w:spacing w:after="80"/>
        <w:ind w:left="680"/>
        <w:rPr>
          <w:u w:val="single"/>
        </w:rPr>
      </w:pPr>
      <w:r>
        <w:rPr>
          <w:u w:val="single"/>
        </w:rPr>
        <w:tab/>
      </w:r>
    </w:p>
  </w:footnote>
  <w:footnote w:type="continuationNotice" w:id="1">
    <w:p w14:paraId="6BD16D60" w14:textId="77777777" w:rsidR="00A81133" w:rsidRDefault="00A81133"/>
  </w:footnote>
  <w:footnote w:id="2">
    <w:p w14:paraId="1C59169B" w14:textId="77777777" w:rsidR="00615C99" w:rsidRPr="00763EB1" w:rsidRDefault="00615C99" w:rsidP="00615C99">
      <w:pPr>
        <w:pStyle w:val="FootnoteText"/>
        <w:rPr>
          <w:lang w:val="fr-CH"/>
        </w:rPr>
      </w:pPr>
      <w:r>
        <w:rPr>
          <w:rStyle w:val="FootnoteReference"/>
        </w:rPr>
        <w:tab/>
      </w:r>
      <w:r w:rsidRPr="00763EB1">
        <w:rPr>
          <w:rStyle w:val="FootnoteReference"/>
          <w:sz w:val="20"/>
          <w:vertAlign w:val="baseline"/>
        </w:rPr>
        <w:t>*</w:t>
      </w:r>
      <w:r>
        <w:rPr>
          <w:rStyle w:val="FootnoteReference"/>
          <w:sz w:val="20"/>
          <w:vertAlign w:val="baseline"/>
        </w:rPr>
        <w:tab/>
      </w:r>
      <w:r>
        <w:rPr>
          <w:rStyle w:val="FootnoteReference"/>
          <w:sz w:val="20"/>
          <w:vertAlign w:val="baseline"/>
        </w:rPr>
        <w:tab/>
      </w:r>
      <w:r w:rsidRPr="00F72D1F">
        <w:t>A/77/6 (</w:t>
      </w:r>
      <w:r w:rsidRPr="007C43B2">
        <w:t>Sect</w:t>
      </w:r>
      <w:r w:rsidRPr="00F72D1F">
        <w:t>. 20), table 20.</w:t>
      </w:r>
      <w: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8585" w14:textId="3FCDA823" w:rsidR="00436219" w:rsidRPr="00436219" w:rsidRDefault="00CD6195">
    <w:pPr>
      <w:pStyle w:val="Header"/>
    </w:pPr>
    <w:fldSimple w:instr=" TITLE  \* MERGEFORMAT ">
      <w:r w:rsidR="00436219">
        <w:t>ECE/TRANS/WP.15/</w:t>
      </w:r>
      <w:r w:rsidR="00FD7FFB">
        <w:t>2023/</w:t>
      </w:r>
      <w:r w:rsidR="00436219">
        <w:t>14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F7DA" w14:textId="353573BA" w:rsidR="00436219" w:rsidRPr="00436219" w:rsidRDefault="00CD6195" w:rsidP="00436219">
    <w:pPr>
      <w:pStyle w:val="Header"/>
      <w:jc w:val="right"/>
    </w:pPr>
    <w:fldSimple w:instr=" TITLE  \* MERGEFORMAT ">
      <w:r w:rsidR="00436219">
        <w:t>ECE/TRANS/WP.15/</w:t>
      </w:r>
      <w:r w:rsidR="00FD7FFB">
        <w:t>2023/</w:t>
      </w:r>
      <w:r w:rsidR="00436219">
        <w:t>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3695690">
    <w:abstractNumId w:val="1"/>
  </w:num>
  <w:num w:numId="2" w16cid:durableId="532228275">
    <w:abstractNumId w:val="0"/>
  </w:num>
  <w:num w:numId="3" w16cid:durableId="461844095">
    <w:abstractNumId w:val="2"/>
  </w:num>
  <w:num w:numId="4" w16cid:durableId="1871914351">
    <w:abstractNumId w:val="3"/>
  </w:num>
  <w:num w:numId="5" w16cid:durableId="867911847">
    <w:abstractNumId w:val="8"/>
  </w:num>
  <w:num w:numId="6" w16cid:durableId="201865511">
    <w:abstractNumId w:val="9"/>
  </w:num>
  <w:num w:numId="7" w16cid:durableId="937450984">
    <w:abstractNumId w:val="7"/>
  </w:num>
  <w:num w:numId="8" w16cid:durableId="1889604890">
    <w:abstractNumId w:val="6"/>
  </w:num>
  <w:num w:numId="9" w16cid:durableId="14697229">
    <w:abstractNumId w:val="5"/>
  </w:num>
  <w:num w:numId="10" w16cid:durableId="895513904">
    <w:abstractNumId w:val="4"/>
  </w:num>
  <w:num w:numId="11" w16cid:durableId="1950887003">
    <w:abstractNumId w:val="15"/>
  </w:num>
  <w:num w:numId="12" w16cid:durableId="138159908">
    <w:abstractNumId w:val="14"/>
  </w:num>
  <w:num w:numId="13" w16cid:durableId="1875538325">
    <w:abstractNumId w:val="10"/>
  </w:num>
  <w:num w:numId="14" w16cid:durableId="1884635243">
    <w:abstractNumId w:val="12"/>
  </w:num>
  <w:num w:numId="15" w16cid:durableId="1988431565">
    <w:abstractNumId w:val="16"/>
  </w:num>
  <w:num w:numId="16" w16cid:durableId="136188823">
    <w:abstractNumId w:val="13"/>
  </w:num>
  <w:num w:numId="17" w16cid:durableId="2093234357">
    <w:abstractNumId w:val="17"/>
  </w:num>
  <w:num w:numId="18" w16cid:durableId="625700726">
    <w:abstractNumId w:val="18"/>
  </w:num>
  <w:num w:numId="19" w16cid:durableId="576943569">
    <w:abstractNumId w:val="11"/>
  </w:num>
  <w:num w:numId="20" w16cid:durableId="22689035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19"/>
    <w:rsid w:val="00002A7D"/>
    <w:rsid w:val="000038A8"/>
    <w:rsid w:val="00006790"/>
    <w:rsid w:val="000245A4"/>
    <w:rsid w:val="00027624"/>
    <w:rsid w:val="0004332A"/>
    <w:rsid w:val="000463B0"/>
    <w:rsid w:val="00050F6B"/>
    <w:rsid w:val="00052DE6"/>
    <w:rsid w:val="000678CD"/>
    <w:rsid w:val="00072C8C"/>
    <w:rsid w:val="00081CE0"/>
    <w:rsid w:val="00082F63"/>
    <w:rsid w:val="00084D30"/>
    <w:rsid w:val="00090320"/>
    <w:rsid w:val="000931C0"/>
    <w:rsid w:val="0009732C"/>
    <w:rsid w:val="000A01F9"/>
    <w:rsid w:val="000A2E09"/>
    <w:rsid w:val="000B175B"/>
    <w:rsid w:val="000B3A0F"/>
    <w:rsid w:val="000C4FA0"/>
    <w:rsid w:val="000C5FDB"/>
    <w:rsid w:val="000D127D"/>
    <w:rsid w:val="000E0415"/>
    <w:rsid w:val="000E63E2"/>
    <w:rsid w:val="000F7715"/>
    <w:rsid w:val="00101929"/>
    <w:rsid w:val="00114C4D"/>
    <w:rsid w:val="00135D5A"/>
    <w:rsid w:val="00142A8C"/>
    <w:rsid w:val="00156B99"/>
    <w:rsid w:val="00166124"/>
    <w:rsid w:val="00171ECF"/>
    <w:rsid w:val="00184DDA"/>
    <w:rsid w:val="001900CD"/>
    <w:rsid w:val="00192F8C"/>
    <w:rsid w:val="001A0452"/>
    <w:rsid w:val="001B4B04"/>
    <w:rsid w:val="001B5875"/>
    <w:rsid w:val="001C2852"/>
    <w:rsid w:val="001C4B9C"/>
    <w:rsid w:val="001C6663"/>
    <w:rsid w:val="001C7895"/>
    <w:rsid w:val="001D26DF"/>
    <w:rsid w:val="001E555D"/>
    <w:rsid w:val="001F104A"/>
    <w:rsid w:val="001F1599"/>
    <w:rsid w:val="001F19C4"/>
    <w:rsid w:val="00202D3A"/>
    <w:rsid w:val="002043F0"/>
    <w:rsid w:val="00206002"/>
    <w:rsid w:val="00211E0B"/>
    <w:rsid w:val="00232575"/>
    <w:rsid w:val="00247258"/>
    <w:rsid w:val="00250E94"/>
    <w:rsid w:val="0025388F"/>
    <w:rsid w:val="00257CAC"/>
    <w:rsid w:val="00264441"/>
    <w:rsid w:val="0027237A"/>
    <w:rsid w:val="002974E9"/>
    <w:rsid w:val="002A390E"/>
    <w:rsid w:val="002A7F94"/>
    <w:rsid w:val="002B109A"/>
    <w:rsid w:val="002C6D45"/>
    <w:rsid w:val="002D6E53"/>
    <w:rsid w:val="002F046D"/>
    <w:rsid w:val="002F3023"/>
    <w:rsid w:val="00301764"/>
    <w:rsid w:val="003229D8"/>
    <w:rsid w:val="0033367E"/>
    <w:rsid w:val="003338F6"/>
    <w:rsid w:val="00333E2B"/>
    <w:rsid w:val="00336C97"/>
    <w:rsid w:val="00337F88"/>
    <w:rsid w:val="00342432"/>
    <w:rsid w:val="0035223F"/>
    <w:rsid w:val="00352D4B"/>
    <w:rsid w:val="0035529A"/>
    <w:rsid w:val="0035638C"/>
    <w:rsid w:val="0038111C"/>
    <w:rsid w:val="003A46BB"/>
    <w:rsid w:val="003A4EC7"/>
    <w:rsid w:val="003A7295"/>
    <w:rsid w:val="003B1F60"/>
    <w:rsid w:val="003C2CC4"/>
    <w:rsid w:val="003D4B23"/>
    <w:rsid w:val="003E278A"/>
    <w:rsid w:val="00413520"/>
    <w:rsid w:val="00424585"/>
    <w:rsid w:val="00430D57"/>
    <w:rsid w:val="004325CB"/>
    <w:rsid w:val="00436219"/>
    <w:rsid w:val="00436D19"/>
    <w:rsid w:val="00440A07"/>
    <w:rsid w:val="00462880"/>
    <w:rsid w:val="00476F24"/>
    <w:rsid w:val="00486466"/>
    <w:rsid w:val="00495B83"/>
    <w:rsid w:val="00496F08"/>
    <w:rsid w:val="004A1D9B"/>
    <w:rsid w:val="004C171F"/>
    <w:rsid w:val="004C55B0"/>
    <w:rsid w:val="004E7EDD"/>
    <w:rsid w:val="004F6BA0"/>
    <w:rsid w:val="00503BEA"/>
    <w:rsid w:val="0050415A"/>
    <w:rsid w:val="0052249F"/>
    <w:rsid w:val="00533616"/>
    <w:rsid w:val="00535ABA"/>
    <w:rsid w:val="00536678"/>
    <w:rsid w:val="0053768B"/>
    <w:rsid w:val="005420F2"/>
    <w:rsid w:val="0054285C"/>
    <w:rsid w:val="0056018A"/>
    <w:rsid w:val="00580228"/>
    <w:rsid w:val="00584173"/>
    <w:rsid w:val="00595520"/>
    <w:rsid w:val="005A44B9"/>
    <w:rsid w:val="005B1BA0"/>
    <w:rsid w:val="005B3DB3"/>
    <w:rsid w:val="005C0007"/>
    <w:rsid w:val="005D15CA"/>
    <w:rsid w:val="005D7969"/>
    <w:rsid w:val="005F08DF"/>
    <w:rsid w:val="005F3066"/>
    <w:rsid w:val="005F3E61"/>
    <w:rsid w:val="00603857"/>
    <w:rsid w:val="00604DDD"/>
    <w:rsid w:val="006115CC"/>
    <w:rsid w:val="00611FC4"/>
    <w:rsid w:val="00615C99"/>
    <w:rsid w:val="006176FB"/>
    <w:rsid w:val="00630FCB"/>
    <w:rsid w:val="00640B26"/>
    <w:rsid w:val="0065766B"/>
    <w:rsid w:val="00672D66"/>
    <w:rsid w:val="00676A1C"/>
    <w:rsid w:val="006770B2"/>
    <w:rsid w:val="00686A48"/>
    <w:rsid w:val="006940E1"/>
    <w:rsid w:val="006A3C72"/>
    <w:rsid w:val="006A7392"/>
    <w:rsid w:val="006B03A1"/>
    <w:rsid w:val="006B67D9"/>
    <w:rsid w:val="006C5535"/>
    <w:rsid w:val="006C7006"/>
    <w:rsid w:val="006D0589"/>
    <w:rsid w:val="006E564B"/>
    <w:rsid w:val="006E7154"/>
    <w:rsid w:val="006F63C6"/>
    <w:rsid w:val="007003CD"/>
    <w:rsid w:val="0070590D"/>
    <w:rsid w:val="0070701E"/>
    <w:rsid w:val="007173E0"/>
    <w:rsid w:val="0072632A"/>
    <w:rsid w:val="007358E8"/>
    <w:rsid w:val="00736ECE"/>
    <w:rsid w:val="0074533B"/>
    <w:rsid w:val="00752030"/>
    <w:rsid w:val="00763EB1"/>
    <w:rsid w:val="007643BC"/>
    <w:rsid w:val="00765119"/>
    <w:rsid w:val="007801C5"/>
    <w:rsid w:val="00780C68"/>
    <w:rsid w:val="007959FE"/>
    <w:rsid w:val="007A0CF1"/>
    <w:rsid w:val="007A478E"/>
    <w:rsid w:val="007B6BA5"/>
    <w:rsid w:val="007C3390"/>
    <w:rsid w:val="007C42D8"/>
    <w:rsid w:val="007C43B2"/>
    <w:rsid w:val="007C4F4B"/>
    <w:rsid w:val="007D7362"/>
    <w:rsid w:val="007F5CE2"/>
    <w:rsid w:val="007F6611"/>
    <w:rsid w:val="00800522"/>
    <w:rsid w:val="00810BAC"/>
    <w:rsid w:val="008175E9"/>
    <w:rsid w:val="008242D7"/>
    <w:rsid w:val="0082577B"/>
    <w:rsid w:val="008272DD"/>
    <w:rsid w:val="008434D2"/>
    <w:rsid w:val="00855861"/>
    <w:rsid w:val="00866893"/>
    <w:rsid w:val="00866F02"/>
    <w:rsid w:val="00867D18"/>
    <w:rsid w:val="00871F9A"/>
    <w:rsid w:val="00871FD5"/>
    <w:rsid w:val="0088172E"/>
    <w:rsid w:val="00881EFA"/>
    <w:rsid w:val="00882D4B"/>
    <w:rsid w:val="0088314C"/>
    <w:rsid w:val="008879CB"/>
    <w:rsid w:val="008935BA"/>
    <w:rsid w:val="008979B1"/>
    <w:rsid w:val="008A4290"/>
    <w:rsid w:val="008A51F5"/>
    <w:rsid w:val="008A6B25"/>
    <w:rsid w:val="008A6C4F"/>
    <w:rsid w:val="008A77AE"/>
    <w:rsid w:val="008A7868"/>
    <w:rsid w:val="008B389E"/>
    <w:rsid w:val="008B515B"/>
    <w:rsid w:val="008D045E"/>
    <w:rsid w:val="008D3F25"/>
    <w:rsid w:val="008D4D82"/>
    <w:rsid w:val="008E0E46"/>
    <w:rsid w:val="008E3BB2"/>
    <w:rsid w:val="008E463B"/>
    <w:rsid w:val="008E7116"/>
    <w:rsid w:val="008F143B"/>
    <w:rsid w:val="008F1EFA"/>
    <w:rsid w:val="008F3882"/>
    <w:rsid w:val="008F4B7C"/>
    <w:rsid w:val="008F5264"/>
    <w:rsid w:val="0091689B"/>
    <w:rsid w:val="00926E47"/>
    <w:rsid w:val="00932A23"/>
    <w:rsid w:val="00944D91"/>
    <w:rsid w:val="00947162"/>
    <w:rsid w:val="009610D0"/>
    <w:rsid w:val="0096375C"/>
    <w:rsid w:val="009662E6"/>
    <w:rsid w:val="0097095E"/>
    <w:rsid w:val="0098592B"/>
    <w:rsid w:val="00985FC4"/>
    <w:rsid w:val="00990766"/>
    <w:rsid w:val="00991261"/>
    <w:rsid w:val="009964C4"/>
    <w:rsid w:val="009A2C75"/>
    <w:rsid w:val="009A7B81"/>
    <w:rsid w:val="009D01C0"/>
    <w:rsid w:val="009D6A08"/>
    <w:rsid w:val="009E0A16"/>
    <w:rsid w:val="009E6CB7"/>
    <w:rsid w:val="009E7970"/>
    <w:rsid w:val="009F125E"/>
    <w:rsid w:val="009F2EAC"/>
    <w:rsid w:val="009F57E3"/>
    <w:rsid w:val="00A10F4F"/>
    <w:rsid w:val="00A11067"/>
    <w:rsid w:val="00A1704A"/>
    <w:rsid w:val="00A425EB"/>
    <w:rsid w:val="00A72F22"/>
    <w:rsid w:val="00A733BC"/>
    <w:rsid w:val="00A748A6"/>
    <w:rsid w:val="00A76A69"/>
    <w:rsid w:val="00A81133"/>
    <w:rsid w:val="00A82EF2"/>
    <w:rsid w:val="00A857EA"/>
    <w:rsid w:val="00A879A4"/>
    <w:rsid w:val="00AA0FF8"/>
    <w:rsid w:val="00AA5ED3"/>
    <w:rsid w:val="00AC0F2C"/>
    <w:rsid w:val="00AC502A"/>
    <w:rsid w:val="00AF58C1"/>
    <w:rsid w:val="00B04A3F"/>
    <w:rsid w:val="00B06643"/>
    <w:rsid w:val="00B15055"/>
    <w:rsid w:val="00B15634"/>
    <w:rsid w:val="00B20551"/>
    <w:rsid w:val="00B20808"/>
    <w:rsid w:val="00B23D55"/>
    <w:rsid w:val="00B30179"/>
    <w:rsid w:val="00B33FC7"/>
    <w:rsid w:val="00B34DE4"/>
    <w:rsid w:val="00B37B15"/>
    <w:rsid w:val="00B422C2"/>
    <w:rsid w:val="00B45C02"/>
    <w:rsid w:val="00B47C27"/>
    <w:rsid w:val="00B5633B"/>
    <w:rsid w:val="00B70B63"/>
    <w:rsid w:val="00B72A1E"/>
    <w:rsid w:val="00B80591"/>
    <w:rsid w:val="00B81E12"/>
    <w:rsid w:val="00BA339B"/>
    <w:rsid w:val="00BB23CC"/>
    <w:rsid w:val="00BB3B46"/>
    <w:rsid w:val="00BC1E7E"/>
    <w:rsid w:val="00BC74E9"/>
    <w:rsid w:val="00BD3C80"/>
    <w:rsid w:val="00BE3559"/>
    <w:rsid w:val="00BE36A9"/>
    <w:rsid w:val="00BE618E"/>
    <w:rsid w:val="00BE7BEC"/>
    <w:rsid w:val="00BF0A5A"/>
    <w:rsid w:val="00BF0E63"/>
    <w:rsid w:val="00BF12A3"/>
    <w:rsid w:val="00BF16D7"/>
    <w:rsid w:val="00BF2373"/>
    <w:rsid w:val="00C00B0B"/>
    <w:rsid w:val="00C00B86"/>
    <w:rsid w:val="00C0294F"/>
    <w:rsid w:val="00C044E2"/>
    <w:rsid w:val="00C048CB"/>
    <w:rsid w:val="00C066F3"/>
    <w:rsid w:val="00C14D76"/>
    <w:rsid w:val="00C2669B"/>
    <w:rsid w:val="00C408B7"/>
    <w:rsid w:val="00C411EB"/>
    <w:rsid w:val="00C463DD"/>
    <w:rsid w:val="00C55FB4"/>
    <w:rsid w:val="00C678A0"/>
    <w:rsid w:val="00C745C3"/>
    <w:rsid w:val="00C978F5"/>
    <w:rsid w:val="00CA24A4"/>
    <w:rsid w:val="00CA7FD5"/>
    <w:rsid w:val="00CB348D"/>
    <w:rsid w:val="00CC0675"/>
    <w:rsid w:val="00CD46F5"/>
    <w:rsid w:val="00CD6195"/>
    <w:rsid w:val="00CE26DF"/>
    <w:rsid w:val="00CE3593"/>
    <w:rsid w:val="00CE4A8F"/>
    <w:rsid w:val="00CE78F6"/>
    <w:rsid w:val="00CF071D"/>
    <w:rsid w:val="00D0123D"/>
    <w:rsid w:val="00D0512E"/>
    <w:rsid w:val="00D15B04"/>
    <w:rsid w:val="00D2031B"/>
    <w:rsid w:val="00D25FE2"/>
    <w:rsid w:val="00D368BE"/>
    <w:rsid w:val="00D37DA9"/>
    <w:rsid w:val="00D37E5D"/>
    <w:rsid w:val="00D406A7"/>
    <w:rsid w:val="00D40765"/>
    <w:rsid w:val="00D419C9"/>
    <w:rsid w:val="00D43252"/>
    <w:rsid w:val="00D44AC1"/>
    <w:rsid w:val="00D44D86"/>
    <w:rsid w:val="00D50B7D"/>
    <w:rsid w:val="00D52012"/>
    <w:rsid w:val="00D704E5"/>
    <w:rsid w:val="00D72727"/>
    <w:rsid w:val="00D90C07"/>
    <w:rsid w:val="00D978C6"/>
    <w:rsid w:val="00DA0956"/>
    <w:rsid w:val="00DA357F"/>
    <w:rsid w:val="00DA3E12"/>
    <w:rsid w:val="00DA4530"/>
    <w:rsid w:val="00DB417C"/>
    <w:rsid w:val="00DB6908"/>
    <w:rsid w:val="00DC079E"/>
    <w:rsid w:val="00DC18AD"/>
    <w:rsid w:val="00DD3678"/>
    <w:rsid w:val="00DE09D2"/>
    <w:rsid w:val="00DF301E"/>
    <w:rsid w:val="00DF7CAE"/>
    <w:rsid w:val="00E0481C"/>
    <w:rsid w:val="00E2623E"/>
    <w:rsid w:val="00E423C0"/>
    <w:rsid w:val="00E46A8B"/>
    <w:rsid w:val="00E6414C"/>
    <w:rsid w:val="00E667E5"/>
    <w:rsid w:val="00E7260F"/>
    <w:rsid w:val="00E8702D"/>
    <w:rsid w:val="00E905F4"/>
    <w:rsid w:val="00E916A9"/>
    <w:rsid w:val="00E916DE"/>
    <w:rsid w:val="00E925AD"/>
    <w:rsid w:val="00E96630"/>
    <w:rsid w:val="00ED18DC"/>
    <w:rsid w:val="00ED6201"/>
    <w:rsid w:val="00ED7A2A"/>
    <w:rsid w:val="00EE19CE"/>
    <w:rsid w:val="00EF1D7F"/>
    <w:rsid w:val="00EF3E29"/>
    <w:rsid w:val="00F0137E"/>
    <w:rsid w:val="00F21786"/>
    <w:rsid w:val="00F3742B"/>
    <w:rsid w:val="00F41FDB"/>
    <w:rsid w:val="00F50596"/>
    <w:rsid w:val="00F56D63"/>
    <w:rsid w:val="00F609A9"/>
    <w:rsid w:val="00F80C99"/>
    <w:rsid w:val="00F867EC"/>
    <w:rsid w:val="00F91B2B"/>
    <w:rsid w:val="00FC03CD"/>
    <w:rsid w:val="00FC0646"/>
    <w:rsid w:val="00FC68B7"/>
    <w:rsid w:val="00FD7FFB"/>
    <w:rsid w:val="00FE519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FAE0D"/>
  <w15:docId w15:val="{2C58B754-51C7-45F5-B7E6-CF7F6F9C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ChGChar">
    <w:name w:val="_ H _Ch_G Char"/>
    <w:link w:val="HChG"/>
    <w:rsid w:val="008F1EFA"/>
    <w:rPr>
      <w:b/>
      <w:sz w:val="28"/>
      <w:lang w:val="en-GB"/>
    </w:rPr>
  </w:style>
  <w:style w:type="paragraph" w:customStyle="1" w:styleId="ADRnote">
    <w:name w:val="ADRnote"/>
    <w:basedOn w:val="Normal"/>
    <w:link w:val="ADRnoteChar"/>
    <w:qFormat/>
    <w:rsid w:val="008F1EFA"/>
    <w:pPr>
      <w:tabs>
        <w:tab w:val="left" w:pos="2552"/>
      </w:tabs>
      <w:spacing w:after="200" w:line="240" w:lineRule="auto"/>
      <w:ind w:left="1418"/>
      <w:jc w:val="both"/>
    </w:pPr>
    <w:rPr>
      <w:i/>
      <w:iCs/>
      <w:lang w:eastAsia="en-US"/>
    </w:rPr>
  </w:style>
  <w:style w:type="character" w:customStyle="1" w:styleId="ADRnoteChar">
    <w:name w:val="ADRnote Char"/>
    <w:basedOn w:val="DefaultParagraphFont"/>
    <w:link w:val="ADRnote"/>
    <w:rsid w:val="008F1EFA"/>
    <w:rPr>
      <w:i/>
      <w:iCs/>
      <w:lang w:val="en-GB" w:eastAsia="en-US"/>
    </w:rPr>
  </w:style>
  <w:style w:type="paragraph" w:customStyle="1" w:styleId="ADR">
    <w:name w:val="ADR"/>
    <w:basedOn w:val="Normal"/>
    <w:link w:val="ADRChar"/>
    <w:qFormat/>
    <w:rsid w:val="008F1EFA"/>
    <w:pPr>
      <w:spacing w:after="200" w:line="240" w:lineRule="auto"/>
      <w:ind w:left="1418" w:hanging="1418"/>
      <w:jc w:val="both"/>
    </w:pPr>
    <w:rPr>
      <w:lang w:eastAsia="en-US"/>
    </w:rPr>
  </w:style>
  <w:style w:type="character" w:customStyle="1" w:styleId="ADRChar">
    <w:name w:val="ADR Char"/>
    <w:basedOn w:val="DefaultParagraphFont"/>
    <w:link w:val="ADR"/>
    <w:rsid w:val="008F1EFA"/>
    <w:rPr>
      <w:lang w:val="en-GB" w:eastAsia="en-US"/>
    </w:rPr>
  </w:style>
  <w:style w:type="paragraph" w:styleId="Revision">
    <w:name w:val="Revision"/>
    <w:hidden/>
    <w:uiPriority w:val="99"/>
    <w:semiHidden/>
    <w:rsid w:val="00763EB1"/>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2.xml><?xml version="1.0" encoding="utf-8"?>
<ds:datastoreItem xmlns:ds="http://schemas.openxmlformats.org/officeDocument/2006/customXml" ds:itemID="{09DEC914-BF74-44F8-A065-09F70E327005}"/>
</file>

<file path=customXml/itemProps3.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4.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7</Pages>
  <Words>2213</Words>
  <Characters>11666</Characters>
  <Application>Microsoft Office Word</Application>
  <DocSecurity>0</DocSecurity>
  <Lines>316</Lines>
  <Paragraphs>174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ECE/TRANS/WP.15/2023/14</dc:title>
  <dc:subject>2315891</dc:subject>
  <dc:creator>Alicia DORCA-GARCIA</dc:creator>
  <cp:keywords/>
  <dc:description/>
  <cp:lastModifiedBy>Maria Rosario Corazon Gatmaytan</cp:lastModifiedBy>
  <cp:revision>2</cp:revision>
  <cp:lastPrinted>2009-02-18T18:36:00Z</cp:lastPrinted>
  <dcterms:created xsi:type="dcterms:W3CDTF">2023-08-17T09:50:00Z</dcterms:created>
  <dcterms:modified xsi:type="dcterms:W3CDTF">2023-08-17T09:50:00Z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ies>
</file>