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AAFB7F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A8DAAC1" w14:textId="77777777" w:rsidR="00F35BAF" w:rsidRPr="00DB58B5" w:rsidRDefault="00F35BAF" w:rsidP="00E25966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7DCAB2C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79F709A" w14:textId="2F8F0E0C" w:rsidR="00F35BAF" w:rsidRPr="00DB58B5" w:rsidRDefault="00E25966" w:rsidP="00E25966">
            <w:pPr>
              <w:jc w:val="right"/>
            </w:pPr>
            <w:r w:rsidRPr="00E25966">
              <w:rPr>
                <w:sz w:val="40"/>
              </w:rPr>
              <w:t>ECE</w:t>
            </w:r>
            <w:r>
              <w:t>/TRANS/WP.15/2023/13</w:t>
            </w:r>
          </w:p>
        </w:tc>
      </w:tr>
      <w:tr w:rsidR="00F35BAF" w:rsidRPr="00DB58B5" w14:paraId="11159AA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2302C8E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2C5B6A5" wp14:editId="05FCBCA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2A3087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EF088C4" w14:textId="77777777" w:rsidR="00F35BAF" w:rsidRDefault="00E25966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8AA02CD" w14:textId="77777777" w:rsidR="00E25966" w:rsidRDefault="00E25966" w:rsidP="00E25966">
            <w:pPr>
              <w:spacing w:line="240" w:lineRule="exact"/>
            </w:pPr>
            <w:r>
              <w:t>16 août 2023</w:t>
            </w:r>
          </w:p>
          <w:p w14:paraId="14B8751F" w14:textId="77777777" w:rsidR="00E25966" w:rsidRDefault="00E25966" w:rsidP="00E25966">
            <w:pPr>
              <w:spacing w:line="240" w:lineRule="exact"/>
            </w:pPr>
            <w:r>
              <w:t>Français</w:t>
            </w:r>
          </w:p>
          <w:p w14:paraId="0694AF4C" w14:textId="407BE7B0" w:rsidR="00E25966" w:rsidRPr="00DB58B5" w:rsidRDefault="00E25966" w:rsidP="00E25966">
            <w:pPr>
              <w:spacing w:line="240" w:lineRule="exact"/>
            </w:pPr>
            <w:r>
              <w:t>Original : anglais</w:t>
            </w:r>
          </w:p>
        </w:tc>
      </w:tr>
    </w:tbl>
    <w:p w14:paraId="04DABA4F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562A20AB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76A3E6E" w14:textId="14819192" w:rsidR="00E25966" w:rsidRPr="00D35E15" w:rsidRDefault="00E25966" w:rsidP="00E25966">
      <w:pPr>
        <w:spacing w:before="120"/>
        <w:rPr>
          <w:b/>
          <w:sz w:val="32"/>
          <w:szCs w:val="32"/>
          <w:lang w:val="fr-FR"/>
        </w:rPr>
      </w:pPr>
      <w:r w:rsidRPr="00D35E15">
        <w:rPr>
          <w:b/>
          <w:bCs/>
          <w:sz w:val="24"/>
          <w:szCs w:val="24"/>
          <w:lang w:val="fr-FR"/>
        </w:rPr>
        <w:t xml:space="preserve">Groupe de travail des transports </w:t>
      </w:r>
      <w:r>
        <w:rPr>
          <w:b/>
          <w:bCs/>
          <w:sz w:val="24"/>
          <w:szCs w:val="24"/>
          <w:lang w:val="fr-FR"/>
        </w:rPr>
        <w:br/>
      </w:r>
      <w:r w:rsidRPr="00D35E15">
        <w:rPr>
          <w:b/>
          <w:bCs/>
          <w:sz w:val="24"/>
          <w:szCs w:val="24"/>
          <w:lang w:val="fr-FR"/>
        </w:rPr>
        <w:t>de marchandises dangereuses</w:t>
      </w:r>
    </w:p>
    <w:p w14:paraId="21E9DD27" w14:textId="77777777" w:rsidR="00E25966" w:rsidRPr="00707D94" w:rsidRDefault="00E25966" w:rsidP="00E25966">
      <w:pPr>
        <w:spacing w:before="120"/>
        <w:rPr>
          <w:rFonts w:eastAsia="SimSun"/>
          <w:b/>
          <w:lang w:val="fr-FR"/>
        </w:rPr>
      </w:pPr>
      <w:r w:rsidRPr="00707D94">
        <w:rPr>
          <w:b/>
          <w:bCs/>
          <w:lang w:val="fr-FR"/>
        </w:rPr>
        <w:t>114</w:t>
      </w:r>
      <w:r w:rsidRPr="00707D94">
        <w:rPr>
          <w:b/>
          <w:bCs/>
          <w:vertAlign w:val="superscript"/>
          <w:lang w:val="fr-FR"/>
        </w:rPr>
        <w:t>e</w:t>
      </w:r>
      <w:r w:rsidRPr="00707D94">
        <w:rPr>
          <w:b/>
          <w:bCs/>
          <w:lang w:val="fr-FR"/>
        </w:rPr>
        <w:t xml:space="preserve"> session</w:t>
      </w:r>
      <w:r w:rsidRPr="00707D94">
        <w:rPr>
          <w:lang w:val="fr-FR"/>
        </w:rPr>
        <w:t xml:space="preserve"> </w:t>
      </w:r>
    </w:p>
    <w:p w14:paraId="23D5D6D2" w14:textId="77777777" w:rsidR="00E25966" w:rsidRPr="00707D94" w:rsidRDefault="00E25966" w:rsidP="00E25966">
      <w:pPr>
        <w:rPr>
          <w:rFonts w:eastAsia="SimSun"/>
          <w:lang w:val="fr-FR"/>
        </w:rPr>
      </w:pPr>
      <w:r w:rsidRPr="00707D94">
        <w:rPr>
          <w:lang w:val="fr-FR"/>
        </w:rPr>
        <w:t>Genève, 6-10 novembre 2023</w:t>
      </w:r>
    </w:p>
    <w:p w14:paraId="5D9EEBDC" w14:textId="77777777" w:rsidR="00E25966" w:rsidRPr="00707D94" w:rsidRDefault="00E25966" w:rsidP="00E25966">
      <w:pPr>
        <w:rPr>
          <w:lang w:val="fr-FR"/>
        </w:rPr>
      </w:pPr>
      <w:r w:rsidRPr="00707D94">
        <w:rPr>
          <w:lang w:val="fr-FR"/>
        </w:rPr>
        <w:t>Point 5 a) de l</w:t>
      </w:r>
      <w:r>
        <w:rPr>
          <w:lang w:val="fr-FR"/>
        </w:rPr>
        <w:t>’</w:t>
      </w:r>
      <w:r w:rsidRPr="00707D94">
        <w:rPr>
          <w:lang w:val="fr-FR"/>
        </w:rPr>
        <w:t>ordre du jour provisoire</w:t>
      </w:r>
    </w:p>
    <w:p w14:paraId="34CB5241" w14:textId="77777777" w:rsidR="00E25966" w:rsidRPr="00707D94" w:rsidRDefault="00E25966" w:rsidP="00E25966">
      <w:pPr>
        <w:rPr>
          <w:b/>
          <w:lang w:val="fr-FR"/>
        </w:rPr>
      </w:pPr>
      <w:r w:rsidRPr="00707D94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707D94">
        <w:rPr>
          <w:b/>
          <w:bCs/>
          <w:lang w:val="fr-FR"/>
        </w:rPr>
        <w:t>amendements aux annexes A et B de l</w:t>
      </w:r>
      <w:r>
        <w:rPr>
          <w:b/>
          <w:bCs/>
          <w:lang w:val="fr-FR"/>
        </w:rPr>
        <w:t>’</w:t>
      </w:r>
      <w:r w:rsidRPr="00707D94">
        <w:rPr>
          <w:b/>
          <w:bCs/>
          <w:lang w:val="fr-FR"/>
        </w:rPr>
        <w:t>ADR :</w:t>
      </w:r>
    </w:p>
    <w:p w14:paraId="771F60B3" w14:textId="77777777" w:rsidR="00E25966" w:rsidRPr="00707D94" w:rsidRDefault="00E25966" w:rsidP="00E25966">
      <w:pPr>
        <w:rPr>
          <w:b/>
          <w:lang w:val="fr-FR"/>
        </w:rPr>
      </w:pPr>
      <w:r w:rsidRPr="00707D94">
        <w:rPr>
          <w:b/>
          <w:bCs/>
          <w:lang w:val="fr-FR"/>
        </w:rPr>
        <w:t>Construction et agrément des véhicules</w:t>
      </w:r>
    </w:p>
    <w:p w14:paraId="09CDB21C" w14:textId="77777777" w:rsidR="00E25966" w:rsidRPr="00707D94" w:rsidRDefault="00E25966" w:rsidP="0067285F">
      <w:pPr>
        <w:pStyle w:val="HChG"/>
        <w:rPr>
          <w:lang w:val="fr-FR"/>
        </w:rPr>
      </w:pPr>
      <w:r w:rsidRPr="00707D94">
        <w:rPr>
          <w:lang w:val="fr-FR"/>
        </w:rPr>
        <w:tab/>
      </w:r>
      <w:r w:rsidRPr="00707D94">
        <w:rPr>
          <w:lang w:val="fr-FR"/>
        </w:rPr>
        <w:tab/>
        <w:t>Section 9.7.6 sur la protection arrière des véhicules</w:t>
      </w:r>
    </w:p>
    <w:p w14:paraId="3336920C" w14:textId="77777777" w:rsidR="00E25966" w:rsidRPr="00707D94" w:rsidRDefault="00E25966" w:rsidP="0067285F">
      <w:pPr>
        <w:pStyle w:val="H1G"/>
        <w:rPr>
          <w:sz w:val="20"/>
          <w:lang w:val="fr-FR"/>
        </w:rPr>
      </w:pPr>
      <w:r w:rsidRPr="00707D94">
        <w:rPr>
          <w:lang w:val="fr-FR"/>
        </w:rPr>
        <w:tab/>
      </w:r>
      <w:r w:rsidRPr="00707D94">
        <w:rPr>
          <w:lang w:val="fr-FR"/>
        </w:rPr>
        <w:tab/>
        <w:t>Communication du Gouvernement britannique</w:t>
      </w:r>
      <w:r w:rsidRPr="0067285F">
        <w:rPr>
          <w:rStyle w:val="Appelnotedebasdep"/>
          <w:b w:val="0"/>
          <w:bCs/>
          <w:sz w:val="20"/>
          <w:vertAlign w:val="baseline"/>
          <w:lang w:val="fr-FR" w:eastAsia="ru-RU"/>
        </w:rPr>
        <w:footnoteReference w:customMarkFollows="1" w:id="2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9"/>
      </w:tblGrid>
      <w:tr w:rsidR="00E25966" w:rsidRPr="00707D94" w14:paraId="076020B7" w14:textId="77777777" w:rsidTr="00B94423">
        <w:trPr>
          <w:jc w:val="center"/>
        </w:trPr>
        <w:tc>
          <w:tcPr>
            <w:tcW w:w="9629" w:type="dxa"/>
            <w:shd w:val="clear" w:color="auto" w:fill="auto"/>
          </w:tcPr>
          <w:p w14:paraId="4F8DA0D6" w14:textId="77777777" w:rsidR="00E25966" w:rsidRPr="0067285F" w:rsidRDefault="00E25966" w:rsidP="00B94423">
            <w:pPr>
              <w:spacing w:before="240" w:after="120"/>
              <w:ind w:left="255"/>
              <w:rPr>
                <w:i/>
                <w:sz w:val="24"/>
                <w:szCs w:val="24"/>
                <w:lang w:val="fr-FR"/>
              </w:rPr>
            </w:pPr>
            <w:r w:rsidRPr="0067285F">
              <w:rPr>
                <w:i/>
                <w:iCs/>
                <w:sz w:val="24"/>
                <w:szCs w:val="24"/>
                <w:lang w:val="fr-FR"/>
              </w:rPr>
              <w:t>Résumé</w:t>
            </w:r>
          </w:p>
        </w:tc>
      </w:tr>
      <w:tr w:rsidR="00E25966" w:rsidRPr="006D4C33" w14:paraId="0F864B08" w14:textId="77777777" w:rsidTr="00B94423">
        <w:trPr>
          <w:jc w:val="center"/>
        </w:trPr>
        <w:tc>
          <w:tcPr>
            <w:tcW w:w="9629" w:type="dxa"/>
            <w:shd w:val="clear" w:color="auto" w:fill="auto"/>
          </w:tcPr>
          <w:p w14:paraId="0DD3C056" w14:textId="77777777" w:rsidR="00E25966" w:rsidRPr="00707D94" w:rsidRDefault="00E25966" w:rsidP="00B94423">
            <w:pPr>
              <w:pStyle w:val="SingleTxtG"/>
              <w:ind w:left="3252" w:hanging="2118"/>
              <w:rPr>
                <w:lang w:val="fr-FR"/>
              </w:rPr>
            </w:pPr>
            <w:r w:rsidRPr="00707D94">
              <w:rPr>
                <w:b/>
                <w:bCs/>
                <w:lang w:val="fr-FR"/>
              </w:rPr>
              <w:t>Résumé analytique :</w:t>
            </w:r>
            <w:r w:rsidRPr="00707D94">
              <w:rPr>
                <w:lang w:val="fr-FR"/>
              </w:rPr>
              <w:tab/>
              <w:t>Propositions visant à clarifier les prescriptions du 9.7.6 de l</w:t>
            </w:r>
            <w:r>
              <w:rPr>
                <w:lang w:val="fr-FR"/>
              </w:rPr>
              <w:t>’</w:t>
            </w:r>
            <w:r w:rsidRPr="00707D94">
              <w:rPr>
                <w:lang w:val="fr-FR"/>
              </w:rPr>
              <w:t>ADR concernant la protection arrière des véhicules et la distance minimale requise entre la paroi arrière de la citerne et la partie arrière du pare-chocs, afin d</w:t>
            </w:r>
            <w:r>
              <w:rPr>
                <w:lang w:val="fr-FR"/>
              </w:rPr>
              <w:t>’</w:t>
            </w:r>
            <w:r w:rsidRPr="00707D94">
              <w:rPr>
                <w:lang w:val="fr-FR"/>
              </w:rPr>
              <w:t xml:space="preserve">en garantir une interprétation uniforme. </w:t>
            </w:r>
          </w:p>
        </w:tc>
      </w:tr>
      <w:tr w:rsidR="00E25966" w:rsidRPr="006D4C33" w14:paraId="2EB3CD90" w14:textId="77777777" w:rsidTr="00B94423">
        <w:trPr>
          <w:jc w:val="center"/>
        </w:trPr>
        <w:tc>
          <w:tcPr>
            <w:tcW w:w="9629" w:type="dxa"/>
            <w:shd w:val="clear" w:color="auto" w:fill="auto"/>
          </w:tcPr>
          <w:p w14:paraId="2DF936B1" w14:textId="51D59515" w:rsidR="00E25966" w:rsidRPr="00707D94" w:rsidRDefault="00E25966" w:rsidP="00B94423">
            <w:pPr>
              <w:tabs>
                <w:tab w:val="left" w:pos="3260"/>
              </w:tabs>
              <w:ind w:left="3555" w:right="856" w:hanging="2421"/>
              <w:rPr>
                <w:lang w:val="fr-FR"/>
              </w:rPr>
            </w:pPr>
            <w:r w:rsidRPr="00707D94">
              <w:rPr>
                <w:b/>
                <w:bCs/>
                <w:lang w:val="fr-FR"/>
              </w:rPr>
              <w:t>Mesures à prendre</w:t>
            </w:r>
            <w:r w:rsidR="0067285F">
              <w:rPr>
                <w:b/>
                <w:bCs/>
                <w:lang w:val="fr-FR"/>
              </w:rPr>
              <w:t> :</w:t>
            </w:r>
            <w:r w:rsidRPr="00707D94">
              <w:rPr>
                <w:lang w:val="fr-FR"/>
              </w:rPr>
              <w:tab/>
              <w:t>Modifier la section 9.7.6 de l</w:t>
            </w:r>
            <w:r>
              <w:rPr>
                <w:lang w:val="fr-FR"/>
              </w:rPr>
              <w:t>’</w:t>
            </w:r>
            <w:r w:rsidRPr="00707D94">
              <w:rPr>
                <w:lang w:val="fr-FR"/>
              </w:rPr>
              <w:t>ADR.</w:t>
            </w:r>
          </w:p>
          <w:p w14:paraId="4CB3F466" w14:textId="77777777" w:rsidR="00E25966" w:rsidRPr="00707D94" w:rsidRDefault="00E25966" w:rsidP="00B94423">
            <w:pPr>
              <w:rPr>
                <w:lang w:val="fr-FR"/>
              </w:rPr>
            </w:pPr>
          </w:p>
        </w:tc>
      </w:tr>
      <w:tr w:rsidR="00E25966" w:rsidRPr="006D4C33" w14:paraId="0359E81F" w14:textId="77777777" w:rsidTr="00B94423">
        <w:trPr>
          <w:jc w:val="center"/>
        </w:trPr>
        <w:tc>
          <w:tcPr>
            <w:tcW w:w="9629" w:type="dxa"/>
            <w:shd w:val="clear" w:color="auto" w:fill="auto"/>
          </w:tcPr>
          <w:p w14:paraId="42E1E55A" w14:textId="755FDA4E" w:rsidR="00E25966" w:rsidRPr="00707D94" w:rsidRDefault="00E25966" w:rsidP="00B94423">
            <w:pPr>
              <w:tabs>
                <w:tab w:val="left" w:pos="3260"/>
              </w:tabs>
              <w:ind w:left="3252" w:right="856" w:hanging="2127"/>
              <w:rPr>
                <w:lang w:val="fr-FR"/>
              </w:rPr>
            </w:pPr>
            <w:r w:rsidRPr="00707D94">
              <w:rPr>
                <w:b/>
                <w:bCs/>
                <w:lang w:val="fr-FR"/>
              </w:rPr>
              <w:t>Documents connexes :</w:t>
            </w:r>
            <w:r w:rsidRPr="00707D94">
              <w:rPr>
                <w:lang w:val="fr-FR"/>
              </w:rPr>
              <w:tab/>
              <w:t>ECE/TRANS/WP.15/2020/5 et document informel INF.16 de la 108</w:t>
            </w:r>
            <w:r w:rsidRPr="00707D94">
              <w:rPr>
                <w:vertAlign w:val="superscript"/>
                <w:lang w:val="fr-FR"/>
              </w:rPr>
              <w:t>e</w:t>
            </w:r>
            <w:r w:rsidR="0067285F">
              <w:rPr>
                <w:lang w:val="fr-FR"/>
              </w:rPr>
              <w:t> </w:t>
            </w:r>
            <w:r w:rsidRPr="00707D94">
              <w:rPr>
                <w:lang w:val="fr-FR"/>
              </w:rPr>
              <w:t>session</w:t>
            </w:r>
            <w:r>
              <w:rPr>
                <w:lang w:val="fr-FR"/>
              </w:rPr>
              <w:t xml:space="preserve"> ; </w:t>
            </w:r>
            <w:r w:rsidRPr="00707D94">
              <w:rPr>
                <w:lang w:val="fr-FR"/>
              </w:rPr>
              <w:t>ECE/TRANS/WP.15/2021/7 et document informel INF.5 de la 109</w:t>
            </w:r>
            <w:r w:rsidRPr="00707D94">
              <w:rPr>
                <w:vertAlign w:val="superscript"/>
                <w:lang w:val="fr-FR"/>
              </w:rPr>
              <w:t>e</w:t>
            </w:r>
            <w:r w:rsidR="00BF7546">
              <w:rPr>
                <w:lang w:val="fr-FR"/>
              </w:rPr>
              <w:t> </w:t>
            </w:r>
            <w:r w:rsidRPr="00707D94">
              <w:rPr>
                <w:lang w:val="fr-FR"/>
              </w:rPr>
              <w:t>session</w:t>
            </w:r>
            <w:r>
              <w:rPr>
                <w:lang w:val="fr-FR"/>
              </w:rPr>
              <w:t xml:space="preserve"> ; </w:t>
            </w:r>
            <w:r w:rsidRPr="00707D94">
              <w:rPr>
                <w:lang w:val="fr-FR"/>
              </w:rPr>
              <w:t>ECE/TRANS/WP.15/253 par.</w:t>
            </w:r>
            <w:r w:rsidR="00BF7546">
              <w:rPr>
                <w:lang w:val="fr-FR"/>
              </w:rPr>
              <w:t> </w:t>
            </w:r>
            <w:r w:rsidRPr="00707D94">
              <w:rPr>
                <w:lang w:val="fr-FR"/>
              </w:rPr>
              <w:t>19 à 22</w:t>
            </w:r>
            <w:r>
              <w:rPr>
                <w:lang w:val="fr-FR"/>
              </w:rPr>
              <w:t> ;</w:t>
            </w:r>
            <w:r w:rsidRPr="00707D94">
              <w:rPr>
                <w:lang w:val="fr-FR"/>
              </w:rPr>
              <w:t xml:space="preserve"> ECE/TRANS/WP.15/AC.1/158/Add.1 (point 9)</w:t>
            </w:r>
            <w:r>
              <w:rPr>
                <w:lang w:val="fr-FR"/>
              </w:rPr>
              <w:t> ;</w:t>
            </w:r>
            <w:r w:rsidRPr="00707D94">
              <w:rPr>
                <w:lang w:val="fr-FR"/>
              </w:rPr>
              <w:t xml:space="preserve"> ECE/TRANS/WP.15/2023/1 et document informel INF.9 de la 113</w:t>
            </w:r>
            <w:r w:rsidRPr="00707D94">
              <w:rPr>
                <w:vertAlign w:val="superscript"/>
                <w:lang w:val="fr-FR"/>
              </w:rPr>
              <w:t>e</w:t>
            </w:r>
            <w:r w:rsidR="00BF7546">
              <w:rPr>
                <w:lang w:val="fr-FR"/>
              </w:rPr>
              <w:t> </w:t>
            </w:r>
            <w:r w:rsidRPr="00707D94">
              <w:rPr>
                <w:lang w:val="fr-FR"/>
              </w:rPr>
              <w:t>session</w:t>
            </w:r>
            <w:r>
              <w:rPr>
                <w:lang w:val="fr-FR"/>
              </w:rPr>
              <w:t> ;</w:t>
            </w:r>
            <w:r w:rsidR="00BF7546">
              <w:rPr>
                <w:lang w:val="fr-FR"/>
              </w:rPr>
              <w:t xml:space="preserve"> </w:t>
            </w:r>
            <w:r w:rsidRPr="00707D94">
              <w:rPr>
                <w:lang w:val="fr-FR"/>
              </w:rPr>
              <w:t>ECE/TRANS/WP.15/262</w:t>
            </w:r>
            <w:r>
              <w:rPr>
                <w:lang w:val="fr-FR"/>
              </w:rPr>
              <w:t>.</w:t>
            </w:r>
          </w:p>
          <w:p w14:paraId="6F2897F1" w14:textId="77777777" w:rsidR="00E25966" w:rsidRPr="00707D94" w:rsidRDefault="00E25966" w:rsidP="00B94423">
            <w:pPr>
              <w:tabs>
                <w:tab w:val="left" w:pos="3260"/>
              </w:tabs>
              <w:ind w:left="3260" w:right="858" w:hanging="2419"/>
              <w:rPr>
                <w:b/>
                <w:lang w:val="fr-FR"/>
              </w:rPr>
            </w:pPr>
          </w:p>
        </w:tc>
      </w:tr>
    </w:tbl>
    <w:p w14:paraId="2B2AB292" w14:textId="77777777" w:rsidR="00E25966" w:rsidRPr="00707D94" w:rsidRDefault="00E25966" w:rsidP="00E25966">
      <w:pPr>
        <w:rPr>
          <w:lang w:val="fr-FR" w:eastAsia="ru-RU"/>
        </w:rPr>
      </w:pPr>
    </w:p>
    <w:p w14:paraId="2011658E" w14:textId="77777777" w:rsidR="00E25966" w:rsidRPr="00707D94" w:rsidRDefault="00E25966" w:rsidP="00E25966">
      <w:pPr>
        <w:rPr>
          <w:lang w:val="fr-FR" w:eastAsia="ru-RU"/>
        </w:rPr>
      </w:pPr>
      <w:r w:rsidRPr="00707D94">
        <w:rPr>
          <w:lang w:val="fr-FR" w:eastAsia="ru-RU"/>
        </w:rPr>
        <w:br w:type="page"/>
      </w:r>
    </w:p>
    <w:p w14:paraId="5671BC3F" w14:textId="77777777" w:rsidR="00E25966" w:rsidRPr="00707D94" w:rsidRDefault="00E25966" w:rsidP="006813D7">
      <w:pPr>
        <w:pStyle w:val="HChG"/>
        <w:rPr>
          <w:lang w:val="fr-FR"/>
        </w:rPr>
      </w:pPr>
      <w:r w:rsidRPr="00707D94">
        <w:rPr>
          <w:lang w:val="fr-FR"/>
        </w:rPr>
        <w:lastRenderedPageBreak/>
        <w:tab/>
      </w:r>
      <w:r w:rsidRPr="00707D94">
        <w:rPr>
          <w:lang w:val="fr-FR"/>
        </w:rPr>
        <w:tab/>
        <w:t xml:space="preserve">Contexte </w:t>
      </w:r>
    </w:p>
    <w:p w14:paraId="644F978C" w14:textId="77777777" w:rsidR="00E25966" w:rsidRPr="00707D94" w:rsidRDefault="00E25966" w:rsidP="006813D7">
      <w:pPr>
        <w:pStyle w:val="SingleTxtG"/>
        <w:rPr>
          <w:lang w:val="fr-FR"/>
        </w:rPr>
      </w:pPr>
      <w:r w:rsidRPr="00707D94">
        <w:rPr>
          <w:lang w:val="fr-FR"/>
        </w:rPr>
        <w:t>1.</w:t>
      </w:r>
      <w:r w:rsidRPr="00707D94">
        <w:rPr>
          <w:lang w:val="fr-FR"/>
        </w:rPr>
        <w:tab/>
        <w:t>Les propositions soumises aux 108</w:t>
      </w:r>
      <w:r w:rsidRPr="00707D94">
        <w:rPr>
          <w:vertAlign w:val="superscript"/>
          <w:lang w:val="fr-FR"/>
        </w:rPr>
        <w:t>e</w:t>
      </w:r>
      <w:r w:rsidRPr="00707D94">
        <w:rPr>
          <w:lang w:val="fr-FR"/>
        </w:rPr>
        <w:t>, 109</w:t>
      </w:r>
      <w:r w:rsidRPr="00707D94">
        <w:rPr>
          <w:vertAlign w:val="superscript"/>
          <w:lang w:val="fr-FR"/>
        </w:rPr>
        <w:t>e</w:t>
      </w:r>
      <w:r w:rsidRPr="00707D94">
        <w:rPr>
          <w:lang w:val="fr-FR"/>
        </w:rPr>
        <w:t xml:space="preserve"> et 113</w:t>
      </w:r>
      <w:r w:rsidRPr="00707D94">
        <w:rPr>
          <w:vertAlign w:val="superscript"/>
          <w:lang w:val="fr-FR"/>
        </w:rPr>
        <w:t>e</w:t>
      </w:r>
      <w:r w:rsidRPr="00707D94">
        <w:rPr>
          <w:lang w:val="fr-FR"/>
        </w:rPr>
        <w:t xml:space="preserve"> sessions visaient à préciser les points de référence utilisés pour mesurer la distance requise entre la paroi arrière de la citerne et la partie arrière du pare-chocs, telle qu</w:t>
      </w:r>
      <w:r>
        <w:rPr>
          <w:lang w:val="fr-FR"/>
        </w:rPr>
        <w:t>’</w:t>
      </w:r>
      <w:r w:rsidRPr="00707D94">
        <w:rPr>
          <w:lang w:val="fr-FR"/>
        </w:rPr>
        <w:t xml:space="preserve">elle est prescrite </w:t>
      </w:r>
      <w:r>
        <w:rPr>
          <w:lang w:val="fr-FR"/>
        </w:rPr>
        <w:t>au</w:t>
      </w:r>
      <w:r w:rsidRPr="00707D94">
        <w:rPr>
          <w:lang w:val="fr-FR"/>
        </w:rPr>
        <w:t xml:space="preserve"> 9.7.6 de l</w:t>
      </w:r>
      <w:r>
        <w:rPr>
          <w:lang w:val="fr-FR"/>
        </w:rPr>
        <w:t>’</w:t>
      </w:r>
      <w:r w:rsidRPr="00707D94">
        <w:rPr>
          <w:lang w:val="fr-FR"/>
        </w:rPr>
        <w:t xml:space="preserve">ADR. </w:t>
      </w:r>
      <w:r>
        <w:rPr>
          <w:lang w:val="fr-FR"/>
        </w:rPr>
        <w:t>Les auteurs du présent document</w:t>
      </w:r>
      <w:r w:rsidRPr="00707D94">
        <w:rPr>
          <w:lang w:val="fr-FR"/>
        </w:rPr>
        <w:t xml:space="preserve"> </w:t>
      </w:r>
      <w:r>
        <w:rPr>
          <w:lang w:val="fr-FR"/>
        </w:rPr>
        <w:t xml:space="preserve">prennent </w:t>
      </w:r>
      <w:r w:rsidRPr="00707D94">
        <w:rPr>
          <w:lang w:val="fr-FR"/>
        </w:rPr>
        <w:t xml:space="preserve">note des tentatives de clarification qui ont eu lieu </w:t>
      </w:r>
      <w:r>
        <w:rPr>
          <w:lang w:val="fr-FR"/>
        </w:rPr>
        <w:t>au fil des ans</w:t>
      </w:r>
      <w:r w:rsidRPr="00707D94">
        <w:rPr>
          <w:lang w:val="fr-FR"/>
        </w:rPr>
        <w:t>.</w:t>
      </w:r>
    </w:p>
    <w:p w14:paraId="5C75CDD1" w14:textId="70EF5B07" w:rsidR="00E25966" w:rsidRPr="00707D94" w:rsidRDefault="00E25966" w:rsidP="00382DB9">
      <w:pPr>
        <w:pStyle w:val="SingleTxtG"/>
        <w:keepNext/>
        <w:rPr>
          <w:lang w:val="fr-FR"/>
        </w:rPr>
      </w:pPr>
      <w:r w:rsidRPr="00707D94">
        <w:rPr>
          <w:lang w:val="fr-FR"/>
        </w:rPr>
        <w:t>2.</w:t>
      </w:r>
      <w:r w:rsidRPr="00707D94">
        <w:rPr>
          <w:lang w:val="fr-FR"/>
        </w:rPr>
        <w:tab/>
        <w:t>Le rapport de la 113</w:t>
      </w:r>
      <w:r w:rsidRPr="00707D94">
        <w:rPr>
          <w:vertAlign w:val="superscript"/>
          <w:lang w:val="fr-FR"/>
        </w:rPr>
        <w:t>e</w:t>
      </w:r>
      <w:r w:rsidR="00382DB9">
        <w:rPr>
          <w:lang w:val="fr-FR"/>
        </w:rPr>
        <w:t> </w:t>
      </w:r>
      <w:r w:rsidRPr="00707D94">
        <w:rPr>
          <w:lang w:val="fr-FR"/>
        </w:rPr>
        <w:t>session (ECE/TRANS/WP.15/262), tenue en mai 2023, contient le passage suivant :</w:t>
      </w:r>
    </w:p>
    <w:p w14:paraId="2E65C3B6" w14:textId="2E78978B" w:rsidR="00E25966" w:rsidRPr="00707D94" w:rsidRDefault="00E25966" w:rsidP="00E25966">
      <w:pPr>
        <w:pStyle w:val="SingleTxtG"/>
        <w:ind w:left="1701"/>
        <w:rPr>
          <w:i/>
          <w:iCs/>
          <w:lang w:val="fr-FR"/>
        </w:rPr>
      </w:pPr>
      <w:r w:rsidRPr="00A80EEA">
        <w:rPr>
          <w:lang w:val="fr-FR"/>
        </w:rPr>
        <w:t>« </w:t>
      </w:r>
      <w:r w:rsidRPr="00707D94">
        <w:rPr>
          <w:i/>
          <w:iCs/>
          <w:lang w:val="fr-FR"/>
        </w:rPr>
        <w:t xml:space="preserve">Protection arrière des véhicules </w:t>
      </w:r>
      <w:r w:rsidR="00382DB9">
        <w:rPr>
          <w:i/>
          <w:iCs/>
          <w:lang w:val="fr-FR"/>
        </w:rPr>
        <w:t>–</w:t>
      </w:r>
      <w:r w:rsidRPr="00707D94">
        <w:rPr>
          <w:i/>
          <w:iCs/>
          <w:lang w:val="fr-FR"/>
        </w:rPr>
        <w:t xml:space="preserve"> Document</w:t>
      </w:r>
      <w:r w:rsidR="00382DB9">
        <w:rPr>
          <w:i/>
          <w:iCs/>
          <w:lang w:val="fr-FR"/>
        </w:rPr>
        <w:t> </w:t>
      </w:r>
      <w:r w:rsidRPr="00707D94">
        <w:rPr>
          <w:i/>
          <w:iCs/>
          <w:lang w:val="fr-FR"/>
        </w:rPr>
        <w:t>: ECE/TRANS/WP.15/2023/1 (Royaume-Uni) Document informel : INF.9 (Pays-Bas).</w:t>
      </w:r>
    </w:p>
    <w:p w14:paraId="1111EF77" w14:textId="77777777" w:rsidR="00E25966" w:rsidRPr="00707D94" w:rsidRDefault="00E25966" w:rsidP="00E25966">
      <w:pPr>
        <w:pStyle w:val="SingleTxtG"/>
        <w:ind w:left="1701"/>
        <w:rPr>
          <w:lang w:val="fr-FR"/>
        </w:rPr>
      </w:pPr>
      <w:r w:rsidRPr="00707D94">
        <w:rPr>
          <w:i/>
          <w:iCs/>
          <w:lang w:val="fr-FR"/>
        </w:rPr>
        <w:t>Plusieurs délégations étaient en faveur de la proposition du Royaume-Uni.</w:t>
      </w:r>
      <w:r w:rsidRPr="00707D94">
        <w:rPr>
          <w:lang w:val="fr-FR"/>
        </w:rPr>
        <w:t xml:space="preserve"> </w:t>
      </w:r>
      <w:r w:rsidRPr="00707D94">
        <w:rPr>
          <w:i/>
          <w:iCs/>
          <w:lang w:val="fr-FR"/>
        </w:rPr>
        <w:t>Plusieurs délégations appuyaient les commentaires des Pays-Bas repris dans le document informel INF.9 et préféraient poursuivre la discussion à la session suivante sur la base d</w:t>
      </w:r>
      <w:r>
        <w:rPr>
          <w:i/>
          <w:iCs/>
          <w:lang w:val="fr-FR"/>
        </w:rPr>
        <w:t>’</w:t>
      </w:r>
      <w:r w:rsidRPr="00707D94">
        <w:rPr>
          <w:i/>
          <w:iCs/>
          <w:lang w:val="fr-FR"/>
        </w:rPr>
        <w:t>une proposition révisée pour tenir compte de ces commentaires.</w:t>
      </w:r>
      <w:r w:rsidRPr="00707D94">
        <w:rPr>
          <w:lang w:val="fr-FR"/>
        </w:rPr>
        <w:t xml:space="preserve"> </w:t>
      </w:r>
      <w:r w:rsidRPr="00707D94">
        <w:rPr>
          <w:i/>
          <w:iCs/>
          <w:lang w:val="fr-FR"/>
        </w:rPr>
        <w:t>Le Groupe de travail a invité les délégations qui le souhaiteraient à transmettre leurs commentaires aux représentants du Royaume-Uni et des Pays-Bas qui prépareraient une proposition révisée pour la prochaine session.</w:t>
      </w:r>
      <w:r>
        <w:rPr>
          <w:i/>
          <w:iCs/>
          <w:lang w:val="fr-FR"/>
        </w:rPr>
        <w:t> </w:t>
      </w:r>
      <w:r w:rsidRPr="00A80EEA">
        <w:rPr>
          <w:lang w:val="fr-FR"/>
        </w:rPr>
        <w:t>».</w:t>
      </w:r>
    </w:p>
    <w:p w14:paraId="781C739B" w14:textId="6B37ADDC" w:rsidR="00E25966" w:rsidRPr="00707D94" w:rsidRDefault="00E25966" w:rsidP="00A7744B">
      <w:pPr>
        <w:pStyle w:val="SingleTxtG"/>
        <w:rPr>
          <w:lang w:val="fr-FR"/>
        </w:rPr>
      </w:pPr>
      <w:r w:rsidRPr="00707D94">
        <w:rPr>
          <w:lang w:val="fr-FR"/>
        </w:rPr>
        <w:t>3.</w:t>
      </w:r>
      <w:r w:rsidRPr="00707D94">
        <w:rPr>
          <w:lang w:val="fr-FR"/>
        </w:rPr>
        <w:tab/>
        <w:t>La présente proposition a donc été élaborée conjointement par le Royaume-Uni et les Pays</w:t>
      </w:r>
      <w:r w:rsidR="00A7744B">
        <w:rPr>
          <w:lang w:val="fr-FR"/>
        </w:rPr>
        <w:noBreakHyphen/>
      </w:r>
      <w:r w:rsidRPr="00707D94">
        <w:rPr>
          <w:lang w:val="fr-FR"/>
        </w:rPr>
        <w:t>Bas.</w:t>
      </w:r>
    </w:p>
    <w:p w14:paraId="768BF72B" w14:textId="77777777" w:rsidR="00E25966" w:rsidRPr="00707D94" w:rsidRDefault="00E25966" w:rsidP="00A7744B">
      <w:pPr>
        <w:pStyle w:val="HChG"/>
        <w:rPr>
          <w:lang w:val="fr-FR"/>
        </w:rPr>
      </w:pPr>
      <w:r w:rsidRPr="00707D94">
        <w:rPr>
          <w:lang w:val="fr-FR"/>
        </w:rPr>
        <w:tab/>
      </w:r>
      <w:r w:rsidRPr="00707D94">
        <w:rPr>
          <w:lang w:val="fr-FR"/>
        </w:rPr>
        <w:tab/>
        <w:t>Justification</w:t>
      </w:r>
    </w:p>
    <w:p w14:paraId="7296222E" w14:textId="77777777" w:rsidR="00E25966" w:rsidRPr="00707D94" w:rsidRDefault="00E25966" w:rsidP="00A7744B">
      <w:pPr>
        <w:pStyle w:val="SingleTxtG"/>
        <w:rPr>
          <w:lang w:val="fr-FR"/>
        </w:rPr>
      </w:pPr>
      <w:r w:rsidRPr="00707D94">
        <w:rPr>
          <w:lang w:val="fr-FR"/>
        </w:rPr>
        <w:t>4.</w:t>
      </w:r>
      <w:r w:rsidRPr="00707D94">
        <w:rPr>
          <w:lang w:val="fr-FR"/>
        </w:rPr>
        <w:tab/>
        <w:t xml:space="preserve">Depuis plus de 20 ans, des progrès </w:t>
      </w:r>
      <w:r>
        <w:rPr>
          <w:lang w:val="fr-FR"/>
        </w:rPr>
        <w:t xml:space="preserve">techniques </w:t>
      </w:r>
      <w:r w:rsidRPr="00707D94">
        <w:rPr>
          <w:lang w:val="fr-FR"/>
        </w:rPr>
        <w:t xml:space="preserve">ont été réalisés en ce qui concerne la </w:t>
      </w:r>
      <w:r>
        <w:rPr>
          <w:lang w:val="fr-FR"/>
        </w:rPr>
        <w:t xml:space="preserve">construction </w:t>
      </w:r>
      <w:r w:rsidRPr="00707D94">
        <w:rPr>
          <w:lang w:val="fr-FR"/>
        </w:rPr>
        <w:t>des véhicules et des citernes. Les règlements relatifs aux systèmes actifs de freinage d</w:t>
      </w:r>
      <w:r>
        <w:rPr>
          <w:lang w:val="fr-FR"/>
        </w:rPr>
        <w:t>’</w:t>
      </w:r>
      <w:r w:rsidRPr="00707D94">
        <w:rPr>
          <w:lang w:val="fr-FR"/>
        </w:rPr>
        <w:t>urgence (AEBS) et aux dispositifs arrière de protection antiencastrement ont permis d</w:t>
      </w:r>
      <w:r>
        <w:rPr>
          <w:lang w:val="fr-FR"/>
        </w:rPr>
        <w:t>’</w:t>
      </w:r>
      <w:r w:rsidRPr="00707D94">
        <w:rPr>
          <w:lang w:val="fr-FR"/>
        </w:rPr>
        <w:t xml:space="preserve">améliorer sensiblement la protection arrière. Les matériaux, la conception et la réglementation des citernes ont également considérablement évolué </w:t>
      </w:r>
      <w:r>
        <w:rPr>
          <w:lang w:val="fr-FR"/>
        </w:rPr>
        <w:t xml:space="preserve">dans le but de contribuer, avec les </w:t>
      </w:r>
      <w:r w:rsidRPr="00707D94">
        <w:rPr>
          <w:lang w:val="fr-FR"/>
        </w:rPr>
        <w:t xml:space="preserve">pare-chocs </w:t>
      </w:r>
      <w:r>
        <w:rPr>
          <w:lang w:val="fr-FR"/>
        </w:rPr>
        <w:t xml:space="preserve">à </w:t>
      </w:r>
      <w:r w:rsidRPr="00707D94">
        <w:rPr>
          <w:lang w:val="fr-FR"/>
        </w:rPr>
        <w:t xml:space="preserve">une meilleure protection contre les chocs et </w:t>
      </w:r>
      <w:r>
        <w:rPr>
          <w:lang w:val="fr-FR"/>
        </w:rPr>
        <w:t xml:space="preserve">à une réduction des </w:t>
      </w:r>
      <w:r w:rsidRPr="00707D94">
        <w:rPr>
          <w:lang w:val="fr-FR"/>
        </w:rPr>
        <w:t>risques de fuite.</w:t>
      </w:r>
    </w:p>
    <w:p w14:paraId="04AA3EC4" w14:textId="77777777" w:rsidR="00E25966" w:rsidRPr="00707D94" w:rsidRDefault="00E25966" w:rsidP="00A7744B">
      <w:pPr>
        <w:pStyle w:val="SingleTxtG"/>
        <w:rPr>
          <w:lang w:val="fr-FR"/>
        </w:rPr>
      </w:pPr>
      <w:r w:rsidRPr="00707D94">
        <w:rPr>
          <w:lang w:val="fr-FR"/>
        </w:rPr>
        <w:t>5.</w:t>
      </w:r>
      <w:r w:rsidRPr="00707D94">
        <w:rPr>
          <w:lang w:val="fr-FR"/>
        </w:rPr>
        <w:tab/>
        <w:t>Des études antérieures ont permis de déterminer la fréquence des chocs arrière subis par les véhicules-citernes. Ces données ont contribué à améliorer la résistance globale de certaines citernes aux chocs arrière, mais pour autant, le Gouvernement britannique estime que la protection contre les chocs doit toujours être assurée par un pare-chocs arrière suffisamment résistant.</w:t>
      </w:r>
    </w:p>
    <w:p w14:paraId="1236A904" w14:textId="77777777" w:rsidR="00E25966" w:rsidRPr="00707D94" w:rsidRDefault="00E25966" w:rsidP="00A7744B">
      <w:pPr>
        <w:pStyle w:val="SingleTxtG"/>
        <w:rPr>
          <w:lang w:val="fr-FR"/>
        </w:rPr>
      </w:pPr>
      <w:r w:rsidRPr="00707D94">
        <w:rPr>
          <w:lang w:val="fr-FR"/>
        </w:rPr>
        <w:t>6.</w:t>
      </w:r>
      <w:r w:rsidRPr="00707D94">
        <w:rPr>
          <w:lang w:val="fr-FR"/>
        </w:rPr>
        <w:tab/>
        <w:t>Afin d</w:t>
      </w:r>
      <w:r>
        <w:rPr>
          <w:lang w:val="fr-FR"/>
        </w:rPr>
        <w:t>’</w:t>
      </w:r>
      <w:r w:rsidRPr="00707D94">
        <w:rPr>
          <w:lang w:val="fr-FR"/>
        </w:rPr>
        <w:t>établir une prescription claire concernant la résistance aux chocs, il est proposé d</w:t>
      </w:r>
      <w:r>
        <w:rPr>
          <w:lang w:val="fr-FR"/>
        </w:rPr>
        <w:t>’</w:t>
      </w:r>
      <w:r w:rsidRPr="00707D94">
        <w:rPr>
          <w:lang w:val="fr-FR"/>
        </w:rPr>
        <w:t xml:space="preserve">intégrer les dispositions de la révision 3 du Règlement ONU </w:t>
      </w:r>
      <w:r w:rsidRPr="00A33198">
        <w:rPr>
          <w:lang w:val="fr-FR"/>
        </w:rPr>
        <w:t>n</w:t>
      </w:r>
      <w:r w:rsidRPr="00A33198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707D94">
        <w:rPr>
          <w:lang w:val="fr-FR"/>
        </w:rPr>
        <w:t>58 (</w:t>
      </w:r>
      <w:r>
        <w:rPr>
          <w:lang w:val="fr-FR"/>
        </w:rPr>
        <w:t>D</w:t>
      </w:r>
      <w:r w:rsidRPr="00707D94">
        <w:rPr>
          <w:lang w:val="fr-FR"/>
        </w:rPr>
        <w:t>ispositif</w:t>
      </w:r>
      <w:r>
        <w:rPr>
          <w:lang w:val="fr-FR"/>
        </w:rPr>
        <w:t>s</w:t>
      </w:r>
      <w:r w:rsidRPr="00707D94">
        <w:rPr>
          <w:lang w:val="fr-FR"/>
        </w:rPr>
        <w:t xml:space="preserve"> arrière de protection antiencastrement) dans la section 9.7.6 de l</w:t>
      </w:r>
      <w:r>
        <w:rPr>
          <w:lang w:val="fr-FR"/>
        </w:rPr>
        <w:t>’</w:t>
      </w:r>
      <w:r w:rsidRPr="00707D94">
        <w:rPr>
          <w:lang w:val="fr-FR"/>
        </w:rPr>
        <w:t xml:space="preserve">ADR afin </w:t>
      </w:r>
      <w:r>
        <w:rPr>
          <w:lang w:val="fr-FR"/>
        </w:rPr>
        <w:t>de définir</w:t>
      </w:r>
      <w:r w:rsidRPr="00707D94">
        <w:rPr>
          <w:lang w:val="fr-FR"/>
        </w:rPr>
        <w:t xml:space="preserve"> une norme technique convenue.</w:t>
      </w:r>
    </w:p>
    <w:p w14:paraId="55FEC0B0" w14:textId="11DC691E" w:rsidR="00E25966" w:rsidRPr="00707D94" w:rsidRDefault="00E25966" w:rsidP="00E25966">
      <w:pPr>
        <w:pStyle w:val="SingleTxtG"/>
        <w:rPr>
          <w:lang w:val="fr-FR"/>
        </w:rPr>
      </w:pPr>
      <w:r w:rsidRPr="00707D94">
        <w:rPr>
          <w:lang w:val="fr-FR"/>
        </w:rPr>
        <w:t>7.</w:t>
      </w:r>
      <w:r w:rsidRPr="00707D94">
        <w:rPr>
          <w:lang w:val="fr-FR"/>
        </w:rPr>
        <w:tab/>
        <w:t>Compte tenu des progrès susmentionnés, il semblerait qu</w:t>
      </w:r>
      <w:r>
        <w:rPr>
          <w:lang w:val="fr-FR"/>
        </w:rPr>
        <w:t>’</w:t>
      </w:r>
      <w:r w:rsidRPr="00707D94">
        <w:rPr>
          <w:lang w:val="fr-FR"/>
        </w:rPr>
        <w:t>il y ait de bonnes raisons pour que l</w:t>
      </w:r>
      <w:r>
        <w:rPr>
          <w:lang w:val="fr-FR"/>
        </w:rPr>
        <w:t>’</w:t>
      </w:r>
      <w:r w:rsidRPr="00707D94">
        <w:rPr>
          <w:lang w:val="fr-FR"/>
        </w:rPr>
        <w:t>emplacement du pare-chocs soit fonction du type de citerne. Pour permettre une interprétation cohérente</w:t>
      </w:r>
      <w:r>
        <w:rPr>
          <w:lang w:val="fr-FR"/>
        </w:rPr>
        <w:t xml:space="preserve"> des prescriptions</w:t>
      </w:r>
      <w:r w:rsidRPr="00707D94">
        <w:rPr>
          <w:lang w:val="fr-FR"/>
        </w:rPr>
        <w:t>, il est proposé que les points de référence soient la partie la plus en arrière du pare-chocs et la partie la plus en arrière de la citerne (dans les deux cas, la partie la plus en arrière est celle qui est la plus éloignée de l</w:t>
      </w:r>
      <w:r>
        <w:rPr>
          <w:lang w:val="fr-FR"/>
        </w:rPr>
        <w:t>’</w:t>
      </w:r>
      <w:r w:rsidRPr="00707D94">
        <w:rPr>
          <w:lang w:val="fr-FR"/>
        </w:rPr>
        <w:t>avant du véhicule). La</w:t>
      </w:r>
      <w:r w:rsidR="005156E7">
        <w:rPr>
          <w:lang w:val="fr-FR"/>
        </w:rPr>
        <w:t> </w:t>
      </w:r>
      <w:r w:rsidRPr="00707D94">
        <w:rPr>
          <w:lang w:val="fr-FR"/>
        </w:rPr>
        <w:t>face la plus en arrière du pare-chocs doit se trouver à au moins [100] mm de la partie la plus en arrière de la citerne, mais dans le cas des citernes en alliage d</w:t>
      </w:r>
      <w:r>
        <w:rPr>
          <w:lang w:val="fr-FR"/>
        </w:rPr>
        <w:t>’</w:t>
      </w:r>
      <w:r w:rsidRPr="00707D94">
        <w:rPr>
          <w:lang w:val="fr-FR"/>
        </w:rPr>
        <w:t>aluminium construites conformément au 6.8.2.1.14</w:t>
      </w:r>
      <w:r w:rsidR="005156E7">
        <w:rPr>
          <w:lang w:val="fr-FR"/>
        </w:rPr>
        <w:t> </w:t>
      </w:r>
      <w:r w:rsidRPr="00707D94">
        <w:rPr>
          <w:lang w:val="fr-FR"/>
        </w:rPr>
        <w:t>a), cette distance doit être portée à au moins [200/150] mm afin d</w:t>
      </w:r>
      <w:r>
        <w:rPr>
          <w:lang w:val="fr-FR"/>
        </w:rPr>
        <w:t>’</w:t>
      </w:r>
      <w:r w:rsidRPr="00707D94">
        <w:rPr>
          <w:lang w:val="fr-FR"/>
        </w:rPr>
        <w:t>accroître la protection.</w:t>
      </w:r>
    </w:p>
    <w:p w14:paraId="29330FA8" w14:textId="0ECB0105" w:rsidR="00E25966" w:rsidRPr="00707D94" w:rsidRDefault="00E25966" w:rsidP="00E25966">
      <w:pPr>
        <w:pStyle w:val="SingleTxtG"/>
        <w:rPr>
          <w:lang w:val="fr-FR"/>
        </w:rPr>
      </w:pPr>
      <w:r w:rsidRPr="00707D94">
        <w:rPr>
          <w:lang w:val="fr-FR"/>
        </w:rPr>
        <w:t>8.</w:t>
      </w:r>
      <w:r w:rsidRPr="00707D94">
        <w:rPr>
          <w:lang w:val="fr-FR"/>
        </w:rPr>
        <w:tab/>
        <w:t>Pour les citernes bénéficiant d</w:t>
      </w:r>
      <w:r>
        <w:rPr>
          <w:lang w:val="fr-FR"/>
        </w:rPr>
        <w:t>’</w:t>
      </w:r>
      <w:r w:rsidRPr="00707D94">
        <w:rPr>
          <w:lang w:val="fr-FR"/>
        </w:rPr>
        <w:t>une protection supplémentaire de par leur conception, la distance peut être réduite à 50</w:t>
      </w:r>
      <w:r w:rsidR="005156E7">
        <w:rPr>
          <w:lang w:val="fr-FR"/>
        </w:rPr>
        <w:t> </w:t>
      </w:r>
      <w:r w:rsidRPr="00707D94">
        <w:rPr>
          <w:lang w:val="fr-FR"/>
        </w:rPr>
        <w:t>mm au moins, à condition que la distance par rapport au réservoir soit conforme aux valeurs minimales indiquées au paragraphe</w:t>
      </w:r>
      <w:r w:rsidR="007876A5">
        <w:rPr>
          <w:lang w:val="fr-FR"/>
        </w:rPr>
        <w:t> </w:t>
      </w:r>
      <w:r w:rsidRPr="00707D94">
        <w:rPr>
          <w:lang w:val="fr-FR"/>
        </w:rPr>
        <w:t>7 ci-dessus.</w:t>
      </w:r>
    </w:p>
    <w:p w14:paraId="26EC7334" w14:textId="77777777" w:rsidR="00E25966" w:rsidRPr="00707D94" w:rsidRDefault="00E25966" w:rsidP="00E25966">
      <w:pPr>
        <w:pStyle w:val="SingleTxtG"/>
        <w:rPr>
          <w:lang w:val="fr-FR"/>
        </w:rPr>
      </w:pPr>
      <w:r w:rsidRPr="00707D94">
        <w:rPr>
          <w:lang w:val="fr-FR"/>
        </w:rPr>
        <w:t>9.</w:t>
      </w:r>
      <w:r w:rsidRPr="00707D94">
        <w:rPr>
          <w:lang w:val="fr-FR"/>
        </w:rPr>
        <w:tab/>
        <w:t xml:space="preserve">Il convient de noter que dans les amendements proposés, le terme </w:t>
      </w:r>
      <w:r>
        <w:rPr>
          <w:lang w:val="fr-FR"/>
        </w:rPr>
        <w:t>« </w:t>
      </w:r>
      <w:r w:rsidRPr="00707D94">
        <w:rPr>
          <w:lang w:val="fr-FR"/>
        </w:rPr>
        <w:t>citerne</w:t>
      </w:r>
      <w:r>
        <w:rPr>
          <w:lang w:val="fr-FR"/>
        </w:rPr>
        <w:t> »</w:t>
      </w:r>
      <w:r w:rsidRPr="00707D94">
        <w:rPr>
          <w:lang w:val="fr-FR"/>
        </w:rPr>
        <w:t xml:space="preserve"> est utilisé pour décrire le point de référence, l</w:t>
      </w:r>
      <w:r>
        <w:rPr>
          <w:lang w:val="fr-FR"/>
        </w:rPr>
        <w:t>’</w:t>
      </w:r>
      <w:r w:rsidRPr="00707D94">
        <w:rPr>
          <w:lang w:val="fr-FR"/>
        </w:rPr>
        <w:t>objectif étant de s</w:t>
      </w:r>
      <w:r>
        <w:rPr>
          <w:lang w:val="fr-FR"/>
        </w:rPr>
        <w:t>’</w:t>
      </w:r>
      <w:r w:rsidRPr="00707D94">
        <w:rPr>
          <w:lang w:val="fr-FR"/>
        </w:rPr>
        <w:t xml:space="preserve">assurer que le pare-chocs arrière protège toujours le réservoir et tout équipement de service. </w:t>
      </w:r>
      <w:r>
        <w:rPr>
          <w:lang w:val="fr-FR"/>
        </w:rPr>
        <w:t xml:space="preserve">Les auteurs du présent document pensent </w:t>
      </w:r>
      <w:r w:rsidRPr="00707D94">
        <w:rPr>
          <w:lang w:val="fr-FR"/>
        </w:rPr>
        <w:t>que l</w:t>
      </w:r>
      <w:r>
        <w:rPr>
          <w:lang w:val="fr-FR"/>
        </w:rPr>
        <w:t>’</w:t>
      </w:r>
      <w:r w:rsidRPr="00707D94">
        <w:rPr>
          <w:lang w:val="fr-FR"/>
        </w:rPr>
        <w:t>utilisation de ce terme permet de bien comprendre les prescriptions.</w:t>
      </w:r>
    </w:p>
    <w:p w14:paraId="580C5D31" w14:textId="77777777" w:rsidR="00E25966" w:rsidRPr="00707D94" w:rsidRDefault="00E25966" w:rsidP="007876A5">
      <w:pPr>
        <w:pStyle w:val="HChG"/>
        <w:rPr>
          <w:lang w:val="fr-FR"/>
        </w:rPr>
      </w:pPr>
      <w:r w:rsidRPr="00707D94">
        <w:rPr>
          <w:lang w:val="fr-FR"/>
        </w:rPr>
        <w:lastRenderedPageBreak/>
        <w:tab/>
      </w:r>
      <w:r w:rsidRPr="00707D94">
        <w:rPr>
          <w:lang w:val="fr-FR"/>
        </w:rPr>
        <w:tab/>
        <w:t>Proposition 1</w:t>
      </w:r>
    </w:p>
    <w:p w14:paraId="6D600FB1" w14:textId="77777777" w:rsidR="00E25966" w:rsidRPr="00707D94" w:rsidRDefault="00E25966" w:rsidP="007876A5">
      <w:pPr>
        <w:pStyle w:val="SingleTxtG"/>
        <w:keepNext/>
        <w:rPr>
          <w:lang w:val="fr-FR"/>
        </w:rPr>
      </w:pPr>
      <w:r w:rsidRPr="00707D94">
        <w:rPr>
          <w:lang w:val="fr-FR"/>
        </w:rPr>
        <w:t>10.</w:t>
      </w:r>
      <w:r w:rsidRPr="00707D94">
        <w:rPr>
          <w:lang w:val="fr-FR"/>
        </w:rPr>
        <w:tab/>
        <w:t xml:space="preserve">Modifier le texte </w:t>
      </w:r>
      <w:r>
        <w:rPr>
          <w:lang w:val="fr-FR"/>
        </w:rPr>
        <w:t>du</w:t>
      </w:r>
      <w:r w:rsidRPr="00707D94">
        <w:rPr>
          <w:lang w:val="fr-FR"/>
        </w:rPr>
        <w:t xml:space="preserve"> 9.7.6 de l</w:t>
      </w:r>
      <w:r>
        <w:rPr>
          <w:lang w:val="fr-FR"/>
        </w:rPr>
        <w:t>’</w:t>
      </w:r>
      <w:r w:rsidRPr="00707D94">
        <w:rPr>
          <w:lang w:val="fr-FR"/>
        </w:rPr>
        <w:t xml:space="preserve">ADR </w:t>
      </w:r>
      <w:r>
        <w:rPr>
          <w:lang w:val="fr-FR"/>
        </w:rPr>
        <w:t xml:space="preserve">de sorte qu’il se lise </w:t>
      </w:r>
      <w:r w:rsidRPr="00707D94">
        <w:rPr>
          <w:lang w:val="fr-FR"/>
        </w:rPr>
        <w:t xml:space="preserve">comme suit (le titre et les </w:t>
      </w:r>
      <w:r>
        <w:rPr>
          <w:lang w:val="fr-FR"/>
        </w:rPr>
        <w:t>notas</w:t>
      </w:r>
      <w:r w:rsidRPr="00707D94">
        <w:rPr>
          <w:lang w:val="fr-FR"/>
        </w:rPr>
        <w:t xml:space="preserve"> 1 et 2 restent inchangés) :</w:t>
      </w:r>
    </w:p>
    <w:p w14:paraId="1946F2E9" w14:textId="336FE728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>
        <w:rPr>
          <w:lang w:val="fr-FR"/>
        </w:rPr>
        <w:t>« L’arrière</w:t>
      </w:r>
      <w:r w:rsidRPr="00707D94">
        <w:rPr>
          <w:lang w:val="fr-FR"/>
        </w:rPr>
        <w:t xml:space="preserve"> de la citerne </w:t>
      </w:r>
      <w:r>
        <w:rPr>
          <w:lang w:val="fr-FR"/>
        </w:rPr>
        <w:t xml:space="preserve">doit être protégé </w:t>
      </w:r>
      <w:r w:rsidRPr="00707D94">
        <w:rPr>
          <w:lang w:val="fr-FR"/>
        </w:rPr>
        <w:t>contre les chocs arrière</w:t>
      </w:r>
      <w:r>
        <w:rPr>
          <w:lang w:val="fr-FR"/>
        </w:rPr>
        <w:t xml:space="preserve"> par un pare</w:t>
      </w:r>
      <w:r w:rsidR="007876A5">
        <w:rPr>
          <w:lang w:val="fr-FR"/>
        </w:rPr>
        <w:noBreakHyphen/>
      </w:r>
      <w:r>
        <w:rPr>
          <w:lang w:val="fr-FR"/>
        </w:rPr>
        <w:t>chocs</w:t>
      </w:r>
      <w:r w:rsidRPr="00707D94">
        <w:rPr>
          <w:lang w:val="fr-FR"/>
        </w:rPr>
        <w:t xml:space="preserve">. </w:t>
      </w:r>
      <w:r>
        <w:rPr>
          <w:lang w:val="fr-FR"/>
        </w:rPr>
        <w:t xml:space="preserve">Celui-ci </w:t>
      </w:r>
      <w:r w:rsidRPr="00707D94">
        <w:rPr>
          <w:lang w:val="fr-FR"/>
        </w:rPr>
        <w:t>doit satisfaire aux prescriptions techniques de la révision</w:t>
      </w:r>
      <w:r w:rsidR="00595472">
        <w:rPr>
          <w:lang w:val="fr-FR"/>
        </w:rPr>
        <w:t> </w:t>
      </w:r>
      <w:r w:rsidRPr="00707D94">
        <w:rPr>
          <w:lang w:val="fr-FR"/>
        </w:rPr>
        <w:t>3</w:t>
      </w:r>
      <w:r>
        <w:rPr>
          <w:lang w:val="fr-FR"/>
        </w:rPr>
        <w:t>,</w:t>
      </w:r>
      <w:r w:rsidRPr="00707D94">
        <w:rPr>
          <w:lang w:val="fr-FR"/>
        </w:rPr>
        <w:t xml:space="preserve"> au moins</w:t>
      </w:r>
      <w:r>
        <w:rPr>
          <w:lang w:val="fr-FR"/>
        </w:rPr>
        <w:t>,</w:t>
      </w:r>
      <w:r w:rsidRPr="00707D94">
        <w:rPr>
          <w:lang w:val="fr-FR"/>
        </w:rPr>
        <w:t xml:space="preserve"> du Règlement ONU n</w:t>
      </w:r>
      <w:r w:rsidRPr="00707D94">
        <w:rPr>
          <w:vertAlign w:val="superscript"/>
          <w:lang w:val="fr-FR"/>
        </w:rPr>
        <w:t>o</w:t>
      </w:r>
      <w:r w:rsidR="00595472">
        <w:rPr>
          <w:lang w:val="fr-FR"/>
        </w:rPr>
        <w:t> </w:t>
      </w:r>
      <w:r w:rsidRPr="00707D94">
        <w:rPr>
          <w:lang w:val="fr-FR"/>
        </w:rPr>
        <w:t>58</w:t>
      </w:r>
      <w:r w:rsidRPr="00595472">
        <w:rPr>
          <w:sz w:val="18"/>
          <w:szCs w:val="18"/>
          <w:vertAlign w:val="superscript"/>
          <w:lang w:val="fr-FR"/>
        </w:rPr>
        <w:t>3</w:t>
      </w:r>
      <w:r w:rsidRPr="00707D94">
        <w:rPr>
          <w:lang w:val="fr-FR"/>
        </w:rPr>
        <w:t xml:space="preserve"> (</w:t>
      </w:r>
      <w:r>
        <w:rPr>
          <w:lang w:val="fr-FR"/>
        </w:rPr>
        <w:t>D</w:t>
      </w:r>
      <w:r w:rsidRPr="00707D94">
        <w:rPr>
          <w:lang w:val="fr-FR"/>
        </w:rPr>
        <w:t>ispositif</w:t>
      </w:r>
      <w:r>
        <w:rPr>
          <w:lang w:val="fr-FR"/>
        </w:rPr>
        <w:t>s</w:t>
      </w:r>
      <w:r w:rsidRPr="00707D94">
        <w:rPr>
          <w:lang w:val="fr-FR"/>
        </w:rPr>
        <w:t xml:space="preserve"> arrière de protection antiencastrement) [ou de la révision la plus récente au moment de l</w:t>
      </w:r>
      <w:r>
        <w:rPr>
          <w:lang w:val="fr-FR"/>
        </w:rPr>
        <w:t>’</w:t>
      </w:r>
      <w:r w:rsidRPr="00707D94">
        <w:rPr>
          <w:lang w:val="fr-FR"/>
        </w:rPr>
        <w:t>immatriculation ou de la mise en service si l</w:t>
      </w:r>
      <w:r>
        <w:rPr>
          <w:lang w:val="fr-FR"/>
        </w:rPr>
        <w:t>’</w:t>
      </w:r>
      <w:r w:rsidRPr="00707D94">
        <w:rPr>
          <w:lang w:val="fr-FR"/>
        </w:rPr>
        <w:t>immatriculation n</w:t>
      </w:r>
      <w:r>
        <w:rPr>
          <w:lang w:val="fr-FR"/>
        </w:rPr>
        <w:t>’</w:t>
      </w:r>
      <w:r w:rsidRPr="00707D94">
        <w:rPr>
          <w:lang w:val="fr-FR"/>
        </w:rPr>
        <w:t>est pas obligatoire]. Aucune structure susceptible de provoquer une rupture du réservoir en cas de choc ne doit être fixée à l</w:t>
      </w:r>
      <w:r>
        <w:rPr>
          <w:lang w:val="fr-FR"/>
        </w:rPr>
        <w:t>’</w:t>
      </w:r>
      <w:r w:rsidRPr="00707D94">
        <w:rPr>
          <w:lang w:val="fr-FR"/>
        </w:rPr>
        <w:t>arrière de celui</w:t>
      </w:r>
      <w:r w:rsidR="00595472">
        <w:rPr>
          <w:lang w:val="fr-FR"/>
        </w:rPr>
        <w:noBreakHyphen/>
      </w:r>
      <w:r w:rsidRPr="00707D94">
        <w:rPr>
          <w:lang w:val="fr-FR"/>
        </w:rPr>
        <w:t>ci (par exemple, fixations d</w:t>
      </w:r>
      <w:r>
        <w:rPr>
          <w:lang w:val="fr-FR"/>
        </w:rPr>
        <w:t>’</w:t>
      </w:r>
      <w:r w:rsidRPr="00707D94">
        <w:rPr>
          <w:lang w:val="fr-FR"/>
        </w:rPr>
        <w:t>échelles, systèmes de caméras).</w:t>
      </w:r>
      <w:bookmarkStart w:id="0" w:name="_Hlk141106117"/>
      <w:bookmarkEnd w:id="0"/>
    </w:p>
    <w:p w14:paraId="51E1A6FD" w14:textId="11ECD401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 w:rsidRPr="00707D94">
        <w:rPr>
          <w:lang w:val="fr-FR"/>
        </w:rPr>
        <w:t>La face la plus en arrière du pare-chocs doit se trouver à au moins [100] mm de la partie la plus en arrière de la citerne. Pour les citernes construites [en alliage d</w:t>
      </w:r>
      <w:r>
        <w:rPr>
          <w:lang w:val="fr-FR"/>
        </w:rPr>
        <w:t>’</w:t>
      </w:r>
      <w:r w:rsidRPr="00707D94">
        <w:rPr>
          <w:lang w:val="fr-FR"/>
        </w:rPr>
        <w:t>aluminium] conformément au 6.8.2.1.14</w:t>
      </w:r>
      <w:r w:rsidR="00595472">
        <w:rPr>
          <w:lang w:val="fr-FR"/>
        </w:rPr>
        <w:t> </w:t>
      </w:r>
      <w:r w:rsidRPr="00707D94">
        <w:rPr>
          <w:lang w:val="fr-FR"/>
        </w:rPr>
        <w:t xml:space="preserve">a), </w:t>
      </w:r>
      <w:r>
        <w:rPr>
          <w:lang w:val="fr-FR"/>
        </w:rPr>
        <w:t>cette</w:t>
      </w:r>
      <w:r w:rsidRPr="00707D94">
        <w:rPr>
          <w:lang w:val="fr-FR"/>
        </w:rPr>
        <w:t xml:space="preserve"> distance doit être d</w:t>
      </w:r>
      <w:r>
        <w:rPr>
          <w:lang w:val="fr-FR"/>
        </w:rPr>
        <w:t>’</w:t>
      </w:r>
      <w:r w:rsidRPr="00707D94">
        <w:rPr>
          <w:lang w:val="fr-FR"/>
        </w:rPr>
        <w:t>au moins [200/150]</w:t>
      </w:r>
      <w:r w:rsidR="00C950CA">
        <w:rPr>
          <w:lang w:val="fr-FR"/>
        </w:rPr>
        <w:t> </w:t>
      </w:r>
      <w:proofErr w:type="spellStart"/>
      <w:r w:rsidRPr="00707D94">
        <w:rPr>
          <w:lang w:val="fr-FR"/>
        </w:rPr>
        <w:t>mm.</w:t>
      </w:r>
      <w:proofErr w:type="spellEnd"/>
    </w:p>
    <w:p w14:paraId="58D029A6" w14:textId="77777777" w:rsidR="00E25966" w:rsidRPr="00707D94" w:rsidRDefault="00E25966" w:rsidP="00C950CA">
      <w:pPr>
        <w:pStyle w:val="SingleTxtG"/>
        <w:keepNext/>
        <w:ind w:left="1701" w:firstLine="567"/>
        <w:rPr>
          <w:lang w:val="fr-FR"/>
        </w:rPr>
      </w:pPr>
      <w:bookmarkStart w:id="1" w:name="_Hlk142403058"/>
      <w:r w:rsidRPr="00707D94">
        <w:rPr>
          <w:lang w:val="fr-FR"/>
        </w:rPr>
        <w:t>Lorsque la citerne bénéficie d</w:t>
      </w:r>
      <w:r>
        <w:rPr>
          <w:lang w:val="fr-FR"/>
        </w:rPr>
        <w:t>’</w:t>
      </w:r>
      <w:r w:rsidRPr="00707D94">
        <w:rPr>
          <w:lang w:val="fr-FR"/>
        </w:rPr>
        <w:t>une protection supplémentaire, la distance peut être réduite à au moins [50] mm, à condition que la distance par rapport au réservoir soit conforme aux valeurs minimales indiquées ci-dessus. Voici quelques exemples de protection supplémentaire :</w:t>
      </w:r>
      <w:bookmarkEnd w:id="1"/>
    </w:p>
    <w:p w14:paraId="44DABB2B" w14:textId="46014BCE" w:rsidR="00E25966" w:rsidRPr="00707D94" w:rsidRDefault="00E25966" w:rsidP="00E25966">
      <w:pPr>
        <w:pStyle w:val="Bullet1G"/>
        <w:numPr>
          <w:ilvl w:val="0"/>
          <w:numId w:val="0"/>
        </w:numPr>
        <w:tabs>
          <w:tab w:val="left" w:pos="2268"/>
        </w:tabs>
        <w:ind w:left="2268" w:hanging="170"/>
        <w:rPr>
          <w:lang w:val="fr-FR"/>
        </w:rPr>
      </w:pPr>
      <w:r w:rsidRPr="00707D94">
        <w:rPr>
          <w:lang w:val="fr-FR"/>
        </w:rPr>
        <w:t>•</w:t>
      </w:r>
      <w:r w:rsidRPr="00707D94">
        <w:rPr>
          <w:lang w:val="fr-FR"/>
        </w:rPr>
        <w:tab/>
        <w:t>Citernes à double fond</w:t>
      </w:r>
      <w:r w:rsidR="00C950CA">
        <w:rPr>
          <w:lang w:val="fr-FR"/>
        </w:rPr>
        <w:t> </w:t>
      </w:r>
      <w:r w:rsidRPr="00707D94">
        <w:rPr>
          <w:lang w:val="fr-FR"/>
        </w:rPr>
        <w:t>;</w:t>
      </w:r>
    </w:p>
    <w:p w14:paraId="164B2FC0" w14:textId="6DE35A04" w:rsidR="00E25966" w:rsidRPr="00707D94" w:rsidRDefault="00E25966" w:rsidP="00E25966">
      <w:pPr>
        <w:pStyle w:val="Bullet1G"/>
        <w:numPr>
          <w:ilvl w:val="0"/>
          <w:numId w:val="0"/>
        </w:numPr>
        <w:tabs>
          <w:tab w:val="left" w:pos="2268"/>
        </w:tabs>
        <w:ind w:left="2268" w:hanging="170"/>
        <w:rPr>
          <w:lang w:val="fr-FR"/>
        </w:rPr>
      </w:pPr>
      <w:r w:rsidRPr="00707D94">
        <w:rPr>
          <w:lang w:val="fr-FR"/>
        </w:rPr>
        <w:t>•</w:t>
      </w:r>
      <w:r w:rsidRPr="00707D94">
        <w:rPr>
          <w:lang w:val="fr-FR"/>
        </w:rPr>
        <w:tab/>
        <w:t>Citernes ayant des compartiments vides utilisés pour les équipements de service</w:t>
      </w:r>
      <w:r w:rsidR="00C950CA">
        <w:rPr>
          <w:lang w:val="fr-FR"/>
        </w:rPr>
        <w:t> </w:t>
      </w:r>
      <w:r w:rsidRPr="00707D94">
        <w:rPr>
          <w:lang w:val="fr-FR"/>
        </w:rPr>
        <w:t>;</w:t>
      </w:r>
    </w:p>
    <w:p w14:paraId="5D738508" w14:textId="77777777" w:rsidR="00E25966" w:rsidRPr="00707D94" w:rsidRDefault="00E25966" w:rsidP="00E25966">
      <w:pPr>
        <w:pStyle w:val="Bullet1G"/>
        <w:numPr>
          <w:ilvl w:val="0"/>
          <w:numId w:val="0"/>
        </w:numPr>
        <w:tabs>
          <w:tab w:val="left" w:pos="2268"/>
        </w:tabs>
        <w:ind w:left="2268" w:hanging="170"/>
        <w:rPr>
          <w:lang w:val="fr-FR"/>
        </w:rPr>
      </w:pPr>
      <w:r w:rsidRPr="00707D94">
        <w:rPr>
          <w:lang w:val="fr-FR"/>
        </w:rPr>
        <w:t>•</w:t>
      </w:r>
      <w:r w:rsidRPr="00707D94">
        <w:rPr>
          <w:lang w:val="fr-FR"/>
        </w:rPr>
        <w:tab/>
        <w:t>Citernes avec isolation thermique.</w:t>
      </w:r>
    </w:p>
    <w:p w14:paraId="33C36B29" w14:textId="15661983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 w:rsidRPr="00707D94">
        <w:rPr>
          <w:lang w:val="fr-FR"/>
        </w:rPr>
        <w:t>Pour les citernes ainsi construites, la protection supplémentaire doit être conçue de manière à empêcher</w:t>
      </w:r>
      <w:r>
        <w:rPr>
          <w:lang w:val="fr-FR"/>
        </w:rPr>
        <w:t xml:space="preserve"> vraisemblablement</w:t>
      </w:r>
      <w:r w:rsidRPr="00707D94">
        <w:rPr>
          <w:lang w:val="fr-FR"/>
        </w:rPr>
        <w:t xml:space="preserve"> la perforation du réservoir en cas de choc</w:t>
      </w:r>
      <w:r>
        <w:rPr>
          <w:lang w:val="fr-FR"/>
        </w:rPr>
        <w:t xml:space="preserve"> ; à défaut, </w:t>
      </w:r>
      <w:r w:rsidRPr="00707D94">
        <w:rPr>
          <w:lang w:val="fr-FR"/>
        </w:rPr>
        <w:t>la distance par rapport au réservoir doit être d</w:t>
      </w:r>
      <w:r>
        <w:rPr>
          <w:lang w:val="fr-FR"/>
        </w:rPr>
        <w:t>’</w:t>
      </w:r>
      <w:r w:rsidRPr="00707D94">
        <w:rPr>
          <w:lang w:val="fr-FR"/>
        </w:rPr>
        <w:t>au moins [100]</w:t>
      </w:r>
      <w:r w:rsidR="00FE6B81">
        <w:rPr>
          <w:lang w:val="fr-FR"/>
        </w:rPr>
        <w:t> </w:t>
      </w:r>
      <w:proofErr w:type="spellStart"/>
      <w:r w:rsidRPr="00707D94">
        <w:rPr>
          <w:lang w:val="fr-FR"/>
        </w:rPr>
        <w:t>mm.</w:t>
      </w:r>
      <w:proofErr w:type="spellEnd"/>
    </w:p>
    <w:p w14:paraId="6AF2C2E8" w14:textId="15BD6EDA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 w:rsidRPr="00707D94">
        <w:rPr>
          <w:lang w:val="fr-FR"/>
        </w:rPr>
        <w:t>Pour les véhicules-batteries, le pare-chocs doit être placé de manière que sa face la plus en arrière se situe à 100</w:t>
      </w:r>
      <w:r w:rsidR="00FE6B81">
        <w:rPr>
          <w:lang w:val="fr-FR"/>
        </w:rPr>
        <w:t> </w:t>
      </w:r>
      <w:r w:rsidRPr="00707D94">
        <w:rPr>
          <w:lang w:val="fr-FR"/>
        </w:rPr>
        <w:t xml:space="preserve">mm de la partie la plus en arrière de tout réservoir </w:t>
      </w:r>
      <w:r>
        <w:rPr>
          <w:lang w:val="fr-FR"/>
        </w:rPr>
        <w:t xml:space="preserve">contenant </w:t>
      </w:r>
      <w:r w:rsidRPr="00707D94">
        <w:rPr>
          <w:lang w:val="fr-FR"/>
        </w:rPr>
        <w:t xml:space="preserve">des éléments </w:t>
      </w:r>
      <w:r>
        <w:rPr>
          <w:lang w:val="fr-FR"/>
        </w:rPr>
        <w:t xml:space="preserve">de </w:t>
      </w:r>
      <w:r w:rsidRPr="00707D94">
        <w:rPr>
          <w:lang w:val="fr-FR"/>
        </w:rPr>
        <w:t>batterie, ou de la partie la plus en arrière de toute soupape ou de son mécanisme de fonctionnement.</w:t>
      </w:r>
    </w:p>
    <w:p w14:paraId="7E2C3544" w14:textId="77777777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 w:rsidRPr="00707D94">
        <w:rPr>
          <w:lang w:val="fr-FR"/>
        </w:rPr>
        <w:t>Les véhicules à réservoirs basculants pour le transport de matières pulvérulentes ou granulaires et les véhicules-citernes à déchets opérant sous vide se déchargeant à l</w:t>
      </w:r>
      <w:r>
        <w:rPr>
          <w:lang w:val="fr-FR"/>
        </w:rPr>
        <w:t>’</w:t>
      </w:r>
      <w:r w:rsidRPr="00707D94">
        <w:rPr>
          <w:lang w:val="fr-FR"/>
        </w:rPr>
        <w:t>arrière n</w:t>
      </w:r>
      <w:r>
        <w:rPr>
          <w:lang w:val="fr-FR"/>
        </w:rPr>
        <w:t>’</w:t>
      </w:r>
      <w:r w:rsidRPr="00707D94">
        <w:rPr>
          <w:lang w:val="fr-FR"/>
        </w:rPr>
        <w:t>ont pas à être munis d</w:t>
      </w:r>
      <w:r>
        <w:rPr>
          <w:lang w:val="fr-FR"/>
        </w:rPr>
        <w:t>’</w:t>
      </w:r>
      <w:r w:rsidRPr="00707D94">
        <w:rPr>
          <w:lang w:val="fr-FR"/>
        </w:rPr>
        <w:t>un pare</w:t>
      </w:r>
      <w:r>
        <w:rPr>
          <w:lang w:val="fr-FR"/>
        </w:rPr>
        <w:t>-</w:t>
      </w:r>
      <w:r w:rsidRPr="00707D94">
        <w:rPr>
          <w:lang w:val="fr-FR"/>
        </w:rPr>
        <w:t>chocs si les équipements arrière de la citerne disposent d</w:t>
      </w:r>
      <w:r>
        <w:rPr>
          <w:lang w:val="fr-FR"/>
        </w:rPr>
        <w:t>’</w:t>
      </w:r>
      <w:r w:rsidRPr="00707D94">
        <w:rPr>
          <w:lang w:val="fr-FR"/>
        </w:rPr>
        <w:t>une protection équivalente à celle d</w:t>
      </w:r>
      <w:r>
        <w:rPr>
          <w:lang w:val="fr-FR"/>
        </w:rPr>
        <w:t>’</w:t>
      </w:r>
      <w:r w:rsidRPr="00707D94">
        <w:rPr>
          <w:lang w:val="fr-FR"/>
        </w:rPr>
        <w:t xml:space="preserve">un pare-chocs tel que décrit ci-dessus. </w:t>
      </w:r>
    </w:p>
    <w:p w14:paraId="01045CA1" w14:textId="371C3E6A" w:rsidR="00E25966" w:rsidRPr="00707D94" w:rsidRDefault="00E25966" w:rsidP="007876A5">
      <w:pPr>
        <w:pStyle w:val="SingleTxtG"/>
        <w:ind w:left="1701" w:firstLine="567"/>
        <w:rPr>
          <w:lang w:val="fr-FR"/>
        </w:rPr>
      </w:pPr>
      <w:r w:rsidRPr="00707D94">
        <w:rPr>
          <w:lang w:val="fr-FR"/>
        </w:rPr>
        <w:t>Les véhicules dont la carrosserie offre une protection équivalente à celle d</w:t>
      </w:r>
      <w:r>
        <w:rPr>
          <w:lang w:val="fr-FR"/>
        </w:rPr>
        <w:t>’</w:t>
      </w:r>
      <w:r w:rsidRPr="00707D94">
        <w:rPr>
          <w:lang w:val="fr-FR"/>
        </w:rPr>
        <w:t>un pare</w:t>
      </w:r>
      <w:r w:rsidR="00FE6B81">
        <w:rPr>
          <w:lang w:val="fr-FR"/>
        </w:rPr>
        <w:noBreakHyphen/>
      </w:r>
      <w:r w:rsidRPr="00707D94">
        <w:rPr>
          <w:lang w:val="fr-FR"/>
        </w:rPr>
        <w:t xml:space="preserve">chocs (selon les spécifications techniques du dispositif arrière de protection antiencastrement) ne </w:t>
      </w:r>
      <w:r>
        <w:rPr>
          <w:lang w:val="fr-FR"/>
        </w:rPr>
        <w:t>sont</w:t>
      </w:r>
      <w:r w:rsidRPr="00707D94">
        <w:rPr>
          <w:lang w:val="fr-FR"/>
        </w:rPr>
        <w:t xml:space="preserve"> pas </w:t>
      </w:r>
      <w:r>
        <w:rPr>
          <w:lang w:val="fr-FR"/>
        </w:rPr>
        <w:t xml:space="preserve">tenus de </w:t>
      </w:r>
      <w:r w:rsidRPr="00707D94">
        <w:rPr>
          <w:lang w:val="fr-FR"/>
        </w:rPr>
        <w:t>satisfaire à cette disposition</w:t>
      </w:r>
      <w:r w:rsidR="007876A5">
        <w:rPr>
          <w:lang w:val="fr-FR"/>
        </w:rPr>
        <w:t>.</w:t>
      </w:r>
      <w:r>
        <w:rPr>
          <w:lang w:val="fr-FR"/>
        </w:rPr>
        <w:t> »</w:t>
      </w:r>
      <w:r w:rsidRPr="00707D94">
        <w:rPr>
          <w:lang w:val="fr-FR"/>
        </w:rPr>
        <w:t>.</w:t>
      </w:r>
      <w:bookmarkStart w:id="2" w:name="_Hlk118446542"/>
    </w:p>
    <w:p w14:paraId="1F6247C2" w14:textId="77777777" w:rsidR="00E25966" w:rsidRPr="00707D94" w:rsidRDefault="00E25966" w:rsidP="00FE6B81">
      <w:pPr>
        <w:pStyle w:val="SingleTxtG"/>
        <w:keepNext/>
        <w:ind w:left="1701" w:firstLine="567"/>
        <w:rPr>
          <w:lang w:val="fr-FR"/>
        </w:rPr>
      </w:pPr>
      <w:r>
        <w:rPr>
          <w:lang w:val="fr-FR"/>
        </w:rPr>
        <w:t>Le nota</w:t>
      </w:r>
      <w:r w:rsidRPr="00707D94">
        <w:rPr>
          <w:lang w:val="fr-FR"/>
        </w:rPr>
        <w:t xml:space="preserve"> 3 est libellé comme suit :</w:t>
      </w:r>
    </w:p>
    <w:p w14:paraId="1867AAF5" w14:textId="43050E7E" w:rsidR="00E25966" w:rsidRPr="00707D94" w:rsidRDefault="00E25966" w:rsidP="00E25966">
      <w:pPr>
        <w:pStyle w:val="SingleTxtG"/>
        <w:ind w:left="1701"/>
        <w:rPr>
          <w:i/>
          <w:iCs/>
          <w:lang w:val="fr-FR"/>
        </w:rPr>
      </w:pPr>
      <w:r>
        <w:rPr>
          <w:lang w:val="fr-FR"/>
        </w:rPr>
        <w:t>« </w:t>
      </w:r>
      <w:r w:rsidRPr="00583693">
        <w:rPr>
          <w:sz w:val="18"/>
          <w:szCs w:val="18"/>
          <w:vertAlign w:val="superscript"/>
          <w:lang w:val="fr-FR"/>
        </w:rPr>
        <w:t>3</w:t>
      </w:r>
      <w:r w:rsidRPr="00707D94">
        <w:rPr>
          <w:lang w:val="fr-FR"/>
        </w:rPr>
        <w:tab/>
      </w:r>
      <w:r w:rsidRPr="00707D94">
        <w:rPr>
          <w:i/>
          <w:iCs/>
          <w:lang w:val="fr-FR"/>
        </w:rPr>
        <w:t>Règlement ONU n</w:t>
      </w:r>
      <w:r w:rsidRPr="00707D94">
        <w:rPr>
          <w:i/>
          <w:iCs/>
          <w:vertAlign w:val="superscript"/>
          <w:lang w:val="fr-FR"/>
        </w:rPr>
        <w:t>o</w:t>
      </w:r>
      <w:r w:rsidRPr="00707D94">
        <w:rPr>
          <w:i/>
          <w:iCs/>
          <w:lang w:val="fr-FR"/>
        </w:rPr>
        <w:t xml:space="preserve"> 58 (Prescriptions uniformes relatives à l</w:t>
      </w:r>
      <w:r>
        <w:rPr>
          <w:i/>
          <w:iCs/>
          <w:lang w:val="fr-FR"/>
        </w:rPr>
        <w:t>’</w:t>
      </w:r>
      <w:r w:rsidRPr="00707D94">
        <w:rPr>
          <w:i/>
          <w:iCs/>
          <w:lang w:val="fr-FR"/>
        </w:rPr>
        <w:t>homologation</w:t>
      </w:r>
      <w:r w:rsidR="00583693">
        <w:rPr>
          <w:i/>
          <w:iCs/>
          <w:lang w:val="fr-FR"/>
        </w:rPr>
        <w:t> </w:t>
      </w:r>
      <w:r w:rsidRPr="00707D94">
        <w:rPr>
          <w:i/>
          <w:iCs/>
          <w:lang w:val="fr-FR"/>
        </w:rPr>
        <w:t>:</w:t>
      </w:r>
    </w:p>
    <w:p w14:paraId="5C1630F0" w14:textId="77777777" w:rsidR="00E25966" w:rsidRPr="00707D94" w:rsidRDefault="00E25966" w:rsidP="00E25966">
      <w:pPr>
        <w:pStyle w:val="SingleTxtG"/>
        <w:ind w:left="2268"/>
        <w:rPr>
          <w:i/>
          <w:iCs/>
          <w:lang w:val="fr-FR"/>
        </w:rPr>
      </w:pPr>
      <w:r w:rsidRPr="00707D94">
        <w:rPr>
          <w:i/>
          <w:iCs/>
          <w:lang w:val="fr-FR"/>
        </w:rPr>
        <w:t>I.</w:t>
      </w:r>
      <w:r w:rsidRPr="00707D94">
        <w:rPr>
          <w:lang w:val="fr-FR"/>
        </w:rPr>
        <w:t xml:space="preserve"> </w:t>
      </w:r>
      <w:r w:rsidRPr="00707D94">
        <w:rPr>
          <w:i/>
          <w:iCs/>
          <w:lang w:val="fr-FR"/>
        </w:rPr>
        <w:t>Des dispositifs arrière de protection antiencastrement</w:t>
      </w:r>
    </w:p>
    <w:p w14:paraId="5A6044A9" w14:textId="77777777" w:rsidR="00E25966" w:rsidRPr="00707D94" w:rsidRDefault="00E25966" w:rsidP="00E25966">
      <w:pPr>
        <w:pStyle w:val="SingleTxtG"/>
        <w:ind w:left="2268"/>
        <w:rPr>
          <w:i/>
          <w:iCs/>
          <w:lang w:val="fr-FR"/>
        </w:rPr>
      </w:pPr>
      <w:r w:rsidRPr="00707D94">
        <w:rPr>
          <w:i/>
          <w:iCs/>
          <w:lang w:val="fr-FR"/>
        </w:rPr>
        <w:t>II.</w:t>
      </w:r>
      <w:r w:rsidRPr="00707D94">
        <w:rPr>
          <w:lang w:val="fr-FR"/>
        </w:rPr>
        <w:t xml:space="preserve"> </w:t>
      </w:r>
      <w:r w:rsidRPr="00707D94">
        <w:rPr>
          <w:i/>
          <w:iCs/>
          <w:lang w:val="fr-FR"/>
        </w:rPr>
        <w:t>Des véhicules en ce qui concerne le montage d</w:t>
      </w:r>
      <w:r>
        <w:rPr>
          <w:i/>
          <w:iCs/>
          <w:lang w:val="fr-FR"/>
        </w:rPr>
        <w:t>’</w:t>
      </w:r>
      <w:r w:rsidRPr="00707D94">
        <w:rPr>
          <w:i/>
          <w:iCs/>
          <w:lang w:val="fr-FR"/>
        </w:rPr>
        <w:t>un dispositif arrière de protection antiencastrement d</w:t>
      </w:r>
      <w:r>
        <w:rPr>
          <w:i/>
          <w:iCs/>
          <w:lang w:val="fr-FR"/>
        </w:rPr>
        <w:t>’</w:t>
      </w:r>
      <w:r w:rsidRPr="00707D94">
        <w:rPr>
          <w:i/>
          <w:iCs/>
          <w:lang w:val="fr-FR"/>
        </w:rPr>
        <w:t>un type homologué</w:t>
      </w:r>
    </w:p>
    <w:p w14:paraId="3A36E4E8" w14:textId="3409C134" w:rsidR="00E25966" w:rsidRPr="00707D94" w:rsidRDefault="00E25966" w:rsidP="00E25966">
      <w:pPr>
        <w:pStyle w:val="SingleTxtG"/>
        <w:ind w:left="2268"/>
        <w:rPr>
          <w:lang w:val="fr-FR"/>
        </w:rPr>
      </w:pPr>
      <w:r w:rsidRPr="00707D94">
        <w:rPr>
          <w:i/>
          <w:iCs/>
          <w:lang w:val="fr-FR"/>
        </w:rPr>
        <w:t>III.</w:t>
      </w:r>
      <w:r w:rsidRPr="00707D94">
        <w:rPr>
          <w:lang w:val="fr-FR"/>
        </w:rPr>
        <w:t xml:space="preserve"> </w:t>
      </w:r>
      <w:r w:rsidRPr="006D4C33">
        <w:rPr>
          <w:i/>
          <w:iCs/>
          <w:lang w:val="fr-FR"/>
        </w:rPr>
        <w:t>Des véhicules en ce qui concerne leur protection contre l</w:t>
      </w:r>
      <w:r>
        <w:rPr>
          <w:i/>
          <w:iCs/>
          <w:lang w:val="fr-FR"/>
        </w:rPr>
        <w:t>’</w:t>
      </w:r>
      <w:r w:rsidRPr="006D4C33">
        <w:rPr>
          <w:i/>
          <w:iCs/>
          <w:lang w:val="fr-FR"/>
        </w:rPr>
        <w:t>encastrement à l</w:t>
      </w:r>
      <w:r>
        <w:rPr>
          <w:i/>
          <w:iCs/>
          <w:lang w:val="fr-FR"/>
        </w:rPr>
        <w:t>’</w:t>
      </w:r>
      <w:r w:rsidRPr="006D4C33">
        <w:rPr>
          <w:i/>
          <w:iCs/>
          <w:lang w:val="fr-FR"/>
        </w:rPr>
        <w:t>arrière</w:t>
      </w:r>
      <w:r>
        <w:rPr>
          <w:lang w:val="fr-FR"/>
        </w:rPr>
        <w:t> </w:t>
      </w:r>
      <w:r w:rsidR="00583693">
        <w:rPr>
          <w:lang w:val="fr-FR"/>
        </w:rPr>
        <w:t>.</w:t>
      </w:r>
      <w:r>
        <w:rPr>
          <w:lang w:val="fr-FR"/>
        </w:rPr>
        <w:t>»</w:t>
      </w:r>
      <w:r w:rsidRPr="00707D94">
        <w:rPr>
          <w:lang w:val="fr-FR"/>
        </w:rPr>
        <w:t>.</w:t>
      </w:r>
    </w:p>
    <w:p w14:paraId="10317417" w14:textId="77777777" w:rsidR="00583693" w:rsidRDefault="00583693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b/>
          <w:sz w:val="28"/>
          <w:lang w:val="fr-FR"/>
        </w:rPr>
      </w:pPr>
      <w:r>
        <w:rPr>
          <w:lang w:val="fr-FR"/>
        </w:rPr>
        <w:br w:type="page"/>
      </w:r>
    </w:p>
    <w:p w14:paraId="66F86621" w14:textId="7545C207" w:rsidR="00E25966" w:rsidRPr="00707D94" w:rsidRDefault="00E25966" w:rsidP="00583693">
      <w:pPr>
        <w:pStyle w:val="HChG"/>
        <w:rPr>
          <w:sz w:val="22"/>
          <w:szCs w:val="22"/>
          <w:lang w:val="fr-FR"/>
        </w:rPr>
      </w:pPr>
      <w:r w:rsidRPr="00707D94">
        <w:rPr>
          <w:lang w:val="fr-FR"/>
        </w:rPr>
        <w:lastRenderedPageBreak/>
        <w:tab/>
      </w:r>
      <w:r w:rsidRPr="00707D94">
        <w:rPr>
          <w:lang w:val="fr-FR"/>
        </w:rPr>
        <w:tab/>
        <w:t xml:space="preserve">Proposition 2 </w:t>
      </w:r>
    </w:p>
    <w:p w14:paraId="6272F5A0" w14:textId="77777777" w:rsidR="00E25966" w:rsidRPr="00707D94" w:rsidRDefault="00E25966" w:rsidP="00E25966">
      <w:pPr>
        <w:pStyle w:val="SingleTxtG"/>
        <w:rPr>
          <w:lang w:val="fr-FR"/>
        </w:rPr>
      </w:pPr>
      <w:r w:rsidRPr="00707D94">
        <w:rPr>
          <w:lang w:val="fr-FR"/>
        </w:rPr>
        <w:t>11.</w:t>
      </w:r>
      <w:r w:rsidRPr="00707D94">
        <w:rPr>
          <w:lang w:val="fr-FR"/>
        </w:rPr>
        <w:tab/>
        <w:t xml:space="preserve">Ajouter la mesure transitoire ci-après à la section 1.6.5 : </w:t>
      </w:r>
      <w:r>
        <w:rPr>
          <w:lang w:val="fr-FR"/>
        </w:rPr>
        <w:t>« </w:t>
      </w:r>
      <w:r w:rsidRPr="00707D94">
        <w:rPr>
          <w:lang w:val="fr-FR"/>
        </w:rPr>
        <w:t>Les véhicules immatriculés pour la première fois (ou mis en service, si l</w:t>
      </w:r>
      <w:r>
        <w:rPr>
          <w:lang w:val="fr-FR"/>
        </w:rPr>
        <w:t>’</w:t>
      </w:r>
      <w:r w:rsidRPr="00707D94">
        <w:rPr>
          <w:lang w:val="fr-FR"/>
        </w:rPr>
        <w:t>immatriculation n</w:t>
      </w:r>
      <w:r>
        <w:rPr>
          <w:lang w:val="fr-FR"/>
        </w:rPr>
        <w:t>’</w:t>
      </w:r>
      <w:r w:rsidRPr="00707D94">
        <w:rPr>
          <w:lang w:val="fr-FR"/>
        </w:rPr>
        <w:t>est pas obligatoire) avant le 1</w:t>
      </w:r>
      <w:r w:rsidRPr="00707D94">
        <w:rPr>
          <w:vertAlign w:val="superscript"/>
          <w:lang w:val="fr-FR"/>
        </w:rPr>
        <w:t>er</w:t>
      </w:r>
      <w:r w:rsidRPr="00707D94">
        <w:rPr>
          <w:lang w:val="fr-FR"/>
        </w:rPr>
        <w:t xml:space="preserve"> juillet 2027 qui ne sont pas conformes aux prescriptions </w:t>
      </w:r>
      <w:r>
        <w:rPr>
          <w:lang w:val="fr-FR"/>
        </w:rPr>
        <w:t>du</w:t>
      </w:r>
      <w:r w:rsidRPr="00707D94">
        <w:rPr>
          <w:lang w:val="fr-FR"/>
        </w:rPr>
        <w:t xml:space="preserve"> 9.7.6 relatives à la protection arrière applicables à compter du 1</w:t>
      </w:r>
      <w:r w:rsidRPr="00707D94">
        <w:rPr>
          <w:vertAlign w:val="superscript"/>
          <w:lang w:val="fr-FR"/>
        </w:rPr>
        <w:t>er</w:t>
      </w:r>
      <w:r w:rsidRPr="00707D94">
        <w:rPr>
          <w:lang w:val="fr-FR"/>
        </w:rPr>
        <w:t> janvier 2025 peuvent encore être utilisés.</w:t>
      </w:r>
      <w:r>
        <w:rPr>
          <w:lang w:val="fr-FR"/>
        </w:rPr>
        <w:t> »</w:t>
      </w:r>
      <w:r w:rsidRPr="00707D94">
        <w:rPr>
          <w:lang w:val="fr-FR"/>
        </w:rPr>
        <w:t>.</w:t>
      </w:r>
    </w:p>
    <w:p w14:paraId="6F45DBB4" w14:textId="77777777" w:rsidR="00E25966" w:rsidRPr="00707D94" w:rsidRDefault="00E25966" w:rsidP="00583693">
      <w:pPr>
        <w:pStyle w:val="HChG"/>
        <w:rPr>
          <w:lang w:val="fr-FR"/>
        </w:rPr>
      </w:pPr>
      <w:r w:rsidRPr="00707D94">
        <w:rPr>
          <w:lang w:val="fr-FR"/>
        </w:rPr>
        <w:tab/>
      </w:r>
      <w:r w:rsidRPr="00707D94">
        <w:rPr>
          <w:lang w:val="fr-FR"/>
        </w:rPr>
        <w:tab/>
        <w:t>Conclusion</w:t>
      </w:r>
    </w:p>
    <w:bookmarkEnd w:id="2"/>
    <w:p w14:paraId="41C5D643" w14:textId="1CC5155C" w:rsidR="00F9573C" w:rsidRDefault="00E25966" w:rsidP="00E25966">
      <w:pPr>
        <w:pStyle w:val="SingleTxtG"/>
        <w:rPr>
          <w:lang w:val="fr-FR"/>
        </w:rPr>
      </w:pPr>
      <w:r w:rsidRPr="00707D94">
        <w:rPr>
          <w:lang w:val="fr-FR"/>
        </w:rPr>
        <w:t>12.</w:t>
      </w:r>
      <w:r w:rsidRPr="00707D94">
        <w:rPr>
          <w:lang w:val="fr-FR"/>
        </w:rPr>
        <w:tab/>
        <w:t xml:space="preserve">Ces modifications garantiront une interprétation uniforme de la distance requise entre la paroi arrière de la citerne et la partie arrière du pare-chocs. Elles </w:t>
      </w:r>
      <w:r>
        <w:rPr>
          <w:lang w:val="fr-FR"/>
        </w:rPr>
        <w:t>tiennent</w:t>
      </w:r>
      <w:r w:rsidRPr="00707D94">
        <w:rPr>
          <w:lang w:val="fr-FR"/>
        </w:rPr>
        <w:t xml:space="preserve"> compte </w:t>
      </w:r>
      <w:r>
        <w:rPr>
          <w:lang w:val="fr-FR"/>
        </w:rPr>
        <w:t xml:space="preserve">en outre </w:t>
      </w:r>
      <w:r w:rsidRPr="00707D94">
        <w:rPr>
          <w:lang w:val="fr-FR"/>
        </w:rPr>
        <w:t>des prescriptions techniques de la révision 3 du Règlement ONU n</w:t>
      </w:r>
      <w:r w:rsidRPr="00707D94">
        <w:rPr>
          <w:vertAlign w:val="superscript"/>
          <w:lang w:val="fr-FR"/>
        </w:rPr>
        <w:t>o</w:t>
      </w:r>
      <w:r w:rsidR="00767545">
        <w:rPr>
          <w:lang w:val="fr-FR"/>
        </w:rPr>
        <w:t> </w:t>
      </w:r>
      <w:r w:rsidRPr="00707D94">
        <w:rPr>
          <w:lang w:val="fr-FR"/>
        </w:rPr>
        <w:t>58 (</w:t>
      </w:r>
      <w:r>
        <w:rPr>
          <w:lang w:val="fr-FR"/>
        </w:rPr>
        <w:t>D</w:t>
      </w:r>
      <w:r w:rsidRPr="00707D94">
        <w:rPr>
          <w:lang w:val="fr-FR"/>
        </w:rPr>
        <w:t>ispositif</w:t>
      </w:r>
      <w:r>
        <w:rPr>
          <w:lang w:val="fr-FR"/>
        </w:rPr>
        <w:t>s</w:t>
      </w:r>
      <w:r w:rsidRPr="00707D94">
        <w:rPr>
          <w:lang w:val="fr-FR"/>
        </w:rPr>
        <w:t xml:space="preserve"> arrière de protection antiencastrement) et garantiront donc que le pare-chocs arrière satisfait à des prescriptions particulières en matière de résistance. Étant donné que de nouvelles spécifications techniques sont </w:t>
      </w:r>
      <w:r>
        <w:rPr>
          <w:lang w:val="fr-FR"/>
        </w:rPr>
        <w:t>définies</w:t>
      </w:r>
      <w:r w:rsidRPr="00707D94">
        <w:rPr>
          <w:lang w:val="fr-FR"/>
        </w:rPr>
        <w:t xml:space="preserve"> et qu</w:t>
      </w:r>
      <w:r>
        <w:rPr>
          <w:lang w:val="fr-FR"/>
        </w:rPr>
        <w:t>’</w:t>
      </w:r>
      <w:r w:rsidRPr="00707D94">
        <w:rPr>
          <w:lang w:val="fr-FR"/>
        </w:rPr>
        <w:t>il est probable qu</w:t>
      </w:r>
      <w:r>
        <w:rPr>
          <w:lang w:val="fr-FR"/>
        </w:rPr>
        <w:t>’</w:t>
      </w:r>
      <w:r w:rsidRPr="00707D94">
        <w:rPr>
          <w:lang w:val="fr-FR"/>
        </w:rPr>
        <w:t>il y ait eu des erreurs d</w:t>
      </w:r>
      <w:r>
        <w:rPr>
          <w:lang w:val="fr-FR"/>
        </w:rPr>
        <w:t>’</w:t>
      </w:r>
      <w:r w:rsidRPr="00707D94">
        <w:rPr>
          <w:lang w:val="fr-FR"/>
        </w:rPr>
        <w:t>interprétation par le passé, il est proposé d</w:t>
      </w:r>
      <w:r>
        <w:rPr>
          <w:lang w:val="fr-FR"/>
        </w:rPr>
        <w:t>’</w:t>
      </w:r>
      <w:r w:rsidRPr="00707D94">
        <w:rPr>
          <w:lang w:val="fr-FR"/>
        </w:rPr>
        <w:t>ajouter une mesure transitoire pour que les véhicules existants puissent continuer d</w:t>
      </w:r>
      <w:r>
        <w:rPr>
          <w:lang w:val="fr-FR"/>
        </w:rPr>
        <w:t>’</w:t>
      </w:r>
      <w:r w:rsidRPr="00707D94">
        <w:rPr>
          <w:lang w:val="fr-FR"/>
        </w:rPr>
        <w:t>être utilisés.</w:t>
      </w:r>
    </w:p>
    <w:p w14:paraId="42707D45" w14:textId="2FBD8419" w:rsidR="00E25966" w:rsidRPr="00E25966" w:rsidRDefault="00E25966" w:rsidP="00E25966">
      <w:pPr>
        <w:pStyle w:val="SingleTxtG"/>
        <w:spacing w:before="240" w:after="0"/>
        <w:jc w:val="center"/>
        <w:rPr>
          <w:u w:val="single"/>
        </w:rPr>
      </w:pPr>
      <w:r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E25966" w:rsidRPr="00E25966" w:rsidSect="00E2596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6CAA" w14:textId="77777777" w:rsidR="003E000F" w:rsidRDefault="003E000F" w:rsidP="00F95C08">
      <w:pPr>
        <w:spacing w:line="240" w:lineRule="auto"/>
      </w:pPr>
    </w:p>
  </w:endnote>
  <w:endnote w:type="continuationSeparator" w:id="0">
    <w:p w14:paraId="7526B443" w14:textId="77777777" w:rsidR="003E000F" w:rsidRPr="00AC3823" w:rsidRDefault="003E000F" w:rsidP="00AC3823">
      <w:pPr>
        <w:pStyle w:val="Pieddepage"/>
      </w:pPr>
    </w:p>
  </w:endnote>
  <w:endnote w:type="continuationNotice" w:id="1">
    <w:p w14:paraId="39A52C69" w14:textId="77777777" w:rsidR="003E000F" w:rsidRDefault="003E00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C6E" w14:textId="2C7A08C6" w:rsidR="00E25966" w:rsidRPr="00E25966" w:rsidRDefault="00E25966" w:rsidP="00E25966">
    <w:pPr>
      <w:pStyle w:val="Pieddepage"/>
      <w:tabs>
        <w:tab w:val="right" w:pos="9638"/>
      </w:tabs>
    </w:pPr>
    <w:r w:rsidRPr="00E25966">
      <w:rPr>
        <w:b/>
        <w:sz w:val="18"/>
      </w:rPr>
      <w:fldChar w:fldCharType="begin"/>
    </w:r>
    <w:r w:rsidRPr="00E25966">
      <w:rPr>
        <w:b/>
        <w:sz w:val="18"/>
      </w:rPr>
      <w:instrText xml:space="preserve"> PAGE  \* MERGEFORMAT </w:instrText>
    </w:r>
    <w:r w:rsidRPr="00E25966">
      <w:rPr>
        <w:b/>
        <w:sz w:val="18"/>
      </w:rPr>
      <w:fldChar w:fldCharType="separate"/>
    </w:r>
    <w:r w:rsidRPr="00E25966">
      <w:rPr>
        <w:b/>
        <w:noProof/>
        <w:sz w:val="18"/>
      </w:rPr>
      <w:t>2</w:t>
    </w:r>
    <w:r w:rsidRPr="00E25966">
      <w:rPr>
        <w:b/>
        <w:sz w:val="18"/>
      </w:rPr>
      <w:fldChar w:fldCharType="end"/>
    </w:r>
    <w:r>
      <w:rPr>
        <w:b/>
        <w:sz w:val="18"/>
      </w:rPr>
      <w:tab/>
    </w:r>
    <w:r>
      <w:t>GE.23-15835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170" w14:textId="648F8DB7" w:rsidR="00E25966" w:rsidRPr="00E25966" w:rsidRDefault="00E25966" w:rsidP="00E25966">
    <w:pPr>
      <w:pStyle w:val="Pieddepage"/>
      <w:tabs>
        <w:tab w:val="right" w:pos="9638"/>
      </w:tabs>
      <w:rPr>
        <w:b/>
        <w:sz w:val="18"/>
      </w:rPr>
    </w:pPr>
    <w:r>
      <w:t>GE.23-15835</w:t>
    </w:r>
    <w:r>
      <w:tab/>
    </w:r>
    <w:r w:rsidRPr="00E25966">
      <w:rPr>
        <w:b/>
        <w:sz w:val="18"/>
      </w:rPr>
      <w:fldChar w:fldCharType="begin"/>
    </w:r>
    <w:r w:rsidRPr="00E25966">
      <w:rPr>
        <w:b/>
        <w:sz w:val="18"/>
      </w:rPr>
      <w:instrText xml:space="preserve"> PAGE  \* MERGEFORMAT </w:instrText>
    </w:r>
    <w:r w:rsidRPr="00E25966">
      <w:rPr>
        <w:b/>
        <w:sz w:val="18"/>
      </w:rPr>
      <w:fldChar w:fldCharType="separate"/>
    </w:r>
    <w:r w:rsidRPr="00E25966">
      <w:rPr>
        <w:b/>
        <w:noProof/>
        <w:sz w:val="18"/>
      </w:rPr>
      <w:t>3</w:t>
    </w:r>
    <w:r w:rsidRPr="00E259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590A" w14:textId="6CF5194D" w:rsidR="007F20FA" w:rsidRPr="00E25966" w:rsidRDefault="00E25966" w:rsidP="00E25966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9589CA2" wp14:editId="13E657C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23-15835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4D52401" wp14:editId="6143386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180923    190923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E493" w14:textId="77777777" w:rsidR="003E000F" w:rsidRPr="00AC3823" w:rsidRDefault="003E000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1261E9" w14:textId="77777777" w:rsidR="003E000F" w:rsidRPr="00AC3823" w:rsidRDefault="003E000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AB75099" w14:textId="77777777" w:rsidR="003E000F" w:rsidRPr="00AC3823" w:rsidRDefault="003E000F">
      <w:pPr>
        <w:spacing w:line="240" w:lineRule="auto"/>
        <w:rPr>
          <w:sz w:val="2"/>
          <w:szCs w:val="2"/>
        </w:rPr>
      </w:pPr>
    </w:p>
  </w:footnote>
  <w:footnote w:id="2">
    <w:p w14:paraId="3DED57F8" w14:textId="77777777" w:rsidR="00E25966" w:rsidRPr="00EE0D92" w:rsidRDefault="00E25966" w:rsidP="00E25966">
      <w:pPr>
        <w:pStyle w:val="Notedebasdepage"/>
      </w:pPr>
      <w:r>
        <w:rPr>
          <w:lang w:val="fr-FR"/>
        </w:rPr>
        <w:tab/>
      </w:r>
      <w:r w:rsidRPr="006813D7">
        <w:rPr>
          <w:sz w:val="20"/>
          <w:lang w:val="fr-FR"/>
        </w:rPr>
        <w:t>*</w:t>
      </w:r>
      <w:r>
        <w:rPr>
          <w:lang w:val="fr-FR"/>
        </w:rPr>
        <w:tab/>
        <w:t>A/77/6 (Sect. 20), tableau 20.6.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F367" w14:textId="60A14C62" w:rsidR="00E25966" w:rsidRPr="00E25966" w:rsidRDefault="00E25966">
    <w:pPr>
      <w:pStyle w:val="En-tte"/>
    </w:pPr>
    <w:fldSimple w:instr=" TITLE  \* MERGEFORMAT ">
      <w:r>
        <w:t>ECE/TRANS/WP.15/2023/13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2CD6" w14:textId="141A42C3" w:rsidR="00E25966" w:rsidRPr="00E25966" w:rsidRDefault="00E25966" w:rsidP="00E25966">
    <w:pPr>
      <w:pStyle w:val="En-tte"/>
      <w:jc w:val="right"/>
    </w:pPr>
    <w:fldSimple w:instr=" TITLE  \* MERGEFORMAT ">
      <w:r>
        <w:t>ECE/TRANS/WP.15/2023/13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58409436">
    <w:abstractNumId w:val="12"/>
  </w:num>
  <w:num w:numId="2" w16cid:durableId="1270969685">
    <w:abstractNumId w:val="11"/>
  </w:num>
  <w:num w:numId="3" w16cid:durableId="661851830">
    <w:abstractNumId w:val="10"/>
  </w:num>
  <w:num w:numId="4" w16cid:durableId="1130132008">
    <w:abstractNumId w:val="8"/>
  </w:num>
  <w:num w:numId="5" w16cid:durableId="1361785925">
    <w:abstractNumId w:val="3"/>
  </w:num>
  <w:num w:numId="6" w16cid:durableId="1743217192">
    <w:abstractNumId w:val="2"/>
  </w:num>
  <w:num w:numId="7" w16cid:durableId="1305087937">
    <w:abstractNumId w:val="1"/>
  </w:num>
  <w:num w:numId="8" w16cid:durableId="2057466516">
    <w:abstractNumId w:val="0"/>
  </w:num>
  <w:num w:numId="9" w16cid:durableId="1996570697">
    <w:abstractNumId w:val="9"/>
  </w:num>
  <w:num w:numId="10" w16cid:durableId="2081976690">
    <w:abstractNumId w:val="7"/>
  </w:num>
  <w:num w:numId="11" w16cid:durableId="1303535685">
    <w:abstractNumId w:val="6"/>
  </w:num>
  <w:num w:numId="12" w16cid:durableId="63140307">
    <w:abstractNumId w:val="5"/>
  </w:num>
  <w:num w:numId="13" w16cid:durableId="1837651358">
    <w:abstractNumId w:val="4"/>
  </w:num>
  <w:num w:numId="14" w16cid:durableId="1820609687">
    <w:abstractNumId w:val="12"/>
  </w:num>
  <w:num w:numId="15" w16cid:durableId="2070763115">
    <w:abstractNumId w:val="11"/>
  </w:num>
  <w:num w:numId="16" w16cid:durableId="1061707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0F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82DB9"/>
    <w:rsid w:val="003916DE"/>
    <w:rsid w:val="003E000F"/>
    <w:rsid w:val="00421996"/>
    <w:rsid w:val="00441C3B"/>
    <w:rsid w:val="00446FE5"/>
    <w:rsid w:val="00452396"/>
    <w:rsid w:val="00477EB2"/>
    <w:rsid w:val="004837D8"/>
    <w:rsid w:val="004E2EED"/>
    <w:rsid w:val="004E468C"/>
    <w:rsid w:val="005156E7"/>
    <w:rsid w:val="005505B7"/>
    <w:rsid w:val="00573BE5"/>
    <w:rsid w:val="00583693"/>
    <w:rsid w:val="00586ED3"/>
    <w:rsid w:val="00595472"/>
    <w:rsid w:val="00596AA9"/>
    <w:rsid w:val="0067285F"/>
    <w:rsid w:val="006813D7"/>
    <w:rsid w:val="0071601D"/>
    <w:rsid w:val="00767545"/>
    <w:rsid w:val="007876A5"/>
    <w:rsid w:val="007A62E6"/>
    <w:rsid w:val="007F20FA"/>
    <w:rsid w:val="0080684C"/>
    <w:rsid w:val="00871C75"/>
    <w:rsid w:val="008776DC"/>
    <w:rsid w:val="00895E65"/>
    <w:rsid w:val="008D5EF9"/>
    <w:rsid w:val="009446C0"/>
    <w:rsid w:val="009705C8"/>
    <w:rsid w:val="009C1CF4"/>
    <w:rsid w:val="009F6B74"/>
    <w:rsid w:val="00A3029F"/>
    <w:rsid w:val="00A30353"/>
    <w:rsid w:val="00A7744B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F7546"/>
    <w:rsid w:val="00C02897"/>
    <w:rsid w:val="00C950CA"/>
    <w:rsid w:val="00C97039"/>
    <w:rsid w:val="00D3439C"/>
    <w:rsid w:val="00D7622E"/>
    <w:rsid w:val="00DB1831"/>
    <w:rsid w:val="00DD3BFD"/>
    <w:rsid w:val="00DF6678"/>
    <w:rsid w:val="00E0299A"/>
    <w:rsid w:val="00E25966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AE09D"/>
  <w15:docId w15:val="{BA6FD600-F36B-40F0-8F5B-DE9A4DC5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E25966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8CA92-6274-45BF-B9D9-D8635DDE29E2}"/>
</file>

<file path=customXml/itemProps2.xml><?xml version="1.0" encoding="utf-8"?>
<ds:datastoreItem xmlns:ds="http://schemas.openxmlformats.org/officeDocument/2006/customXml" ds:itemID="{6782A3CC-CD2F-4CDE-8CDC-9BC312D69F59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4</Pages>
  <Words>1141</Words>
  <Characters>7991</Characters>
  <Application>Microsoft Office Word</Application>
  <DocSecurity>0</DocSecurity>
  <Lines>665</Lines>
  <Paragraphs>365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ECE/TRANS/WP.15/2023/13</vt:lpstr>
    </vt:vector>
  </TitlesOfParts>
  <Company>DCM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ECE/TRANS/WP.15/2023/13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2023-09-19T08:05:00Z</dcterms:created>
  <dcterms:modified xsi:type="dcterms:W3CDTF">2023-09-19T08:05:00Z</dcterms:modified>
</cp:coreProperties>
</file>