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EB5FD56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AF89694" w14:textId="77777777" w:rsidR="00F35BAF" w:rsidRPr="00DB58B5" w:rsidRDefault="00F35BAF" w:rsidP="00EF06BC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DB58515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7BF3DE2" w14:textId="38B6AE8F" w:rsidR="00F35BAF" w:rsidRPr="00DB58B5" w:rsidRDefault="00EF06BC" w:rsidP="00EF06BC">
            <w:pPr>
              <w:jc w:val="right"/>
            </w:pPr>
            <w:r w:rsidRPr="00EF06BC">
              <w:rPr>
                <w:sz w:val="40"/>
              </w:rPr>
              <w:t>ECE</w:t>
            </w:r>
            <w:r>
              <w:t>/TRANS/WP.15/2023/10</w:t>
            </w:r>
          </w:p>
        </w:tc>
      </w:tr>
      <w:tr w:rsidR="00F35BAF" w:rsidRPr="00DB58B5" w14:paraId="33EFCD99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6C4BE5C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9BDE35F" wp14:editId="24C8730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4C79B7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D33B2B8" w14:textId="77777777" w:rsidR="00F35BAF" w:rsidRDefault="00EF06BC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4ED1AE03" w14:textId="77777777" w:rsidR="00EF06BC" w:rsidRDefault="00EF06BC" w:rsidP="00EF06BC">
            <w:pPr>
              <w:spacing w:line="240" w:lineRule="exact"/>
            </w:pPr>
            <w:r>
              <w:t>11 août 2023</w:t>
            </w:r>
          </w:p>
          <w:p w14:paraId="0BA35471" w14:textId="77777777" w:rsidR="00EF06BC" w:rsidRDefault="00EF06BC" w:rsidP="00EF06BC">
            <w:pPr>
              <w:spacing w:line="240" w:lineRule="exact"/>
            </w:pPr>
            <w:r>
              <w:t>Français</w:t>
            </w:r>
          </w:p>
          <w:p w14:paraId="58A458CE" w14:textId="3F5A18E8" w:rsidR="00EF06BC" w:rsidRPr="00DB58B5" w:rsidRDefault="00EF06BC" w:rsidP="00EF06BC">
            <w:pPr>
              <w:spacing w:line="240" w:lineRule="exact"/>
            </w:pPr>
            <w:r>
              <w:t>Original : anglais</w:t>
            </w:r>
          </w:p>
        </w:tc>
      </w:tr>
    </w:tbl>
    <w:p w14:paraId="11AF3C9A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AB4A781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DFA7975" w14:textId="6E4862D7" w:rsidR="0094045F" w:rsidRPr="0073112C" w:rsidRDefault="0094045F" w:rsidP="0094045F">
      <w:pPr>
        <w:spacing w:before="120"/>
        <w:rPr>
          <w:b/>
          <w:sz w:val="32"/>
          <w:szCs w:val="32"/>
          <w:lang w:val="fr-FR"/>
        </w:rPr>
      </w:pPr>
      <w:r w:rsidRPr="0073112C">
        <w:rPr>
          <w:b/>
          <w:bCs/>
          <w:sz w:val="24"/>
          <w:szCs w:val="24"/>
          <w:lang w:val="fr-FR"/>
        </w:rPr>
        <w:t xml:space="preserve">Groupe de travail des transports </w:t>
      </w:r>
      <w:r w:rsidR="00446042">
        <w:rPr>
          <w:b/>
          <w:bCs/>
          <w:sz w:val="24"/>
          <w:szCs w:val="24"/>
          <w:lang w:val="fr-FR"/>
        </w:rPr>
        <w:br/>
      </w:r>
      <w:r w:rsidRPr="0073112C">
        <w:rPr>
          <w:b/>
          <w:bCs/>
          <w:sz w:val="24"/>
          <w:szCs w:val="24"/>
          <w:lang w:val="fr-FR"/>
        </w:rPr>
        <w:t>de marchandises dangereuses</w:t>
      </w:r>
    </w:p>
    <w:p w14:paraId="3D125F49" w14:textId="77777777" w:rsidR="0094045F" w:rsidRPr="0073112C" w:rsidRDefault="0094045F" w:rsidP="0094045F">
      <w:pPr>
        <w:spacing w:before="120"/>
        <w:rPr>
          <w:rFonts w:eastAsia="SimSun"/>
          <w:b/>
          <w:lang w:val="fr-FR"/>
        </w:rPr>
      </w:pPr>
      <w:r w:rsidRPr="0073112C">
        <w:rPr>
          <w:b/>
          <w:bCs/>
          <w:lang w:val="fr-FR"/>
        </w:rPr>
        <w:t>114</w:t>
      </w:r>
      <w:r w:rsidRPr="0073112C">
        <w:rPr>
          <w:b/>
          <w:bCs/>
          <w:vertAlign w:val="superscript"/>
          <w:lang w:val="fr-FR"/>
        </w:rPr>
        <w:t>e</w:t>
      </w:r>
      <w:r w:rsidRPr="0073112C">
        <w:rPr>
          <w:b/>
          <w:bCs/>
          <w:lang w:val="fr-FR"/>
        </w:rPr>
        <w:t xml:space="preserve"> session</w:t>
      </w:r>
      <w:r w:rsidRPr="0073112C">
        <w:rPr>
          <w:lang w:val="fr-FR"/>
        </w:rPr>
        <w:t xml:space="preserve"> </w:t>
      </w:r>
    </w:p>
    <w:p w14:paraId="04DE4F03" w14:textId="77777777" w:rsidR="0094045F" w:rsidRPr="0073112C" w:rsidRDefault="0094045F" w:rsidP="0094045F">
      <w:pPr>
        <w:rPr>
          <w:rFonts w:eastAsia="SimSun"/>
          <w:lang w:val="fr-FR"/>
        </w:rPr>
      </w:pPr>
      <w:r w:rsidRPr="0073112C">
        <w:rPr>
          <w:lang w:val="fr-FR"/>
        </w:rPr>
        <w:t>Genève, 6-10 novembre 2023</w:t>
      </w:r>
    </w:p>
    <w:p w14:paraId="5F89D13F" w14:textId="77777777" w:rsidR="0094045F" w:rsidRPr="0073112C" w:rsidRDefault="0094045F" w:rsidP="0094045F">
      <w:pPr>
        <w:rPr>
          <w:lang w:val="fr-FR"/>
        </w:rPr>
      </w:pPr>
      <w:r w:rsidRPr="0073112C">
        <w:rPr>
          <w:lang w:val="fr-FR"/>
        </w:rPr>
        <w:t>Point 5 b) de l</w:t>
      </w:r>
      <w:r>
        <w:rPr>
          <w:lang w:val="fr-FR"/>
        </w:rPr>
        <w:t>’</w:t>
      </w:r>
      <w:r w:rsidRPr="0073112C">
        <w:rPr>
          <w:lang w:val="fr-FR"/>
        </w:rPr>
        <w:t>ordre du jour provisoire</w:t>
      </w:r>
    </w:p>
    <w:p w14:paraId="452D4FB4" w14:textId="77777777" w:rsidR="0094045F" w:rsidRPr="0073112C" w:rsidRDefault="0094045F" w:rsidP="0094045F">
      <w:pPr>
        <w:rPr>
          <w:b/>
          <w:bCs/>
          <w:lang w:val="fr-FR"/>
        </w:rPr>
      </w:pPr>
      <w:r w:rsidRPr="0073112C">
        <w:rPr>
          <w:b/>
          <w:bCs/>
          <w:lang w:val="fr-FR"/>
        </w:rPr>
        <w:t>Propositions d</w:t>
      </w:r>
      <w:r>
        <w:rPr>
          <w:b/>
          <w:bCs/>
          <w:lang w:val="fr-FR"/>
        </w:rPr>
        <w:t>’</w:t>
      </w:r>
      <w:r w:rsidRPr="0073112C">
        <w:rPr>
          <w:b/>
          <w:bCs/>
          <w:lang w:val="fr-FR"/>
        </w:rPr>
        <w:t>amendements aux annexes A et B de l</w:t>
      </w:r>
      <w:r>
        <w:rPr>
          <w:b/>
          <w:bCs/>
          <w:lang w:val="fr-FR"/>
        </w:rPr>
        <w:t>’</w:t>
      </w:r>
      <w:r w:rsidRPr="0073112C">
        <w:rPr>
          <w:b/>
          <w:bCs/>
          <w:lang w:val="fr-FR"/>
        </w:rPr>
        <w:t xml:space="preserve">ADR : </w:t>
      </w:r>
      <w:r>
        <w:rPr>
          <w:b/>
          <w:bCs/>
          <w:lang w:val="fr-FR"/>
        </w:rPr>
        <w:br/>
        <w:t>P</w:t>
      </w:r>
      <w:r w:rsidRPr="0073112C">
        <w:rPr>
          <w:b/>
          <w:bCs/>
          <w:lang w:val="fr-FR"/>
        </w:rPr>
        <w:t>ropositions diverses</w:t>
      </w:r>
    </w:p>
    <w:p w14:paraId="765782DB" w14:textId="535E4736" w:rsidR="0094045F" w:rsidRPr="0073112C" w:rsidRDefault="0094045F" w:rsidP="00446042">
      <w:pPr>
        <w:pStyle w:val="HChG"/>
        <w:rPr>
          <w:lang w:val="fr-FR"/>
        </w:rPr>
      </w:pPr>
      <w:r w:rsidRPr="0073112C">
        <w:rPr>
          <w:lang w:val="fr-FR"/>
        </w:rPr>
        <w:tab/>
      </w:r>
      <w:r w:rsidRPr="0073112C">
        <w:rPr>
          <w:lang w:val="fr-FR"/>
        </w:rPr>
        <w:tab/>
        <w:t>Documents de transport</w:t>
      </w:r>
      <w:r w:rsidR="005148CE">
        <w:rPr>
          <w:lang w:val="fr-FR"/>
        </w:rPr>
        <w:t> </w:t>
      </w:r>
      <w:r w:rsidRPr="0073112C">
        <w:rPr>
          <w:lang w:val="fr-FR"/>
        </w:rPr>
        <w:t>: projet d</w:t>
      </w:r>
      <w:r>
        <w:rPr>
          <w:lang w:val="fr-FR"/>
        </w:rPr>
        <w:t>’</w:t>
      </w:r>
      <w:r w:rsidRPr="0073112C">
        <w:rPr>
          <w:lang w:val="fr-FR"/>
        </w:rPr>
        <w:t xml:space="preserve">amendement au 5.4.0.1 </w:t>
      </w:r>
      <w:r w:rsidR="00446042">
        <w:rPr>
          <w:lang w:val="fr-FR"/>
        </w:rPr>
        <w:br/>
      </w:r>
      <w:r w:rsidRPr="0073112C">
        <w:rPr>
          <w:lang w:val="fr-FR"/>
        </w:rPr>
        <w:t>de l</w:t>
      </w:r>
      <w:r>
        <w:rPr>
          <w:lang w:val="fr-FR"/>
        </w:rPr>
        <w:t>’</w:t>
      </w:r>
      <w:r w:rsidRPr="0073112C">
        <w:rPr>
          <w:lang w:val="fr-FR"/>
        </w:rPr>
        <w:t>ADR, adopté à la 113</w:t>
      </w:r>
      <w:r w:rsidRPr="0073112C">
        <w:rPr>
          <w:vertAlign w:val="superscript"/>
          <w:lang w:val="fr-FR"/>
        </w:rPr>
        <w:t>e</w:t>
      </w:r>
      <w:r w:rsidR="005148CE">
        <w:rPr>
          <w:lang w:val="fr-FR"/>
        </w:rPr>
        <w:t> </w:t>
      </w:r>
      <w:r w:rsidRPr="0073112C">
        <w:rPr>
          <w:lang w:val="fr-FR"/>
        </w:rPr>
        <w:t>session</w:t>
      </w:r>
    </w:p>
    <w:p w14:paraId="1643FCEE" w14:textId="2E723650" w:rsidR="0094045F" w:rsidRDefault="0094045F" w:rsidP="00446042">
      <w:pPr>
        <w:pStyle w:val="H1G"/>
        <w:rPr>
          <w:b w:val="0"/>
          <w:bCs/>
          <w:sz w:val="20"/>
          <w:lang w:val="fr-FR"/>
        </w:rPr>
      </w:pPr>
      <w:r w:rsidRPr="0073112C">
        <w:rPr>
          <w:lang w:val="fr-FR"/>
        </w:rPr>
        <w:tab/>
      </w:r>
      <w:r w:rsidRPr="0073112C">
        <w:rPr>
          <w:lang w:val="fr-FR"/>
        </w:rPr>
        <w:tab/>
        <w:t>Communication de l</w:t>
      </w:r>
      <w:r>
        <w:rPr>
          <w:lang w:val="fr-FR"/>
        </w:rPr>
        <w:t>’</w:t>
      </w:r>
      <w:r w:rsidRPr="0073112C">
        <w:rPr>
          <w:lang w:val="fr-FR"/>
        </w:rPr>
        <w:t>Union internationale des transports routiers (IRU)</w:t>
      </w:r>
      <w:r w:rsidRPr="00446042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8"/>
      </w:tblGrid>
      <w:tr w:rsidR="00446042" w14:paraId="595C6992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4DB5FA9E" w14:textId="77777777" w:rsidR="00446042" w:rsidRDefault="00446042">
            <w:pPr>
              <w:spacing w:before="240" w:after="120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Résumé</w:t>
            </w:r>
          </w:p>
        </w:tc>
      </w:tr>
      <w:tr w:rsidR="00446042" w14:paraId="5AB1D2EE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494AEEA4" w14:textId="1DD9E7B4" w:rsidR="00446042" w:rsidRDefault="00446042" w:rsidP="00460577">
            <w:pPr>
              <w:pStyle w:val="SingleTxtG"/>
              <w:ind w:left="3686" w:hanging="2552"/>
            </w:pPr>
            <w:r w:rsidRPr="0073112C">
              <w:rPr>
                <w:b/>
                <w:bCs/>
                <w:lang w:val="fr-FR"/>
              </w:rPr>
              <w:t>Résumé analytique :</w:t>
            </w:r>
            <w:r w:rsidRPr="0073112C">
              <w:rPr>
                <w:lang w:val="fr-FR"/>
              </w:rPr>
              <w:t xml:space="preserve"> </w:t>
            </w:r>
            <w:r w:rsidRPr="0073112C">
              <w:rPr>
                <w:lang w:val="fr-FR"/>
              </w:rPr>
              <w:tab/>
              <w:t>Question relative à la mise à jour des prescriptions concernant les documents de transport.</w:t>
            </w:r>
          </w:p>
        </w:tc>
      </w:tr>
      <w:tr w:rsidR="00460577" w14:paraId="15DFA9F3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7E120F3E" w14:textId="1A834D73" w:rsidR="00460577" w:rsidRPr="0073112C" w:rsidRDefault="00460577" w:rsidP="00460577">
            <w:pPr>
              <w:pStyle w:val="SingleTxtG"/>
              <w:ind w:left="3686" w:hanging="2552"/>
              <w:rPr>
                <w:b/>
                <w:bCs/>
                <w:lang w:val="fr-FR"/>
              </w:rPr>
            </w:pPr>
            <w:r w:rsidRPr="0073112C">
              <w:rPr>
                <w:b/>
                <w:bCs/>
                <w:lang w:val="fr-FR"/>
              </w:rPr>
              <w:t>Mesure à prendre :</w:t>
            </w:r>
            <w:r w:rsidRPr="0073112C">
              <w:rPr>
                <w:lang w:val="fr-FR"/>
              </w:rPr>
              <w:t xml:space="preserve"> </w:t>
            </w:r>
            <w:r w:rsidRPr="0073112C">
              <w:rPr>
                <w:lang w:val="fr-FR"/>
              </w:rPr>
              <w:tab/>
              <w:t xml:space="preserve">Deux options sont proposées </w:t>
            </w:r>
            <w:r>
              <w:rPr>
                <w:lang w:val="fr-FR"/>
              </w:rPr>
              <w:t xml:space="preserve">concernant la modification </w:t>
            </w:r>
            <w:r w:rsidRPr="0073112C">
              <w:rPr>
                <w:lang w:val="fr-FR"/>
              </w:rPr>
              <w:t>du</w:t>
            </w:r>
            <w:r>
              <w:rPr>
                <w:lang w:val="fr-FR"/>
              </w:rPr>
              <w:t> </w:t>
            </w:r>
            <w:r w:rsidRPr="0073112C">
              <w:rPr>
                <w:lang w:val="fr-FR"/>
              </w:rPr>
              <w:t>5.4.0.1.</w:t>
            </w:r>
          </w:p>
        </w:tc>
      </w:tr>
      <w:tr w:rsidR="00460577" w14:paraId="57DA0AC8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49038BCE" w14:textId="77777777" w:rsidR="00460577" w:rsidRPr="0073112C" w:rsidRDefault="00460577" w:rsidP="00460577">
            <w:pPr>
              <w:pStyle w:val="SingleTxtG"/>
              <w:ind w:left="3686" w:hanging="2552"/>
              <w:rPr>
                <w:lang w:val="fr-FR"/>
              </w:rPr>
            </w:pPr>
            <w:r w:rsidRPr="0073112C">
              <w:rPr>
                <w:b/>
                <w:bCs/>
                <w:lang w:val="fr-FR"/>
              </w:rPr>
              <w:t>Documents de référence :</w:t>
            </w:r>
            <w:r w:rsidRPr="0073112C">
              <w:rPr>
                <w:lang w:val="fr-FR"/>
              </w:rPr>
              <w:t xml:space="preserve"> </w:t>
            </w:r>
            <w:r w:rsidRPr="0073112C">
              <w:rPr>
                <w:lang w:val="fr-FR"/>
              </w:rPr>
              <w:tab/>
              <w:t>Documents informels INF.36 et INF.43 de la session d</w:t>
            </w:r>
            <w:r>
              <w:rPr>
                <w:lang w:val="fr-FR"/>
              </w:rPr>
              <w:t>u</w:t>
            </w:r>
            <w:r w:rsidRPr="0073112C">
              <w:rPr>
                <w:lang w:val="fr-FR"/>
              </w:rPr>
              <w:t xml:space="preserve"> printemps 2023 de la Réunion commune</w:t>
            </w:r>
            <w:r>
              <w:rPr>
                <w:lang w:val="fr-FR"/>
              </w:rPr>
              <w:t> ;</w:t>
            </w:r>
          </w:p>
          <w:p w14:paraId="1236B568" w14:textId="456AF4B4" w:rsidR="00460577" w:rsidRPr="0073112C" w:rsidRDefault="00460577" w:rsidP="00460577">
            <w:pPr>
              <w:pStyle w:val="SingleTxtG"/>
              <w:ind w:left="3686"/>
              <w:rPr>
                <w:b/>
                <w:bCs/>
                <w:lang w:val="fr-FR"/>
              </w:rPr>
            </w:pPr>
            <w:r w:rsidRPr="0073112C">
              <w:rPr>
                <w:lang w:val="fr-FR"/>
              </w:rPr>
              <w:t>Rapport du Groupe de travail sur sa 113</w:t>
            </w:r>
            <w:r w:rsidRPr="0073112C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> </w:t>
            </w:r>
            <w:r w:rsidRPr="0073112C">
              <w:rPr>
                <w:lang w:val="fr-FR"/>
              </w:rPr>
              <w:t>session (ECE/TRANS/WP.15/262)</w:t>
            </w:r>
            <w:r>
              <w:rPr>
                <w:lang w:val="fr-FR"/>
              </w:rPr>
              <w:t>.</w:t>
            </w:r>
          </w:p>
        </w:tc>
      </w:tr>
      <w:tr w:rsidR="00446042" w14:paraId="5FB81AF0" w14:textId="77777777">
        <w:trPr>
          <w:jc w:val="center"/>
        </w:trPr>
        <w:tc>
          <w:tcPr>
            <w:tcW w:w="9637" w:type="dxa"/>
            <w:shd w:val="clear" w:color="auto" w:fill="auto"/>
          </w:tcPr>
          <w:p w14:paraId="72F5EDFE" w14:textId="77777777" w:rsidR="00446042" w:rsidRDefault="00446042"/>
        </w:tc>
      </w:tr>
    </w:tbl>
    <w:p w14:paraId="6E9A6DDB" w14:textId="35755FBF" w:rsidR="00446042" w:rsidRDefault="00446042" w:rsidP="00446042">
      <w:pPr>
        <w:rPr>
          <w:lang w:val="fr-FR"/>
        </w:rPr>
      </w:pPr>
    </w:p>
    <w:p w14:paraId="094DC661" w14:textId="77777777" w:rsidR="0094045F" w:rsidRPr="0073112C" w:rsidRDefault="0094045F" w:rsidP="0094045F">
      <w:pPr>
        <w:rPr>
          <w:lang w:val="fr-FR"/>
        </w:rPr>
      </w:pPr>
      <w:r w:rsidRPr="0073112C">
        <w:rPr>
          <w:lang w:val="fr-FR"/>
        </w:rPr>
        <w:br w:type="page"/>
      </w:r>
    </w:p>
    <w:p w14:paraId="07C027A5" w14:textId="77777777" w:rsidR="0094045F" w:rsidRPr="0073112C" w:rsidRDefault="0094045F" w:rsidP="00523D1F">
      <w:pPr>
        <w:pStyle w:val="HChG"/>
        <w:rPr>
          <w:rFonts w:eastAsia="Calibri"/>
          <w:lang w:val="fr-FR"/>
        </w:rPr>
      </w:pPr>
      <w:r w:rsidRPr="0073112C">
        <w:rPr>
          <w:lang w:val="fr-FR"/>
        </w:rPr>
        <w:lastRenderedPageBreak/>
        <w:tab/>
      </w:r>
      <w:r w:rsidRPr="0073112C">
        <w:rPr>
          <w:lang w:val="fr-FR"/>
        </w:rPr>
        <w:tab/>
        <w:t>Introduction</w:t>
      </w:r>
    </w:p>
    <w:p w14:paraId="71BDA574" w14:textId="7AA48FD4" w:rsidR="0094045F" w:rsidRPr="0073112C" w:rsidRDefault="0094045F" w:rsidP="00523D1F">
      <w:pPr>
        <w:pStyle w:val="SingleTxtG"/>
        <w:rPr>
          <w:lang w:val="fr-FR"/>
        </w:rPr>
      </w:pPr>
      <w:r w:rsidRPr="0073112C">
        <w:rPr>
          <w:lang w:val="fr-FR"/>
        </w:rPr>
        <w:t>1.</w:t>
      </w:r>
      <w:r w:rsidRPr="0073112C">
        <w:rPr>
          <w:lang w:val="fr-FR"/>
        </w:rPr>
        <w:tab/>
        <w:t xml:space="preserve">À sa session de mars 2023, la Réunion commune avait adopté </w:t>
      </w:r>
      <w:r>
        <w:rPr>
          <w:lang w:val="fr-FR"/>
        </w:rPr>
        <w:t>le</w:t>
      </w:r>
      <w:r w:rsidRPr="0073112C">
        <w:rPr>
          <w:lang w:val="fr-FR"/>
        </w:rPr>
        <w:t xml:space="preserve"> projet d</w:t>
      </w:r>
      <w:r>
        <w:rPr>
          <w:lang w:val="fr-FR"/>
        </w:rPr>
        <w:t>’</w:t>
      </w:r>
      <w:r w:rsidRPr="0073112C">
        <w:rPr>
          <w:lang w:val="fr-FR"/>
        </w:rPr>
        <w:t>amendement ci</w:t>
      </w:r>
      <w:r w:rsidR="001B7C6E">
        <w:rPr>
          <w:lang w:val="fr-FR"/>
        </w:rPr>
        <w:noBreakHyphen/>
      </w:r>
      <w:r w:rsidRPr="0073112C">
        <w:rPr>
          <w:lang w:val="fr-FR"/>
        </w:rPr>
        <w:t>après à la sous-section 5.4.0.1, qui a ensuite été adopté par le Groupe de travail à sa 113</w:t>
      </w:r>
      <w:r w:rsidRPr="0073112C">
        <w:rPr>
          <w:vertAlign w:val="superscript"/>
          <w:lang w:val="fr-FR"/>
        </w:rPr>
        <w:t>e</w:t>
      </w:r>
      <w:r w:rsidR="001B7C6E">
        <w:rPr>
          <w:lang w:val="fr-FR"/>
        </w:rPr>
        <w:t> </w:t>
      </w:r>
      <w:r w:rsidRPr="0073112C">
        <w:rPr>
          <w:lang w:val="fr-FR"/>
        </w:rPr>
        <w:t>session :</w:t>
      </w:r>
    </w:p>
    <w:p w14:paraId="13813C0B" w14:textId="77777777" w:rsidR="0094045F" w:rsidRPr="0073112C" w:rsidRDefault="0094045F" w:rsidP="0094045F">
      <w:pPr>
        <w:pStyle w:val="SingleTxtG"/>
        <w:ind w:left="2835" w:hanging="1134"/>
        <w:rPr>
          <w:lang w:val="fr-FR"/>
        </w:rPr>
      </w:pPr>
      <w:r w:rsidRPr="0073112C">
        <w:rPr>
          <w:lang w:val="fr-FR"/>
        </w:rPr>
        <w:t>5.4.0.1</w:t>
      </w:r>
      <w:r w:rsidRPr="0073112C">
        <w:rPr>
          <w:lang w:val="fr-FR"/>
        </w:rPr>
        <w:tab/>
      </w:r>
      <w:r w:rsidRPr="0073112C">
        <w:rPr>
          <w:lang w:val="fr-FR"/>
        </w:rPr>
        <w:tab/>
        <w:t>Après la première phrase, insérer la nouvelle deuxième phrase suivante :</w:t>
      </w:r>
    </w:p>
    <w:p w14:paraId="5FE930DC" w14:textId="77777777" w:rsidR="0094045F" w:rsidRPr="0073112C" w:rsidRDefault="0094045F" w:rsidP="0094045F">
      <w:pPr>
        <w:pStyle w:val="SingleTxtG"/>
        <w:ind w:left="1701"/>
        <w:rPr>
          <w:lang w:val="fr-FR"/>
        </w:rPr>
      </w:pPr>
      <w:r w:rsidRPr="0073112C">
        <w:rPr>
          <w:lang w:val="fr-FR"/>
        </w:rPr>
        <w:t>« Les informations concernant les marchandises dangereuses transportées, prescrites dans le présent chapitre, doivent être disponibles pendant le transport de manière à ce que les marchandises par véhicule et le véhicule les transportant puissent être identifiés dans la documentation.</w:t>
      </w:r>
      <w:r>
        <w:rPr>
          <w:lang w:val="fr-FR"/>
        </w:rPr>
        <w:t> »</w:t>
      </w:r>
      <w:r w:rsidRPr="0073112C">
        <w:rPr>
          <w:lang w:val="fr-FR"/>
        </w:rPr>
        <w:t>.</w:t>
      </w:r>
    </w:p>
    <w:p w14:paraId="100450F9" w14:textId="77777777" w:rsidR="0094045F" w:rsidRPr="0073112C" w:rsidRDefault="0094045F" w:rsidP="00523D1F">
      <w:pPr>
        <w:pStyle w:val="SingleTxtG"/>
        <w:keepNext/>
        <w:rPr>
          <w:lang w:val="fr-FR"/>
        </w:rPr>
      </w:pPr>
      <w:r w:rsidRPr="0073112C">
        <w:rPr>
          <w:lang w:val="fr-FR"/>
        </w:rPr>
        <w:t>2.</w:t>
      </w:r>
      <w:r w:rsidRPr="0073112C">
        <w:rPr>
          <w:lang w:val="fr-FR"/>
        </w:rPr>
        <w:tab/>
        <w:t xml:space="preserve">Cet amendement </w:t>
      </w:r>
      <w:r>
        <w:rPr>
          <w:lang w:val="fr-FR"/>
        </w:rPr>
        <w:t>a</w:t>
      </w:r>
      <w:r w:rsidRPr="0073112C">
        <w:rPr>
          <w:lang w:val="fr-FR"/>
        </w:rPr>
        <w:t xml:space="preserve"> les conséquences suivantes :</w:t>
      </w:r>
    </w:p>
    <w:p w14:paraId="10A32D43" w14:textId="77777777" w:rsidR="0094045F" w:rsidRPr="0073112C" w:rsidRDefault="0094045F" w:rsidP="0094045F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lang w:val="fr-FR"/>
        </w:rPr>
      </w:pPr>
      <w:r w:rsidRPr="0073112C">
        <w:rPr>
          <w:lang w:val="fr-FR"/>
        </w:rPr>
        <w:t>•</w:t>
      </w:r>
      <w:r w:rsidRPr="0073112C">
        <w:rPr>
          <w:lang w:val="fr-FR"/>
        </w:rPr>
        <w:tab/>
        <w:t>Chaque unité de transport (véhicule à moteur et remorque, tous deux chargés de marchandises dangereuses) doit être accompagnée de deux documents de transport distincts ;</w:t>
      </w:r>
    </w:p>
    <w:p w14:paraId="5F0C1DC8" w14:textId="77777777" w:rsidR="0094045F" w:rsidRPr="0073112C" w:rsidRDefault="0094045F" w:rsidP="0094045F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rFonts w:eastAsia="Calibri"/>
          <w:lang w:val="fr-FR"/>
        </w:rPr>
      </w:pPr>
      <w:r w:rsidRPr="0073112C">
        <w:rPr>
          <w:rFonts w:eastAsia="Calibri"/>
          <w:lang w:val="fr-FR"/>
        </w:rPr>
        <w:t>•</w:t>
      </w:r>
      <w:r w:rsidRPr="0073112C">
        <w:rPr>
          <w:rFonts w:eastAsia="Calibri"/>
          <w:lang w:val="fr-FR"/>
        </w:rPr>
        <w:tab/>
      </w:r>
      <w:r w:rsidRPr="0073112C">
        <w:rPr>
          <w:lang w:val="fr-FR"/>
        </w:rPr>
        <w:t>Les numéros d</w:t>
      </w:r>
      <w:r>
        <w:rPr>
          <w:lang w:val="fr-FR"/>
        </w:rPr>
        <w:t>’</w:t>
      </w:r>
      <w:r w:rsidRPr="0073112C">
        <w:rPr>
          <w:lang w:val="fr-FR"/>
        </w:rPr>
        <w:t>immatriculation du véhicule à moteur transportant des marchandises dangereuses et de la remorque ou l</w:t>
      </w:r>
      <w:r>
        <w:rPr>
          <w:lang w:val="fr-FR"/>
        </w:rPr>
        <w:t>’</w:t>
      </w:r>
      <w:r w:rsidRPr="0073112C">
        <w:rPr>
          <w:lang w:val="fr-FR"/>
        </w:rPr>
        <w:t>identification de la caisse mobile doivent être indiqués dans chaque document de transport.</w:t>
      </w:r>
    </w:p>
    <w:p w14:paraId="6EDF7591" w14:textId="77777777" w:rsidR="0094045F" w:rsidRPr="0073112C" w:rsidRDefault="0094045F" w:rsidP="00523D1F">
      <w:pPr>
        <w:pStyle w:val="HChG"/>
        <w:rPr>
          <w:rFonts w:eastAsia="Calibri"/>
          <w:kern w:val="2"/>
          <w:szCs w:val="22"/>
          <w:lang w:val="fr-FR"/>
          <w14:ligatures w14:val="standardContextual"/>
        </w:rPr>
      </w:pPr>
      <w:r w:rsidRPr="0073112C">
        <w:rPr>
          <w:lang w:val="fr-FR"/>
        </w:rPr>
        <w:tab/>
      </w:r>
      <w:r w:rsidRPr="0073112C">
        <w:rPr>
          <w:lang w:val="fr-FR"/>
        </w:rPr>
        <w:tab/>
        <w:t>Contexte</w:t>
      </w:r>
    </w:p>
    <w:p w14:paraId="0DAE3BCE" w14:textId="17AEE17E" w:rsidR="0094045F" w:rsidRPr="0073112C" w:rsidRDefault="0094045F" w:rsidP="00523D1F">
      <w:pPr>
        <w:pStyle w:val="SingleTxtG"/>
        <w:rPr>
          <w:lang w:val="fr-FR"/>
        </w:rPr>
      </w:pPr>
      <w:r w:rsidRPr="0073112C">
        <w:rPr>
          <w:lang w:val="fr-FR"/>
        </w:rPr>
        <w:t>3.</w:t>
      </w:r>
      <w:r w:rsidRPr="0073112C">
        <w:rPr>
          <w:lang w:val="fr-FR"/>
        </w:rPr>
        <w:tab/>
        <w:t>Ce projet d</w:t>
      </w:r>
      <w:r>
        <w:rPr>
          <w:lang w:val="fr-FR"/>
        </w:rPr>
        <w:t>’</w:t>
      </w:r>
      <w:r w:rsidRPr="0073112C">
        <w:rPr>
          <w:lang w:val="fr-FR"/>
        </w:rPr>
        <w:t>amendement est fondé sur la proposition</w:t>
      </w:r>
      <w:r w:rsidRPr="00B22B7C">
        <w:rPr>
          <w:rStyle w:val="Appelnotedebasdep"/>
        </w:rPr>
        <w:footnoteReference w:id="3"/>
      </w:r>
      <w:r w:rsidRPr="0073112C">
        <w:rPr>
          <w:lang w:val="fr-FR"/>
        </w:rPr>
        <w:t xml:space="preserve"> précédemment soumise par la France, qui contient le même ajout au point 5.4.0.2 avec la justification suivante</w:t>
      </w:r>
      <w:r w:rsidR="00523D1F">
        <w:rPr>
          <w:lang w:val="fr-FR"/>
        </w:rPr>
        <w:t xml:space="preserve"> : </w:t>
      </w:r>
      <w:r>
        <w:rPr>
          <w:lang w:val="fr-FR"/>
        </w:rPr>
        <w:t>e</w:t>
      </w:r>
      <w:r w:rsidRPr="0073112C">
        <w:rPr>
          <w:lang w:val="fr-FR"/>
        </w:rPr>
        <w:t>n cas d</w:t>
      </w:r>
      <w:r>
        <w:rPr>
          <w:lang w:val="fr-FR"/>
        </w:rPr>
        <w:t>’</w:t>
      </w:r>
      <w:r w:rsidRPr="0073112C">
        <w:rPr>
          <w:lang w:val="fr-FR"/>
        </w:rPr>
        <w:t xml:space="preserve">utilisation de documents sur papier, </w:t>
      </w:r>
      <w:r>
        <w:rPr>
          <w:lang w:val="fr-FR"/>
        </w:rPr>
        <w:t>le respect de cette prescription</w:t>
      </w:r>
      <w:r w:rsidRPr="0073112C">
        <w:rPr>
          <w:lang w:val="fr-FR"/>
        </w:rPr>
        <w:t xml:space="preserve"> est automatiquement assuré par la présence des documents à bord et il n</w:t>
      </w:r>
      <w:r>
        <w:rPr>
          <w:lang w:val="fr-FR"/>
        </w:rPr>
        <w:t>’</w:t>
      </w:r>
      <w:r w:rsidRPr="0073112C">
        <w:rPr>
          <w:lang w:val="fr-FR"/>
        </w:rPr>
        <w:t>est pas nécessaire de le préciser au chapitre</w:t>
      </w:r>
      <w:r w:rsidR="001B7C6E">
        <w:rPr>
          <w:lang w:val="fr-FR"/>
        </w:rPr>
        <w:t> </w:t>
      </w:r>
      <w:r w:rsidRPr="0073112C">
        <w:rPr>
          <w:lang w:val="fr-FR"/>
        </w:rPr>
        <w:t>5.4, dans lequel sont définies les règles relatives à la documentation. Lorsque l</w:t>
      </w:r>
      <w:r>
        <w:rPr>
          <w:lang w:val="fr-FR"/>
        </w:rPr>
        <w:t>’</w:t>
      </w:r>
      <w:r w:rsidRPr="0073112C">
        <w:rPr>
          <w:lang w:val="fr-FR"/>
        </w:rPr>
        <w:t xml:space="preserve">on utilise des méthodes dématérialisées pour transmettre des informations relatives au transport, </w:t>
      </w:r>
      <w:r>
        <w:rPr>
          <w:lang w:val="fr-FR"/>
        </w:rPr>
        <w:t>aucun document physique ne garantit le respect de la prescription</w:t>
      </w:r>
      <w:r w:rsidRPr="0073112C">
        <w:rPr>
          <w:lang w:val="fr-FR"/>
        </w:rPr>
        <w:t>. Il convient donc d</w:t>
      </w:r>
      <w:r>
        <w:rPr>
          <w:lang w:val="fr-FR"/>
        </w:rPr>
        <w:t>’apporter une précision claire</w:t>
      </w:r>
      <w:r w:rsidRPr="0073112C">
        <w:rPr>
          <w:lang w:val="fr-FR"/>
        </w:rPr>
        <w:t xml:space="preserve"> dans </w:t>
      </w:r>
      <w:r>
        <w:rPr>
          <w:lang w:val="fr-FR"/>
        </w:rPr>
        <w:t>la réglementation</w:t>
      </w:r>
      <w:r w:rsidRPr="0073112C">
        <w:rPr>
          <w:lang w:val="fr-FR"/>
        </w:rPr>
        <w:t>, surtout à l</w:t>
      </w:r>
      <w:r>
        <w:rPr>
          <w:lang w:val="fr-FR"/>
        </w:rPr>
        <w:t>’</w:t>
      </w:r>
      <w:r w:rsidRPr="0073112C">
        <w:rPr>
          <w:lang w:val="fr-FR"/>
        </w:rPr>
        <w:t xml:space="preserve">heure où des systèmes dématérialisés sont mis au point pour le transport en général, y compris celui des marchandises dangereuses, par des développeurs qui ne sont pas des experts en matière de marchandises dangereuses. </w:t>
      </w:r>
      <w:r>
        <w:rPr>
          <w:lang w:val="fr-FR"/>
        </w:rPr>
        <w:t>Cette</w:t>
      </w:r>
      <w:r w:rsidRPr="0073112C">
        <w:rPr>
          <w:lang w:val="fr-FR"/>
        </w:rPr>
        <w:t xml:space="preserve"> amélioration fondamentale</w:t>
      </w:r>
      <w:r>
        <w:rPr>
          <w:lang w:val="fr-FR"/>
        </w:rPr>
        <w:t>,</w:t>
      </w:r>
      <w:r w:rsidRPr="0073112C">
        <w:rPr>
          <w:lang w:val="fr-FR"/>
        </w:rPr>
        <w:t xml:space="preserve"> rendue possible par l</w:t>
      </w:r>
      <w:r>
        <w:rPr>
          <w:lang w:val="fr-FR"/>
        </w:rPr>
        <w:t>’</w:t>
      </w:r>
      <w:r w:rsidRPr="0073112C">
        <w:rPr>
          <w:lang w:val="fr-FR"/>
        </w:rPr>
        <w:t>échange de données informatisé</w:t>
      </w:r>
      <w:r>
        <w:rPr>
          <w:lang w:val="fr-FR"/>
        </w:rPr>
        <w:t>,</w:t>
      </w:r>
      <w:r w:rsidRPr="0073112C">
        <w:rPr>
          <w:lang w:val="fr-FR"/>
        </w:rPr>
        <w:t xml:space="preserve"> e</w:t>
      </w:r>
      <w:r>
        <w:rPr>
          <w:lang w:val="fr-FR"/>
        </w:rPr>
        <w:t>s</w:t>
      </w:r>
      <w:r w:rsidRPr="0073112C">
        <w:rPr>
          <w:lang w:val="fr-FR"/>
        </w:rPr>
        <w:t>t très importante pour la sécurité dans les situations d</w:t>
      </w:r>
      <w:r>
        <w:rPr>
          <w:lang w:val="fr-FR"/>
        </w:rPr>
        <w:t>’</w:t>
      </w:r>
      <w:r w:rsidRPr="0073112C">
        <w:rPr>
          <w:lang w:val="fr-FR"/>
        </w:rPr>
        <w:t xml:space="preserve">urgence </w:t>
      </w:r>
      <w:r>
        <w:rPr>
          <w:lang w:val="fr-FR"/>
        </w:rPr>
        <w:t>nécessitant que</w:t>
      </w:r>
      <w:r w:rsidRPr="0073112C">
        <w:rPr>
          <w:lang w:val="fr-FR"/>
        </w:rPr>
        <w:t xml:space="preserve"> les intervenants </w:t>
      </w:r>
      <w:r>
        <w:rPr>
          <w:lang w:val="fr-FR"/>
        </w:rPr>
        <w:t xml:space="preserve">reçoivent </w:t>
      </w:r>
      <w:r w:rsidRPr="0073112C">
        <w:rPr>
          <w:lang w:val="fr-FR"/>
        </w:rPr>
        <w:t>des informations à distance.</w:t>
      </w:r>
    </w:p>
    <w:p w14:paraId="703918B0" w14:textId="77777777" w:rsidR="0094045F" w:rsidRPr="0073112C" w:rsidRDefault="0094045F" w:rsidP="00523D1F">
      <w:pPr>
        <w:pStyle w:val="SingleTxtG"/>
        <w:rPr>
          <w:lang w:val="fr-FR"/>
        </w:rPr>
      </w:pPr>
      <w:r w:rsidRPr="0073112C">
        <w:rPr>
          <w:lang w:val="fr-FR"/>
        </w:rPr>
        <w:t>4.</w:t>
      </w:r>
      <w:r w:rsidRPr="0073112C">
        <w:rPr>
          <w:lang w:val="fr-FR"/>
        </w:rPr>
        <w:tab/>
        <w:t>Les modifications qu</w:t>
      </w:r>
      <w:r>
        <w:rPr>
          <w:lang w:val="fr-FR"/>
        </w:rPr>
        <w:t>’</w:t>
      </w:r>
      <w:r w:rsidRPr="0073112C">
        <w:rPr>
          <w:lang w:val="fr-FR"/>
        </w:rPr>
        <w:t xml:space="preserve">il </w:t>
      </w:r>
      <w:r>
        <w:rPr>
          <w:lang w:val="fr-FR"/>
        </w:rPr>
        <w:t>était</w:t>
      </w:r>
      <w:r w:rsidRPr="0073112C">
        <w:rPr>
          <w:lang w:val="fr-FR"/>
        </w:rPr>
        <w:t xml:space="preserve"> proposé d</w:t>
      </w:r>
      <w:r>
        <w:rPr>
          <w:lang w:val="fr-FR"/>
        </w:rPr>
        <w:t>’</w:t>
      </w:r>
      <w:r w:rsidRPr="0073112C">
        <w:rPr>
          <w:lang w:val="fr-FR"/>
        </w:rPr>
        <w:t>apporter au texte du 5.4.0.2 de l</w:t>
      </w:r>
      <w:r>
        <w:rPr>
          <w:lang w:val="fr-FR"/>
        </w:rPr>
        <w:t>’</w:t>
      </w:r>
      <w:r w:rsidRPr="0073112C">
        <w:rPr>
          <w:lang w:val="fr-FR"/>
        </w:rPr>
        <w:t xml:space="preserve">ADR sont compréhensibles et devaient permettre de garantir que </w:t>
      </w:r>
      <w:r>
        <w:rPr>
          <w:lang w:val="fr-FR"/>
        </w:rPr>
        <w:t>l</w:t>
      </w:r>
      <w:r w:rsidRPr="0073112C">
        <w:rPr>
          <w:lang w:val="fr-FR"/>
        </w:rPr>
        <w:t xml:space="preserve">es données </w:t>
      </w:r>
      <w:r w:rsidRPr="00521189">
        <w:rPr>
          <w:lang w:val="fr-FR"/>
        </w:rPr>
        <w:t>sur les marchandises dangereuses transmises par voie électronique</w:t>
      </w:r>
      <w:r>
        <w:rPr>
          <w:lang w:val="fr-FR"/>
        </w:rPr>
        <w:t xml:space="preserve"> puissent</w:t>
      </w:r>
      <w:r w:rsidRPr="0073112C">
        <w:rPr>
          <w:lang w:val="fr-FR"/>
        </w:rPr>
        <w:t xml:space="preserve"> être clairement attribuées au véhicule concerné.</w:t>
      </w:r>
    </w:p>
    <w:p w14:paraId="59750362" w14:textId="66766AF2" w:rsidR="0094045F" w:rsidRPr="0073112C" w:rsidRDefault="0094045F" w:rsidP="0094045F">
      <w:pPr>
        <w:pStyle w:val="SingleTxtG"/>
        <w:rPr>
          <w:lang w:val="fr-FR"/>
        </w:rPr>
      </w:pPr>
      <w:r w:rsidRPr="0073112C">
        <w:rPr>
          <w:lang w:val="fr-FR"/>
        </w:rPr>
        <w:t>5.</w:t>
      </w:r>
      <w:r w:rsidRPr="0073112C">
        <w:rPr>
          <w:lang w:val="fr-FR"/>
        </w:rPr>
        <w:tab/>
        <w:t>Toutefois, la proposition initiale a été révisée</w:t>
      </w:r>
      <w:r w:rsidRPr="00B22B7C">
        <w:rPr>
          <w:rStyle w:val="Appelnotedebasdep"/>
        </w:rPr>
        <w:footnoteReference w:id="4"/>
      </w:r>
      <w:r w:rsidRPr="0073112C">
        <w:rPr>
          <w:lang w:val="fr-FR"/>
        </w:rPr>
        <w:t>, ce qui a conduit à une modification du</w:t>
      </w:r>
      <w:r w:rsidR="00523D1F">
        <w:rPr>
          <w:lang w:val="fr-FR"/>
        </w:rPr>
        <w:t> </w:t>
      </w:r>
      <w:r w:rsidRPr="0073112C">
        <w:rPr>
          <w:lang w:val="fr-FR"/>
        </w:rPr>
        <w:t>5.4.0.1 (au lieu du 5.4.0.2 uniquement)</w:t>
      </w:r>
      <w:r>
        <w:rPr>
          <w:lang w:val="fr-FR"/>
        </w:rPr>
        <w:t>, visant l</w:t>
      </w:r>
      <w:r w:rsidRPr="0073112C">
        <w:rPr>
          <w:lang w:val="fr-FR"/>
        </w:rPr>
        <w:t>es documents sur papier.</w:t>
      </w:r>
    </w:p>
    <w:p w14:paraId="790FB2B8" w14:textId="77777777" w:rsidR="0094045F" w:rsidRPr="0073112C" w:rsidRDefault="0094045F" w:rsidP="00523D1F">
      <w:pPr>
        <w:pStyle w:val="SingleTxtG"/>
        <w:rPr>
          <w:lang w:val="fr-FR"/>
        </w:rPr>
      </w:pPr>
      <w:r w:rsidRPr="0073112C">
        <w:rPr>
          <w:lang w:val="fr-FR"/>
        </w:rPr>
        <w:t>6.</w:t>
      </w:r>
      <w:r w:rsidRPr="0073112C">
        <w:rPr>
          <w:lang w:val="fr-FR"/>
        </w:rPr>
        <w:tab/>
        <w:t>Le représentant de la Finlande a fait valoir que l</w:t>
      </w:r>
      <w:r>
        <w:rPr>
          <w:lang w:val="fr-FR"/>
        </w:rPr>
        <w:t>’</w:t>
      </w:r>
      <w:r w:rsidRPr="0073112C">
        <w:rPr>
          <w:lang w:val="fr-FR"/>
        </w:rPr>
        <w:t xml:space="preserve">amendement devait également concerner les </w:t>
      </w:r>
      <w:r>
        <w:rPr>
          <w:lang w:val="fr-FR"/>
        </w:rPr>
        <w:t>règles</w:t>
      </w:r>
      <w:r w:rsidRPr="0073112C">
        <w:rPr>
          <w:lang w:val="fr-FR"/>
        </w:rPr>
        <w:t xml:space="preserve"> relati</w:t>
      </w:r>
      <w:r>
        <w:rPr>
          <w:lang w:val="fr-FR"/>
        </w:rPr>
        <w:t>ve</w:t>
      </w:r>
      <w:r w:rsidRPr="0073112C">
        <w:rPr>
          <w:lang w:val="fr-FR"/>
        </w:rPr>
        <w:t xml:space="preserve">s aux documents sur papier. Pour justifier cette position, il a indiqué </w:t>
      </w:r>
      <w:r>
        <w:rPr>
          <w:lang w:val="fr-FR"/>
        </w:rPr>
        <w:t xml:space="preserve">que dans le cadre de certaines </w:t>
      </w:r>
      <w:r w:rsidRPr="0073112C">
        <w:rPr>
          <w:lang w:val="fr-FR"/>
        </w:rPr>
        <w:t>opérations de transport</w:t>
      </w:r>
      <w:r>
        <w:rPr>
          <w:lang w:val="fr-FR"/>
        </w:rPr>
        <w:t xml:space="preserve">, </w:t>
      </w:r>
      <w:r w:rsidRPr="0073112C">
        <w:rPr>
          <w:lang w:val="fr-FR"/>
        </w:rPr>
        <w:t>l</w:t>
      </w:r>
      <w:r>
        <w:rPr>
          <w:lang w:val="fr-FR"/>
        </w:rPr>
        <w:t>’</w:t>
      </w:r>
      <w:r w:rsidRPr="0073112C">
        <w:rPr>
          <w:lang w:val="fr-FR"/>
        </w:rPr>
        <w:t>expéditeur entendait transporter une quantité déterminée de marchandises dangereuses qu</w:t>
      </w:r>
      <w:r>
        <w:rPr>
          <w:lang w:val="fr-FR"/>
        </w:rPr>
        <w:t>’</w:t>
      </w:r>
      <w:r w:rsidRPr="0073112C">
        <w:rPr>
          <w:lang w:val="fr-FR"/>
        </w:rPr>
        <w:t>il était impossible d</w:t>
      </w:r>
      <w:r>
        <w:rPr>
          <w:lang w:val="fr-FR"/>
        </w:rPr>
        <w:t>’</w:t>
      </w:r>
      <w:r w:rsidRPr="0073112C">
        <w:rPr>
          <w:lang w:val="fr-FR"/>
        </w:rPr>
        <w:t xml:space="preserve">acheminer </w:t>
      </w:r>
      <w:r>
        <w:rPr>
          <w:lang w:val="fr-FR"/>
        </w:rPr>
        <w:t>dans</w:t>
      </w:r>
      <w:r w:rsidRPr="0073112C">
        <w:rPr>
          <w:lang w:val="fr-FR"/>
        </w:rPr>
        <w:t xml:space="preserve"> un seul véhicule</w:t>
      </w:r>
      <w:r>
        <w:rPr>
          <w:lang w:val="fr-FR"/>
        </w:rPr>
        <w:t xml:space="preserve"> et qui devaient donc</w:t>
      </w:r>
      <w:r w:rsidRPr="0073112C">
        <w:rPr>
          <w:lang w:val="fr-FR"/>
        </w:rPr>
        <w:t xml:space="preserve"> être réparties entre plusieurs véhicules. De son point de vue, le libellé de l</w:t>
      </w:r>
      <w:r>
        <w:rPr>
          <w:lang w:val="fr-FR"/>
        </w:rPr>
        <w:t>’</w:t>
      </w:r>
      <w:r w:rsidRPr="0073112C">
        <w:rPr>
          <w:lang w:val="fr-FR"/>
        </w:rPr>
        <w:t>édition 2023 de l</w:t>
      </w:r>
      <w:r>
        <w:rPr>
          <w:lang w:val="fr-FR"/>
        </w:rPr>
        <w:t>’</w:t>
      </w:r>
      <w:r w:rsidRPr="0073112C">
        <w:rPr>
          <w:lang w:val="fr-FR"/>
        </w:rPr>
        <w:t>ADR permet</w:t>
      </w:r>
      <w:r>
        <w:rPr>
          <w:lang w:val="fr-FR"/>
        </w:rPr>
        <w:t>tait</w:t>
      </w:r>
      <w:r w:rsidRPr="0073112C">
        <w:rPr>
          <w:lang w:val="fr-FR"/>
        </w:rPr>
        <w:t xml:space="preserve"> que ces véhicules aient à bord le même document de transport indiquant la quantité totale de marchandises dangereuses</w:t>
      </w:r>
      <w:r>
        <w:rPr>
          <w:lang w:val="fr-FR"/>
        </w:rPr>
        <w:t>, raison pour laquelle il fallait que c</w:t>
      </w:r>
      <w:r w:rsidRPr="0073112C">
        <w:rPr>
          <w:lang w:val="fr-FR"/>
        </w:rPr>
        <w:t>haque véhicule dispose d</w:t>
      </w:r>
      <w:r>
        <w:rPr>
          <w:lang w:val="fr-FR"/>
        </w:rPr>
        <w:t>’</w:t>
      </w:r>
      <w:r w:rsidRPr="0073112C">
        <w:rPr>
          <w:lang w:val="fr-FR"/>
        </w:rPr>
        <w:t>un document de transport distinct.</w:t>
      </w:r>
    </w:p>
    <w:p w14:paraId="6A48412A" w14:textId="77777777" w:rsidR="0094045F" w:rsidRPr="0073112C" w:rsidRDefault="0094045F" w:rsidP="003E6D3D">
      <w:pPr>
        <w:pStyle w:val="HChG"/>
        <w:rPr>
          <w:kern w:val="2"/>
          <w:szCs w:val="22"/>
          <w:lang w:val="fr-FR"/>
          <w14:ligatures w14:val="standardContextual"/>
        </w:rPr>
      </w:pPr>
      <w:r w:rsidRPr="0073112C">
        <w:rPr>
          <w:lang w:val="fr-FR"/>
        </w:rPr>
        <w:lastRenderedPageBreak/>
        <w:tab/>
      </w:r>
      <w:r w:rsidRPr="0073112C">
        <w:rPr>
          <w:lang w:val="fr-FR"/>
        </w:rPr>
        <w:tab/>
        <w:t>Proposition</w:t>
      </w:r>
    </w:p>
    <w:p w14:paraId="70F8E011" w14:textId="77777777" w:rsidR="0094045F" w:rsidRPr="0073112C" w:rsidRDefault="0094045F" w:rsidP="003E6D3D">
      <w:pPr>
        <w:pStyle w:val="SingleTxtG"/>
        <w:rPr>
          <w:lang w:val="fr-FR"/>
        </w:rPr>
      </w:pPr>
      <w:bookmarkStart w:id="0" w:name="_Hlk141103608"/>
      <w:r w:rsidRPr="0073112C">
        <w:rPr>
          <w:lang w:val="fr-FR"/>
        </w:rPr>
        <w:t>7.</w:t>
      </w:r>
      <w:r w:rsidRPr="0073112C">
        <w:rPr>
          <w:lang w:val="fr-FR"/>
        </w:rPr>
        <w:tab/>
        <w:t xml:space="preserve">Compte tenu des </w:t>
      </w:r>
      <w:r>
        <w:rPr>
          <w:lang w:val="fr-FR"/>
        </w:rPr>
        <w:t>lourdes conséquences</w:t>
      </w:r>
      <w:r w:rsidRPr="0073112C">
        <w:rPr>
          <w:lang w:val="fr-FR"/>
        </w:rPr>
        <w:t xml:space="preserve"> pratiques d</w:t>
      </w:r>
      <w:r>
        <w:rPr>
          <w:lang w:val="fr-FR"/>
        </w:rPr>
        <w:t xml:space="preserve">’un tel </w:t>
      </w:r>
      <w:r w:rsidRPr="0073112C">
        <w:rPr>
          <w:lang w:val="fr-FR"/>
        </w:rPr>
        <w:t>amendement, l</w:t>
      </w:r>
      <w:r>
        <w:rPr>
          <w:lang w:val="fr-FR"/>
        </w:rPr>
        <w:t>’</w:t>
      </w:r>
      <w:r w:rsidRPr="0073112C">
        <w:rPr>
          <w:lang w:val="fr-FR"/>
        </w:rPr>
        <w:t xml:space="preserve">Union internationale des transports routiers (IRU) estime urgent de réexaminer cette question </w:t>
      </w:r>
      <w:r>
        <w:rPr>
          <w:lang w:val="fr-FR"/>
        </w:rPr>
        <w:t>à</w:t>
      </w:r>
      <w:r w:rsidRPr="0073112C">
        <w:rPr>
          <w:lang w:val="fr-FR"/>
        </w:rPr>
        <w:t xml:space="preserve"> la prochaine </w:t>
      </w:r>
      <w:r>
        <w:rPr>
          <w:lang w:val="fr-FR"/>
        </w:rPr>
        <w:t xml:space="preserve">session de la </w:t>
      </w:r>
      <w:r w:rsidRPr="0073112C">
        <w:rPr>
          <w:lang w:val="fr-FR"/>
        </w:rPr>
        <w:t xml:space="preserve">Réunion commune, étant donné que la proposition initiale de la France ne </w:t>
      </w:r>
      <w:r>
        <w:rPr>
          <w:lang w:val="fr-FR"/>
        </w:rPr>
        <w:t>visait</w:t>
      </w:r>
      <w:r w:rsidRPr="0073112C">
        <w:rPr>
          <w:lang w:val="fr-FR"/>
        </w:rPr>
        <w:t xml:space="preserve"> que le</w:t>
      </w:r>
      <w:r>
        <w:rPr>
          <w:lang w:val="fr-FR"/>
        </w:rPr>
        <w:t>s</w:t>
      </w:r>
      <w:r w:rsidRPr="0073112C">
        <w:rPr>
          <w:lang w:val="fr-FR"/>
        </w:rPr>
        <w:t xml:space="preserve"> document</w:t>
      </w:r>
      <w:r>
        <w:rPr>
          <w:lang w:val="fr-FR"/>
        </w:rPr>
        <w:t>s</w:t>
      </w:r>
      <w:r w:rsidRPr="0073112C">
        <w:rPr>
          <w:lang w:val="fr-FR"/>
        </w:rPr>
        <w:t xml:space="preserve"> de transport électronique</w:t>
      </w:r>
      <w:r>
        <w:rPr>
          <w:lang w:val="fr-FR"/>
        </w:rPr>
        <w:t>s</w:t>
      </w:r>
      <w:r w:rsidRPr="0073112C">
        <w:rPr>
          <w:lang w:val="fr-FR"/>
        </w:rPr>
        <w:t xml:space="preserve">. Elle propose donc de retirer </w:t>
      </w:r>
      <w:r>
        <w:rPr>
          <w:lang w:val="fr-FR"/>
        </w:rPr>
        <w:t>l’</w:t>
      </w:r>
      <w:r w:rsidRPr="0073112C">
        <w:rPr>
          <w:lang w:val="fr-FR"/>
        </w:rPr>
        <w:t>amendement.</w:t>
      </w:r>
    </w:p>
    <w:p w14:paraId="16B8D707" w14:textId="77777777" w:rsidR="0094045F" w:rsidRPr="0073112C" w:rsidRDefault="0094045F" w:rsidP="003E6D3D">
      <w:pPr>
        <w:pStyle w:val="SingleTxtG"/>
        <w:keepNext/>
        <w:rPr>
          <w:lang w:val="fr-FR"/>
        </w:rPr>
      </w:pPr>
      <w:r w:rsidRPr="0073112C">
        <w:rPr>
          <w:lang w:val="fr-FR"/>
        </w:rPr>
        <w:t>8.</w:t>
      </w:r>
      <w:r w:rsidRPr="0073112C">
        <w:rPr>
          <w:lang w:val="fr-FR"/>
        </w:rPr>
        <w:tab/>
        <w:t>Les options suivantes pourraient être envisagées :</w:t>
      </w:r>
    </w:p>
    <w:bookmarkEnd w:id="0"/>
    <w:p w14:paraId="4C1DDBEB" w14:textId="59F2326D" w:rsidR="0094045F" w:rsidRPr="0073112C" w:rsidRDefault="0094045F" w:rsidP="0094045F">
      <w:pPr>
        <w:pStyle w:val="SingleTxtG"/>
        <w:ind w:left="1701"/>
        <w:rPr>
          <w:lang w:val="fr-FR"/>
        </w:rPr>
      </w:pPr>
      <w:r w:rsidRPr="00B22B7C">
        <w:rPr>
          <w:u w:val="single"/>
          <w:lang w:val="fr-FR"/>
        </w:rPr>
        <w:t>Option 1</w:t>
      </w:r>
      <w:r w:rsidR="00520538">
        <w:rPr>
          <w:lang w:val="fr-FR"/>
        </w:rPr>
        <w:t> </w:t>
      </w:r>
      <w:r w:rsidRPr="00520538">
        <w:rPr>
          <w:lang w:val="fr-FR"/>
        </w:rPr>
        <w:t>:</w:t>
      </w:r>
      <w:r w:rsidRPr="0073112C">
        <w:rPr>
          <w:lang w:val="fr-FR"/>
        </w:rPr>
        <w:t xml:space="preserve"> apporter la modification prévue pour la sous-section 5.4.0.1 à la sous</w:t>
      </w:r>
      <w:r w:rsidR="00520538">
        <w:rPr>
          <w:lang w:val="fr-FR"/>
        </w:rPr>
        <w:noBreakHyphen/>
      </w:r>
      <w:r w:rsidRPr="0073112C">
        <w:rPr>
          <w:lang w:val="fr-FR"/>
        </w:rPr>
        <w:t>section 5.4.0.2 (</w:t>
      </w:r>
      <w:r>
        <w:rPr>
          <w:lang w:val="fr-FR"/>
        </w:rPr>
        <w:t>ainsi que</w:t>
      </w:r>
      <w:r w:rsidRPr="0073112C">
        <w:rPr>
          <w:lang w:val="fr-FR"/>
        </w:rPr>
        <w:t xml:space="preserve"> </w:t>
      </w:r>
      <w:r>
        <w:rPr>
          <w:lang w:val="fr-FR"/>
        </w:rPr>
        <w:t xml:space="preserve">l’avait </w:t>
      </w:r>
      <w:r w:rsidRPr="0073112C">
        <w:rPr>
          <w:lang w:val="fr-FR"/>
        </w:rPr>
        <w:t>initialement proposé la France), comme suit</w:t>
      </w:r>
      <w:r w:rsidR="00186D71">
        <w:rPr>
          <w:lang w:val="fr-FR"/>
        </w:rPr>
        <w:t> </w:t>
      </w:r>
      <w:r w:rsidRPr="0073112C">
        <w:rPr>
          <w:lang w:val="fr-FR"/>
        </w:rPr>
        <w:t xml:space="preserve">: </w:t>
      </w:r>
    </w:p>
    <w:p w14:paraId="308A9EF0" w14:textId="77777777" w:rsidR="0094045F" w:rsidRPr="0073112C" w:rsidRDefault="0094045F" w:rsidP="00520538">
      <w:pPr>
        <w:pStyle w:val="SingleTxtG"/>
        <w:keepNext/>
        <w:ind w:left="1701"/>
        <w:rPr>
          <w:lang w:val="fr-FR"/>
        </w:rPr>
      </w:pPr>
      <w:r w:rsidRPr="0073112C">
        <w:rPr>
          <w:lang w:val="fr-FR"/>
        </w:rPr>
        <w:t>Après la première phrase, insérer la nouvelle deuxième phrase suivante :</w:t>
      </w:r>
    </w:p>
    <w:p w14:paraId="51002B7D" w14:textId="77777777" w:rsidR="0094045F" w:rsidRPr="0073112C" w:rsidRDefault="0094045F" w:rsidP="0094045F">
      <w:pPr>
        <w:pStyle w:val="SingleTxtG"/>
        <w:ind w:left="1701"/>
        <w:rPr>
          <w:lang w:val="fr-FR"/>
        </w:rPr>
      </w:pPr>
      <w:r w:rsidRPr="0073112C">
        <w:rPr>
          <w:lang w:val="fr-FR"/>
        </w:rPr>
        <w:t>[« Les informations concernant les marchandises dangereuses transportées, prescrites dans le présent chapitre, doivent être disponibles pendant le transport de manière à ce que les marchandises par wagon/véhicule/bateau et le wagon/véhicule/bateau les transportant puissent être identifiés dans la documentation</w:t>
      </w:r>
      <w:r>
        <w:rPr>
          <w:lang w:val="fr-FR"/>
        </w:rPr>
        <w:t>. ».</w:t>
      </w:r>
      <w:r w:rsidRPr="0073112C">
        <w:rPr>
          <w:lang w:val="fr-FR"/>
        </w:rPr>
        <w:t>]</w:t>
      </w:r>
    </w:p>
    <w:p w14:paraId="0E912D22" w14:textId="4D1E6FF6" w:rsidR="0094045F" w:rsidRPr="0073112C" w:rsidRDefault="0094045F" w:rsidP="0094045F">
      <w:pPr>
        <w:pStyle w:val="SingleTxtG"/>
        <w:ind w:left="1701"/>
        <w:rPr>
          <w:lang w:val="fr-FR"/>
        </w:rPr>
      </w:pPr>
      <w:r w:rsidRPr="00B22B7C">
        <w:rPr>
          <w:u w:val="single"/>
          <w:lang w:val="fr-FR"/>
        </w:rPr>
        <w:t>Option 2</w:t>
      </w:r>
      <w:r w:rsidR="00520538">
        <w:rPr>
          <w:u w:val="single"/>
          <w:lang w:val="fr-FR"/>
        </w:rPr>
        <w:t> </w:t>
      </w:r>
      <w:r w:rsidR="00520538">
        <w:rPr>
          <w:lang w:val="fr-FR"/>
        </w:rPr>
        <w:t>:</w:t>
      </w:r>
      <w:r w:rsidRPr="0073112C">
        <w:rPr>
          <w:lang w:val="fr-FR"/>
        </w:rPr>
        <w:t xml:space="preserve"> ajouter aux éditions 2025 du RID, de l</w:t>
      </w:r>
      <w:r>
        <w:rPr>
          <w:lang w:val="fr-FR"/>
        </w:rPr>
        <w:t>’</w:t>
      </w:r>
      <w:r w:rsidRPr="0073112C">
        <w:rPr>
          <w:lang w:val="fr-FR"/>
        </w:rPr>
        <w:t>ADR et de l</w:t>
      </w:r>
      <w:r>
        <w:rPr>
          <w:lang w:val="fr-FR"/>
        </w:rPr>
        <w:t>’</w:t>
      </w:r>
      <w:r w:rsidRPr="0073112C">
        <w:rPr>
          <w:lang w:val="fr-FR"/>
        </w:rPr>
        <w:t>ADN la nouvelle mesure transitoire 1.6.1.58, libellée comme suit</w:t>
      </w:r>
      <w:r w:rsidR="00520538">
        <w:rPr>
          <w:lang w:val="fr-FR"/>
        </w:rPr>
        <w:t> </w:t>
      </w:r>
      <w:r w:rsidRPr="0073112C">
        <w:rPr>
          <w:lang w:val="fr-FR"/>
        </w:rPr>
        <w:t xml:space="preserve">: </w:t>
      </w:r>
      <w:r>
        <w:rPr>
          <w:lang w:val="fr-FR"/>
        </w:rPr>
        <w:t>« </w:t>
      </w:r>
      <w:r w:rsidRPr="0073112C">
        <w:rPr>
          <w:lang w:val="fr-FR"/>
        </w:rPr>
        <w:t>Par dérogation à la deuxième phrase du 5.4.0.1 de l</w:t>
      </w:r>
      <w:r>
        <w:rPr>
          <w:lang w:val="fr-FR"/>
        </w:rPr>
        <w:t>’</w:t>
      </w:r>
      <w:r w:rsidRPr="0073112C">
        <w:rPr>
          <w:lang w:val="fr-FR"/>
        </w:rPr>
        <w:t>ADR/du RID/de l</w:t>
      </w:r>
      <w:r>
        <w:rPr>
          <w:lang w:val="fr-FR"/>
        </w:rPr>
        <w:t>’</w:t>
      </w:r>
      <w:r w:rsidRPr="0073112C">
        <w:rPr>
          <w:lang w:val="fr-FR"/>
        </w:rPr>
        <w:t>ADN, jusqu</w:t>
      </w:r>
      <w:r>
        <w:rPr>
          <w:lang w:val="fr-FR"/>
        </w:rPr>
        <w:t>’</w:t>
      </w:r>
      <w:r w:rsidRPr="0073112C">
        <w:rPr>
          <w:lang w:val="fr-FR"/>
        </w:rPr>
        <w:t xml:space="preserve">au 30 juin 2031, </w:t>
      </w:r>
      <w:r>
        <w:rPr>
          <w:lang w:val="fr-FR"/>
        </w:rPr>
        <w:t xml:space="preserve">il ne sera pas nécessaire que </w:t>
      </w:r>
      <w:r w:rsidRPr="0073112C">
        <w:rPr>
          <w:lang w:val="fr-FR"/>
        </w:rPr>
        <w:t xml:space="preserve">le wagon/véhicule/bateau de navigation intérieure transportant les marchandises dangereuses </w:t>
      </w:r>
      <w:r>
        <w:rPr>
          <w:lang w:val="fr-FR"/>
        </w:rPr>
        <w:t>soit</w:t>
      </w:r>
      <w:r w:rsidRPr="0073112C">
        <w:rPr>
          <w:lang w:val="fr-FR"/>
        </w:rPr>
        <w:t xml:space="preserve"> identifiable dans les documents visés au 5.4.1.</w:t>
      </w:r>
      <w:r>
        <w:rPr>
          <w:lang w:val="fr-FR"/>
        </w:rPr>
        <w:t> »</w:t>
      </w:r>
      <w:r w:rsidRPr="0073112C">
        <w:rPr>
          <w:lang w:val="fr-FR"/>
        </w:rPr>
        <w:t>.</w:t>
      </w:r>
    </w:p>
    <w:p w14:paraId="727D3934" w14:textId="77777777" w:rsidR="0094045F" w:rsidRPr="0073112C" w:rsidRDefault="0094045F" w:rsidP="00520538">
      <w:pPr>
        <w:pStyle w:val="HChG"/>
        <w:rPr>
          <w:lang w:val="fr-FR"/>
        </w:rPr>
      </w:pPr>
      <w:r w:rsidRPr="0073112C">
        <w:rPr>
          <w:lang w:val="fr-FR"/>
        </w:rPr>
        <w:tab/>
      </w:r>
      <w:r w:rsidRPr="0073112C">
        <w:rPr>
          <w:lang w:val="fr-FR"/>
        </w:rPr>
        <w:tab/>
        <w:t>Justification</w:t>
      </w:r>
    </w:p>
    <w:p w14:paraId="49088783" w14:textId="77777777" w:rsidR="0094045F" w:rsidRPr="0073112C" w:rsidRDefault="0094045F" w:rsidP="00520538">
      <w:pPr>
        <w:pStyle w:val="SingleTxtG"/>
        <w:rPr>
          <w:lang w:val="fr-FR"/>
        </w:rPr>
      </w:pPr>
      <w:r w:rsidRPr="0073112C">
        <w:rPr>
          <w:lang w:val="fr-FR"/>
        </w:rPr>
        <w:t>9.</w:t>
      </w:r>
      <w:r w:rsidRPr="0073112C">
        <w:rPr>
          <w:lang w:val="fr-FR"/>
        </w:rPr>
        <w:tab/>
        <w:t>L</w:t>
      </w:r>
      <w:r>
        <w:rPr>
          <w:lang w:val="fr-FR"/>
        </w:rPr>
        <w:t>e nouvel amendement</w:t>
      </w:r>
      <w:r w:rsidRPr="0073112C">
        <w:rPr>
          <w:lang w:val="fr-FR"/>
        </w:rPr>
        <w:t xml:space="preserve"> n</w:t>
      </w:r>
      <w:r>
        <w:rPr>
          <w:lang w:val="fr-FR"/>
        </w:rPr>
        <w:t>’</w:t>
      </w:r>
      <w:r w:rsidRPr="0073112C">
        <w:rPr>
          <w:lang w:val="fr-FR"/>
        </w:rPr>
        <w:t xml:space="preserve">a aucune incidence sur la sécurité </w:t>
      </w:r>
      <w:r>
        <w:rPr>
          <w:lang w:val="fr-FR"/>
        </w:rPr>
        <w:t>mais impose une lourde charge supplémentaire sur les plans pratique et administratif</w:t>
      </w:r>
      <w:r w:rsidRPr="0073112C">
        <w:rPr>
          <w:lang w:val="fr-FR"/>
        </w:rPr>
        <w:t xml:space="preserve">, et </w:t>
      </w:r>
      <w:r>
        <w:rPr>
          <w:lang w:val="fr-FR"/>
        </w:rPr>
        <w:t>l’IRU estime qu’aucun cas concret ne correspond à</w:t>
      </w:r>
      <w:r w:rsidRPr="0073112C">
        <w:rPr>
          <w:lang w:val="fr-FR"/>
        </w:rPr>
        <w:t xml:space="preserve"> la question soulevée par la Finlande.</w:t>
      </w:r>
    </w:p>
    <w:p w14:paraId="67437DBC" w14:textId="77777777" w:rsidR="0094045F" w:rsidRPr="0073112C" w:rsidRDefault="0094045F" w:rsidP="00520538">
      <w:pPr>
        <w:pStyle w:val="SingleTxtG"/>
        <w:rPr>
          <w:lang w:val="fr-FR"/>
        </w:rPr>
      </w:pPr>
      <w:r w:rsidRPr="0073112C">
        <w:rPr>
          <w:lang w:val="fr-FR"/>
        </w:rPr>
        <w:t>10.</w:t>
      </w:r>
      <w:r w:rsidRPr="0073112C">
        <w:rPr>
          <w:lang w:val="fr-FR"/>
        </w:rPr>
        <w:tab/>
      </w:r>
      <w:r>
        <w:rPr>
          <w:lang w:val="fr-FR"/>
        </w:rPr>
        <w:t>Une précision claire figure a</w:t>
      </w:r>
      <w:r w:rsidRPr="0073112C">
        <w:rPr>
          <w:lang w:val="fr-FR"/>
        </w:rPr>
        <w:t>u 8.1.2.1 a) de l</w:t>
      </w:r>
      <w:r>
        <w:rPr>
          <w:lang w:val="fr-FR"/>
        </w:rPr>
        <w:t>’</w:t>
      </w:r>
      <w:r w:rsidRPr="0073112C">
        <w:rPr>
          <w:lang w:val="fr-FR"/>
        </w:rPr>
        <w:t>ADR :</w:t>
      </w:r>
    </w:p>
    <w:p w14:paraId="233B8AA3" w14:textId="2F35AB43" w:rsidR="0094045F" w:rsidRPr="0073112C" w:rsidRDefault="0094045F" w:rsidP="0094045F">
      <w:pPr>
        <w:pStyle w:val="SingleTxtG"/>
        <w:ind w:left="1701"/>
        <w:rPr>
          <w:lang w:val="fr-FR"/>
        </w:rPr>
      </w:pPr>
      <w:r>
        <w:rPr>
          <w:lang w:val="fr-FR"/>
        </w:rPr>
        <w:t>« </w:t>
      </w:r>
      <w:r w:rsidRPr="0073112C">
        <w:rPr>
          <w:lang w:val="fr-FR"/>
        </w:rPr>
        <w:t>Outre les documents requis par d</w:t>
      </w:r>
      <w:r>
        <w:rPr>
          <w:lang w:val="fr-FR"/>
        </w:rPr>
        <w:t>’</w:t>
      </w:r>
      <w:r w:rsidRPr="0073112C">
        <w:rPr>
          <w:lang w:val="fr-FR"/>
        </w:rPr>
        <w:t>autres règlements, les documents suivants doivent se trouver à bord de l</w:t>
      </w:r>
      <w:r>
        <w:rPr>
          <w:lang w:val="fr-FR"/>
        </w:rPr>
        <w:t>’</w:t>
      </w:r>
      <w:r w:rsidRPr="0073112C">
        <w:rPr>
          <w:lang w:val="fr-FR"/>
        </w:rPr>
        <w:t>unité de transport</w:t>
      </w:r>
      <w:r w:rsidRPr="00B22B7C">
        <w:rPr>
          <w:rStyle w:val="Appelnotedebasdep"/>
        </w:rPr>
        <w:footnoteReference w:id="5"/>
      </w:r>
      <w:r w:rsidR="00B56761">
        <w:rPr>
          <w:lang w:val="fr-FR"/>
        </w:rPr>
        <w:t> </w:t>
      </w:r>
      <w:r w:rsidRPr="0073112C">
        <w:rPr>
          <w:lang w:val="fr-FR"/>
        </w:rPr>
        <w:t xml:space="preserve">: a) </w:t>
      </w:r>
      <w:r>
        <w:rPr>
          <w:lang w:val="fr-FR"/>
        </w:rPr>
        <w:t>l</w:t>
      </w:r>
      <w:r w:rsidRPr="0073112C">
        <w:rPr>
          <w:lang w:val="fr-FR"/>
        </w:rPr>
        <w:t>es documents de transport prévus au</w:t>
      </w:r>
      <w:r w:rsidR="00520538">
        <w:rPr>
          <w:lang w:val="fr-FR"/>
        </w:rPr>
        <w:t> </w:t>
      </w:r>
      <w:r w:rsidRPr="0073112C">
        <w:rPr>
          <w:lang w:val="fr-FR"/>
        </w:rPr>
        <w:t xml:space="preserve">5.4.1 couvrant toutes les marchandises dangereuses transportées... ». </w:t>
      </w:r>
    </w:p>
    <w:p w14:paraId="3E4253ED" w14:textId="42794054" w:rsidR="0094045F" w:rsidRPr="0073112C" w:rsidRDefault="0094045F" w:rsidP="00520538">
      <w:pPr>
        <w:pStyle w:val="SingleTxtG"/>
        <w:rPr>
          <w:lang w:val="fr-FR"/>
        </w:rPr>
      </w:pPr>
      <w:r w:rsidRPr="0073112C">
        <w:rPr>
          <w:lang w:val="fr-FR"/>
        </w:rPr>
        <w:t>11.</w:t>
      </w:r>
      <w:r w:rsidRPr="0073112C">
        <w:rPr>
          <w:lang w:val="fr-FR"/>
        </w:rPr>
        <w:tab/>
        <w:t xml:space="preserve">Les </w:t>
      </w:r>
      <w:r>
        <w:rPr>
          <w:lang w:val="fr-FR"/>
        </w:rPr>
        <w:t>scénarios</w:t>
      </w:r>
      <w:r w:rsidRPr="0073112C">
        <w:rPr>
          <w:lang w:val="fr-FR"/>
        </w:rPr>
        <w:t xml:space="preserve"> dans lesquels des documents de transport distincts doivent être émis sont déjà </w:t>
      </w:r>
      <w:r>
        <w:rPr>
          <w:lang w:val="fr-FR"/>
        </w:rPr>
        <w:t>encadrés de façon exhaustive par le</w:t>
      </w:r>
      <w:r w:rsidRPr="0073112C">
        <w:rPr>
          <w:lang w:val="fr-FR"/>
        </w:rPr>
        <w:t xml:space="preserve"> 5.4.1.4.2. </w:t>
      </w:r>
      <w:r>
        <w:rPr>
          <w:lang w:val="fr-FR"/>
        </w:rPr>
        <w:t>La réglementation</w:t>
      </w:r>
      <w:r w:rsidRPr="0073112C">
        <w:rPr>
          <w:lang w:val="fr-FR"/>
        </w:rPr>
        <w:t xml:space="preserve"> en vigueur</w:t>
      </w:r>
      <w:r>
        <w:rPr>
          <w:lang w:val="fr-FR"/>
        </w:rPr>
        <w:t xml:space="preserve"> ne permet donc pas qu’</w:t>
      </w:r>
      <w:r w:rsidRPr="0073112C">
        <w:rPr>
          <w:lang w:val="fr-FR"/>
        </w:rPr>
        <w:t xml:space="preserve">une unité de transport </w:t>
      </w:r>
      <w:r>
        <w:rPr>
          <w:lang w:val="fr-FR"/>
        </w:rPr>
        <w:t xml:space="preserve">soit accompagnée </w:t>
      </w:r>
      <w:r w:rsidRPr="0073112C">
        <w:rPr>
          <w:lang w:val="fr-FR"/>
        </w:rPr>
        <w:t>d</w:t>
      </w:r>
      <w:r>
        <w:rPr>
          <w:lang w:val="fr-FR"/>
        </w:rPr>
        <w:t>’</w:t>
      </w:r>
      <w:r w:rsidRPr="0073112C">
        <w:rPr>
          <w:lang w:val="fr-FR"/>
        </w:rPr>
        <w:t xml:space="preserve">un document de transport indiquant une quantité de marchandises dangereuses supérieure à celle qui est effectivement transportée par ladite unité de transport. Si une unité de transport </w:t>
      </w:r>
      <w:r w:rsidR="00B56761">
        <w:rPr>
          <w:lang w:val="fr-FR"/>
        </w:rPr>
        <w:t>−</w:t>
      </w:r>
      <w:r w:rsidRPr="0073112C">
        <w:rPr>
          <w:lang w:val="fr-FR"/>
        </w:rPr>
        <w:t xml:space="preserve"> composée d</w:t>
      </w:r>
      <w:r>
        <w:rPr>
          <w:lang w:val="fr-FR"/>
        </w:rPr>
        <w:t>’</w:t>
      </w:r>
      <w:r w:rsidRPr="0073112C">
        <w:rPr>
          <w:lang w:val="fr-FR"/>
        </w:rPr>
        <w:t>un véhicule à moteur et d</w:t>
      </w:r>
      <w:r>
        <w:rPr>
          <w:lang w:val="fr-FR"/>
        </w:rPr>
        <w:t>’</w:t>
      </w:r>
      <w:r w:rsidRPr="0073112C">
        <w:rPr>
          <w:lang w:val="fr-FR"/>
        </w:rPr>
        <w:t xml:space="preserve">une remorque </w:t>
      </w:r>
      <w:r w:rsidR="00B56761">
        <w:rPr>
          <w:lang w:val="fr-FR"/>
        </w:rPr>
        <w:t>−</w:t>
      </w:r>
      <w:r w:rsidRPr="0073112C">
        <w:rPr>
          <w:lang w:val="fr-FR"/>
        </w:rPr>
        <w:t xml:space="preserve"> est </w:t>
      </w:r>
      <w:r>
        <w:rPr>
          <w:lang w:val="fr-FR"/>
        </w:rPr>
        <w:t>scindée</w:t>
      </w:r>
      <w:r w:rsidRPr="0073112C">
        <w:rPr>
          <w:lang w:val="fr-FR"/>
        </w:rPr>
        <w:t>, la définition de deux unités de transport différentes s</w:t>
      </w:r>
      <w:r>
        <w:rPr>
          <w:lang w:val="fr-FR"/>
        </w:rPr>
        <w:t>’</w:t>
      </w:r>
      <w:r w:rsidRPr="0073112C">
        <w:rPr>
          <w:lang w:val="fr-FR"/>
        </w:rPr>
        <w:t xml:space="preserve">applique, ce qui fait que deux documents de transport distincts sont de toute façon nécessaires. </w:t>
      </w:r>
    </w:p>
    <w:p w14:paraId="119A743B" w14:textId="77777777" w:rsidR="0094045F" w:rsidRPr="0073112C" w:rsidRDefault="0094045F" w:rsidP="00520538">
      <w:pPr>
        <w:pStyle w:val="SingleTxtG"/>
        <w:rPr>
          <w:lang w:val="fr-FR"/>
        </w:rPr>
      </w:pPr>
      <w:r w:rsidRPr="0073112C">
        <w:rPr>
          <w:lang w:val="fr-FR"/>
        </w:rPr>
        <w:t>12.</w:t>
      </w:r>
      <w:r w:rsidRPr="0073112C">
        <w:rPr>
          <w:lang w:val="fr-FR"/>
        </w:rPr>
        <w:tab/>
        <w:t>L</w:t>
      </w:r>
      <w:r>
        <w:rPr>
          <w:lang w:val="fr-FR"/>
        </w:rPr>
        <w:t>’</w:t>
      </w:r>
      <w:r w:rsidRPr="0073112C">
        <w:rPr>
          <w:lang w:val="fr-FR"/>
        </w:rPr>
        <w:t xml:space="preserve">IRU ne trouve </w:t>
      </w:r>
      <w:r>
        <w:rPr>
          <w:lang w:val="fr-FR"/>
        </w:rPr>
        <w:t xml:space="preserve">pas utile de </w:t>
      </w:r>
      <w:r w:rsidRPr="0073112C">
        <w:rPr>
          <w:lang w:val="fr-FR"/>
        </w:rPr>
        <w:t xml:space="preserve">réglementer davantage un cas </w:t>
      </w:r>
      <w:r>
        <w:rPr>
          <w:lang w:val="fr-FR"/>
        </w:rPr>
        <w:t>« </w:t>
      </w:r>
      <w:r w:rsidRPr="0073112C">
        <w:rPr>
          <w:lang w:val="fr-FR"/>
        </w:rPr>
        <w:t>théorique</w:t>
      </w:r>
      <w:r>
        <w:rPr>
          <w:lang w:val="fr-FR"/>
        </w:rPr>
        <w:t> »</w:t>
      </w:r>
      <w:r w:rsidRPr="0073112C">
        <w:rPr>
          <w:lang w:val="fr-FR"/>
        </w:rPr>
        <w:t>.</w:t>
      </w:r>
    </w:p>
    <w:p w14:paraId="0A6122F5" w14:textId="019EF814" w:rsidR="00520538" w:rsidRPr="0073112C" w:rsidRDefault="0094045F" w:rsidP="00520538">
      <w:pPr>
        <w:pStyle w:val="SingleTxtG"/>
        <w:keepNext/>
        <w:rPr>
          <w:lang w:val="fr-FR"/>
        </w:rPr>
      </w:pPr>
      <w:r w:rsidRPr="0073112C">
        <w:rPr>
          <w:lang w:val="fr-FR"/>
        </w:rPr>
        <w:t>13.</w:t>
      </w:r>
      <w:r w:rsidRPr="0073112C">
        <w:rPr>
          <w:lang w:val="fr-FR"/>
        </w:rPr>
        <w:tab/>
      </w:r>
      <w:r>
        <w:rPr>
          <w:lang w:val="fr-FR"/>
        </w:rPr>
        <w:t>S’il devenait obligatoire</w:t>
      </w:r>
      <w:r w:rsidRPr="0073112C">
        <w:rPr>
          <w:lang w:val="fr-FR"/>
        </w:rPr>
        <w:t xml:space="preserve"> d</w:t>
      </w:r>
      <w:r>
        <w:rPr>
          <w:lang w:val="fr-FR"/>
        </w:rPr>
        <w:t>’</w:t>
      </w:r>
      <w:r w:rsidRPr="0073112C">
        <w:rPr>
          <w:lang w:val="fr-FR"/>
        </w:rPr>
        <w:t>indiquer le numéro d</w:t>
      </w:r>
      <w:r>
        <w:rPr>
          <w:lang w:val="fr-FR"/>
        </w:rPr>
        <w:t>’</w:t>
      </w:r>
      <w:r w:rsidRPr="0073112C">
        <w:rPr>
          <w:lang w:val="fr-FR"/>
        </w:rPr>
        <w:t>immatriculation du véhicule ou les numéros d</w:t>
      </w:r>
      <w:r>
        <w:rPr>
          <w:lang w:val="fr-FR"/>
        </w:rPr>
        <w:t>’</w:t>
      </w:r>
      <w:r w:rsidRPr="0073112C">
        <w:rPr>
          <w:lang w:val="fr-FR"/>
        </w:rPr>
        <w:t>immatriculation du véhicule à moteur et de la remorque sur un document de transport sur papier</w:t>
      </w:r>
      <w:r w:rsidR="00520538">
        <w:rPr>
          <w:lang w:val="fr-FR"/>
        </w:rPr>
        <w:t> :</w:t>
      </w:r>
    </w:p>
    <w:p w14:paraId="0C05DFB2" w14:textId="6CA809EC" w:rsidR="0094045F" w:rsidRPr="0073112C" w:rsidRDefault="0094045F" w:rsidP="0094045F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lang w:val="fr-FR"/>
        </w:rPr>
      </w:pPr>
      <w:r w:rsidRPr="0073112C">
        <w:rPr>
          <w:lang w:val="fr-FR"/>
        </w:rPr>
        <w:t>•</w:t>
      </w:r>
      <w:r w:rsidRPr="0073112C">
        <w:rPr>
          <w:lang w:val="fr-FR"/>
        </w:rPr>
        <w:tab/>
      </w:r>
      <w:r>
        <w:rPr>
          <w:lang w:val="fr-FR"/>
        </w:rPr>
        <w:t>La</w:t>
      </w:r>
      <w:r w:rsidRPr="0073112C">
        <w:rPr>
          <w:lang w:val="fr-FR"/>
        </w:rPr>
        <w:t xml:space="preserve"> charge administrative</w:t>
      </w:r>
      <w:r>
        <w:rPr>
          <w:lang w:val="fr-FR"/>
        </w:rPr>
        <w:t xml:space="preserve"> associée serait</w:t>
      </w:r>
      <w:r w:rsidRPr="0073112C">
        <w:rPr>
          <w:lang w:val="fr-FR"/>
        </w:rPr>
        <w:t xml:space="preserve"> importante, car il est possible de passer d</w:t>
      </w:r>
      <w:r>
        <w:rPr>
          <w:lang w:val="fr-FR"/>
        </w:rPr>
        <w:t>’</w:t>
      </w:r>
      <w:r w:rsidRPr="0073112C">
        <w:rPr>
          <w:lang w:val="fr-FR"/>
        </w:rPr>
        <w:t>un</w:t>
      </w:r>
      <w:r>
        <w:rPr>
          <w:lang w:val="fr-FR"/>
        </w:rPr>
        <w:t xml:space="preserve"> ensemble</w:t>
      </w:r>
      <w:r w:rsidRPr="0073112C">
        <w:rPr>
          <w:lang w:val="fr-FR"/>
        </w:rPr>
        <w:t xml:space="preserve"> de véhicules à un autre et, dans le cas d</w:t>
      </w:r>
      <w:r>
        <w:rPr>
          <w:lang w:val="fr-FR"/>
        </w:rPr>
        <w:t>’</w:t>
      </w:r>
      <w:r w:rsidRPr="0073112C">
        <w:rPr>
          <w:lang w:val="fr-FR"/>
        </w:rPr>
        <w:t xml:space="preserve">un véhicule à moteur auquel est attelée une remorque, il importe peu, </w:t>
      </w:r>
      <w:r>
        <w:rPr>
          <w:lang w:val="fr-FR"/>
        </w:rPr>
        <w:t xml:space="preserve">sur le plan de la </w:t>
      </w:r>
      <w:r w:rsidRPr="0073112C">
        <w:rPr>
          <w:lang w:val="fr-FR"/>
        </w:rPr>
        <w:t>documentation, de savoir quelles marchandises dangereuses se trouvent à bord de quel véhicule. Ces informations n</w:t>
      </w:r>
      <w:r>
        <w:rPr>
          <w:lang w:val="fr-FR"/>
        </w:rPr>
        <w:t>’</w:t>
      </w:r>
      <w:r w:rsidRPr="0073112C">
        <w:rPr>
          <w:lang w:val="fr-FR"/>
        </w:rPr>
        <w:t>apparaissent souvent qu</w:t>
      </w:r>
      <w:r>
        <w:rPr>
          <w:lang w:val="fr-FR"/>
        </w:rPr>
        <w:t>’</w:t>
      </w:r>
      <w:r w:rsidRPr="0073112C">
        <w:rPr>
          <w:lang w:val="fr-FR"/>
        </w:rPr>
        <w:t xml:space="preserve">au cours du chargement et non dans le cadre de </w:t>
      </w:r>
      <w:r>
        <w:rPr>
          <w:lang w:val="fr-FR"/>
        </w:rPr>
        <w:t>la gestion des véhicules</w:t>
      </w:r>
      <w:r w:rsidR="00520538">
        <w:rPr>
          <w:lang w:val="fr-FR"/>
        </w:rPr>
        <w:t> </w:t>
      </w:r>
      <w:r w:rsidRPr="0073112C">
        <w:rPr>
          <w:lang w:val="fr-FR"/>
        </w:rPr>
        <w:t>;</w:t>
      </w:r>
    </w:p>
    <w:p w14:paraId="58637738" w14:textId="345180EE" w:rsidR="0094045F" w:rsidRPr="0073112C" w:rsidRDefault="0094045F" w:rsidP="0094045F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  <w:rPr>
          <w:lang w:val="fr-FR"/>
        </w:rPr>
      </w:pPr>
      <w:r w:rsidRPr="0073112C">
        <w:rPr>
          <w:lang w:val="fr-FR"/>
        </w:rPr>
        <w:lastRenderedPageBreak/>
        <w:t>•</w:t>
      </w:r>
      <w:r w:rsidRPr="0073112C">
        <w:rPr>
          <w:lang w:val="fr-FR"/>
        </w:rPr>
        <w:tab/>
      </w:r>
      <w:r>
        <w:rPr>
          <w:lang w:val="fr-FR"/>
        </w:rPr>
        <w:t>L</w:t>
      </w:r>
      <w:r w:rsidRPr="0073112C">
        <w:rPr>
          <w:lang w:val="fr-FR"/>
        </w:rPr>
        <w:t xml:space="preserve">es coûts </w:t>
      </w:r>
      <w:r>
        <w:rPr>
          <w:lang w:val="fr-FR"/>
        </w:rPr>
        <w:t xml:space="preserve">seraient </w:t>
      </w:r>
      <w:r w:rsidRPr="0073112C">
        <w:rPr>
          <w:lang w:val="fr-FR"/>
        </w:rPr>
        <w:t xml:space="preserve">élevés et </w:t>
      </w:r>
      <w:r>
        <w:rPr>
          <w:lang w:val="fr-FR"/>
        </w:rPr>
        <w:t>l</w:t>
      </w:r>
      <w:r w:rsidRPr="0073112C">
        <w:rPr>
          <w:lang w:val="fr-FR"/>
        </w:rPr>
        <w:t>es efforts importants sur le plan informatique, l</w:t>
      </w:r>
      <w:r>
        <w:rPr>
          <w:lang w:val="fr-FR"/>
        </w:rPr>
        <w:t>’</w:t>
      </w:r>
      <w:r w:rsidRPr="0073112C">
        <w:rPr>
          <w:lang w:val="fr-FR"/>
        </w:rPr>
        <w:t>établissement des documents sur papier se faisant au moyen de systèmes de gestion des transports et ne concernant actuellement que l</w:t>
      </w:r>
      <w:r>
        <w:rPr>
          <w:lang w:val="fr-FR"/>
        </w:rPr>
        <w:t>’</w:t>
      </w:r>
      <w:r w:rsidRPr="0073112C">
        <w:rPr>
          <w:lang w:val="fr-FR"/>
        </w:rPr>
        <w:t>unité de transport</w:t>
      </w:r>
      <w:r>
        <w:rPr>
          <w:lang w:val="fr-FR"/>
        </w:rPr>
        <w:t> </w:t>
      </w:r>
      <w:r w:rsidRPr="0073112C">
        <w:rPr>
          <w:lang w:val="fr-FR"/>
        </w:rPr>
        <w:t xml:space="preserve">; </w:t>
      </w:r>
    </w:p>
    <w:p w14:paraId="63754AC0" w14:textId="5CFC281B" w:rsidR="00F9573C" w:rsidRPr="0094045F" w:rsidRDefault="0094045F" w:rsidP="0094045F">
      <w:pPr>
        <w:pStyle w:val="Bullet1G"/>
      </w:pPr>
      <w:r w:rsidRPr="0073112C">
        <w:rPr>
          <w:lang w:val="fr-FR"/>
        </w:rPr>
        <w:t xml:space="preserve">Aucun avantage supplémentaire </w:t>
      </w:r>
      <w:r>
        <w:rPr>
          <w:lang w:val="fr-FR"/>
        </w:rPr>
        <w:t xml:space="preserve">ne serait procuré </w:t>
      </w:r>
      <w:r w:rsidRPr="0073112C">
        <w:rPr>
          <w:lang w:val="fr-FR"/>
        </w:rPr>
        <w:t>en matière de sécurité.</w:t>
      </w:r>
    </w:p>
    <w:p w14:paraId="509B81A7" w14:textId="701BA304" w:rsidR="0094045F" w:rsidRPr="0094045F" w:rsidRDefault="0094045F" w:rsidP="0094045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4045F" w:rsidRPr="0094045F" w:rsidSect="00EF06B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73C7" w14:textId="77777777" w:rsidR="00EC3202" w:rsidRDefault="00EC3202" w:rsidP="00F95C08">
      <w:pPr>
        <w:spacing w:line="240" w:lineRule="auto"/>
      </w:pPr>
    </w:p>
  </w:endnote>
  <w:endnote w:type="continuationSeparator" w:id="0">
    <w:p w14:paraId="2DF96EC1" w14:textId="77777777" w:rsidR="00EC3202" w:rsidRPr="00AC3823" w:rsidRDefault="00EC3202" w:rsidP="00AC3823">
      <w:pPr>
        <w:pStyle w:val="Pieddepage"/>
      </w:pPr>
    </w:p>
  </w:endnote>
  <w:endnote w:type="continuationNotice" w:id="1">
    <w:p w14:paraId="7AE910FE" w14:textId="77777777" w:rsidR="00EC3202" w:rsidRDefault="00EC32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7D8B" w14:textId="12512C40" w:rsidR="00EF06BC" w:rsidRPr="00EF06BC" w:rsidRDefault="00EF06BC" w:rsidP="00EF06BC">
    <w:pPr>
      <w:pStyle w:val="Pieddepage"/>
      <w:tabs>
        <w:tab w:val="right" w:pos="9638"/>
      </w:tabs>
    </w:pPr>
    <w:r w:rsidRPr="00EF06BC">
      <w:rPr>
        <w:b/>
        <w:sz w:val="18"/>
      </w:rPr>
      <w:fldChar w:fldCharType="begin"/>
    </w:r>
    <w:r w:rsidRPr="00EF06BC">
      <w:rPr>
        <w:b/>
        <w:sz w:val="18"/>
      </w:rPr>
      <w:instrText xml:space="preserve"> PAGE  \* MERGEFORMAT </w:instrText>
    </w:r>
    <w:r w:rsidRPr="00EF06BC">
      <w:rPr>
        <w:b/>
        <w:sz w:val="18"/>
      </w:rPr>
      <w:fldChar w:fldCharType="separate"/>
    </w:r>
    <w:r w:rsidRPr="00EF06BC">
      <w:rPr>
        <w:b/>
        <w:noProof/>
        <w:sz w:val="18"/>
      </w:rPr>
      <w:t>2</w:t>
    </w:r>
    <w:r w:rsidRPr="00EF06BC">
      <w:rPr>
        <w:b/>
        <w:sz w:val="18"/>
      </w:rPr>
      <w:fldChar w:fldCharType="end"/>
    </w:r>
    <w:r>
      <w:rPr>
        <w:b/>
        <w:sz w:val="18"/>
      </w:rPr>
      <w:tab/>
    </w:r>
    <w:r>
      <w:t>GE.23-15623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23DC" w14:textId="581CAAEF" w:rsidR="00EF06BC" w:rsidRPr="00EF06BC" w:rsidRDefault="00EF06BC" w:rsidP="00EF06BC">
    <w:pPr>
      <w:pStyle w:val="Pieddepage"/>
      <w:tabs>
        <w:tab w:val="right" w:pos="9638"/>
      </w:tabs>
      <w:rPr>
        <w:b/>
        <w:sz w:val="18"/>
      </w:rPr>
    </w:pPr>
    <w:r>
      <w:t>GE.23-15623</w:t>
    </w:r>
    <w:r>
      <w:tab/>
    </w:r>
    <w:r w:rsidRPr="00EF06BC">
      <w:rPr>
        <w:b/>
        <w:sz w:val="18"/>
      </w:rPr>
      <w:fldChar w:fldCharType="begin"/>
    </w:r>
    <w:r w:rsidRPr="00EF06BC">
      <w:rPr>
        <w:b/>
        <w:sz w:val="18"/>
      </w:rPr>
      <w:instrText xml:space="preserve"> PAGE  \* MERGEFORMAT </w:instrText>
    </w:r>
    <w:r w:rsidRPr="00EF06BC">
      <w:rPr>
        <w:b/>
        <w:sz w:val="18"/>
      </w:rPr>
      <w:fldChar w:fldCharType="separate"/>
    </w:r>
    <w:r w:rsidRPr="00EF06BC">
      <w:rPr>
        <w:b/>
        <w:noProof/>
        <w:sz w:val="18"/>
      </w:rPr>
      <w:t>3</w:t>
    </w:r>
    <w:r w:rsidRPr="00EF06B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C5B1" w14:textId="3AD85EAC" w:rsidR="007F20FA" w:rsidRPr="00EF06BC" w:rsidRDefault="00EF06BC" w:rsidP="00EF06BC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F0DBD3A" wp14:editId="53E24FDD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23-15623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69D01CF" wp14:editId="0FBCE01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45F">
      <w:rPr>
        <w:sz w:val="20"/>
      </w:rPr>
      <w:t xml:space="preserve">    050923    110923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94C3" w14:textId="77777777" w:rsidR="00EC3202" w:rsidRPr="00AC3823" w:rsidRDefault="00EC320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12572F" w14:textId="77777777" w:rsidR="00EC3202" w:rsidRPr="00AC3823" w:rsidRDefault="00EC320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BCB2D2A" w14:textId="77777777" w:rsidR="00EC3202" w:rsidRPr="00AC3823" w:rsidRDefault="00EC3202">
      <w:pPr>
        <w:spacing w:line="240" w:lineRule="auto"/>
        <w:rPr>
          <w:sz w:val="2"/>
          <w:szCs w:val="2"/>
        </w:rPr>
      </w:pPr>
    </w:p>
  </w:footnote>
  <w:footnote w:id="2">
    <w:p w14:paraId="39A1D2D7" w14:textId="77777777" w:rsidR="0094045F" w:rsidRPr="009023BE" w:rsidRDefault="0094045F" w:rsidP="0094045F">
      <w:pPr>
        <w:pStyle w:val="Notedebasdepage"/>
        <w:rPr>
          <w:lang w:val="fr-SN"/>
        </w:rPr>
      </w:pPr>
      <w:r>
        <w:rPr>
          <w:lang w:val="fr-FR"/>
        </w:rPr>
        <w:tab/>
      </w:r>
      <w:r w:rsidRPr="00523D1F">
        <w:rPr>
          <w:sz w:val="20"/>
          <w:lang w:val="fr-FR"/>
        </w:rPr>
        <w:t>*</w:t>
      </w:r>
      <w:r>
        <w:rPr>
          <w:lang w:val="fr-FR"/>
        </w:rPr>
        <w:tab/>
        <w:t>A/77/6 (Sect. 20), tableau 20.6.</w:t>
      </w:r>
    </w:p>
  </w:footnote>
  <w:footnote w:id="3">
    <w:p w14:paraId="102241B9" w14:textId="74A71942" w:rsidR="0094045F" w:rsidRPr="009023BE" w:rsidRDefault="0094045F" w:rsidP="0094045F">
      <w:pPr>
        <w:pStyle w:val="Notedebasdepage"/>
        <w:rPr>
          <w:lang w:val="fr-SN"/>
        </w:rPr>
      </w:pPr>
      <w:r>
        <w:rPr>
          <w:lang w:val="fr-FR"/>
        </w:rPr>
        <w:tab/>
      </w:r>
      <w:r w:rsidRPr="00B22B7C">
        <w:rPr>
          <w:rStyle w:val="Appelnotedebasdep"/>
        </w:rPr>
        <w:footnoteRef/>
      </w:r>
      <w:r>
        <w:rPr>
          <w:lang w:val="fr-FR"/>
        </w:rPr>
        <w:tab/>
        <w:t>Document informel INF.36 de la session du printemps 2023 de la Réunion commune (</w:t>
      </w:r>
      <w:hyperlink r:id="rId1" w:history="1">
        <w:r w:rsidRPr="00166577">
          <w:rPr>
            <w:rStyle w:val="Lienhypertexte"/>
            <w:lang w:val="fr-FR"/>
          </w:rPr>
          <w:t>https://unece.org/sites/default/files/2023-03/ECE-TRANS-WP15-AC1-2023-BE-INF.36.pdf</w:t>
        </w:r>
      </w:hyperlink>
      <w:r>
        <w:rPr>
          <w:lang w:val="fr-FR"/>
        </w:rPr>
        <w:t>)</w:t>
      </w:r>
      <w:r w:rsidR="00166577">
        <w:rPr>
          <w:lang w:val="fr-FR"/>
        </w:rPr>
        <w:t>.</w:t>
      </w:r>
    </w:p>
  </w:footnote>
  <w:footnote w:id="4">
    <w:p w14:paraId="0D4011DA" w14:textId="10CE5D28" w:rsidR="0094045F" w:rsidRPr="009023BE" w:rsidRDefault="0094045F" w:rsidP="0094045F">
      <w:pPr>
        <w:pStyle w:val="Notedebasdepage"/>
        <w:rPr>
          <w:lang w:val="fr-SN"/>
        </w:rPr>
      </w:pPr>
      <w:r>
        <w:rPr>
          <w:lang w:val="fr-FR"/>
        </w:rPr>
        <w:tab/>
      </w:r>
      <w:r w:rsidRPr="00B22B7C">
        <w:rPr>
          <w:rStyle w:val="Appelnotedebasdep"/>
        </w:rPr>
        <w:footnoteRef/>
      </w:r>
      <w:r>
        <w:rPr>
          <w:lang w:val="fr-FR"/>
        </w:rPr>
        <w:tab/>
        <w:t>Document informel INF.43 de la session du printemps 2023 de la Réunion commune (</w:t>
      </w:r>
      <w:hyperlink r:id="rId2" w:history="1">
        <w:r w:rsidRPr="00166577">
          <w:rPr>
            <w:rStyle w:val="Lienhypertexte"/>
            <w:lang w:val="fr-FR"/>
          </w:rPr>
          <w:t>https://unece.org/sites/default/files/2023-03/ECE-TRANS-WP15-AC1-2023-BE-INF.43.pdf</w:t>
        </w:r>
      </w:hyperlink>
      <w:r>
        <w:rPr>
          <w:lang w:val="fr-FR"/>
        </w:rPr>
        <w:t>)</w:t>
      </w:r>
      <w:r w:rsidR="00166577">
        <w:rPr>
          <w:lang w:val="fr-FR"/>
        </w:rPr>
        <w:t>.</w:t>
      </w:r>
    </w:p>
  </w:footnote>
  <w:footnote w:id="5">
    <w:p w14:paraId="1CCE705C" w14:textId="65A70D12" w:rsidR="0094045F" w:rsidRPr="009023BE" w:rsidRDefault="0094045F" w:rsidP="0094045F">
      <w:pPr>
        <w:pStyle w:val="Notedebasdepage"/>
        <w:rPr>
          <w:lang w:val="fr-SN"/>
        </w:rPr>
      </w:pPr>
      <w:r>
        <w:rPr>
          <w:lang w:val="fr-FR"/>
        </w:rPr>
        <w:tab/>
      </w:r>
      <w:r w:rsidRPr="00B22B7C">
        <w:rPr>
          <w:rStyle w:val="Appelnotedebasdep"/>
        </w:rPr>
        <w:footnoteRef/>
      </w:r>
      <w:r>
        <w:rPr>
          <w:lang w:val="fr-FR"/>
        </w:rPr>
        <w:tab/>
        <w:t>On entend par «</w:t>
      </w:r>
      <w:r w:rsidR="00520538">
        <w:rPr>
          <w:lang w:val="fr-FR"/>
        </w:rPr>
        <w:t> </w:t>
      </w:r>
      <w:r>
        <w:rPr>
          <w:lang w:val="fr-FR"/>
        </w:rPr>
        <w:t>unité de transport</w:t>
      </w:r>
      <w:r w:rsidR="00520538">
        <w:rPr>
          <w:lang w:val="fr-FR"/>
        </w:rPr>
        <w:t> </w:t>
      </w:r>
      <w:r>
        <w:rPr>
          <w:lang w:val="fr-FR"/>
        </w:rPr>
        <w:t>» un véhicule à moteur auquel n’est attelée aucune remorque ou un ensemble constitué par un véhicule à moteur et la remorque qui y est attelée.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FEF9" w14:textId="7F9BBD72" w:rsidR="00EF06BC" w:rsidRPr="00EF06BC" w:rsidRDefault="00EF06BC">
    <w:pPr>
      <w:pStyle w:val="En-tte"/>
    </w:pPr>
    <w:fldSimple w:instr=" TITLE  \* MERGEFORMAT ">
      <w:r>
        <w:t>ECE/TRANS/WP.15/2023/10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0B31" w14:textId="78E9C969" w:rsidR="00EF06BC" w:rsidRPr="00EF06BC" w:rsidRDefault="00EF06BC" w:rsidP="00EF06BC">
    <w:pPr>
      <w:pStyle w:val="En-tte"/>
      <w:jc w:val="right"/>
    </w:pPr>
    <w:fldSimple w:instr=" TITLE  \* MERGEFORMAT ">
      <w:r>
        <w:t>ECE/TRANS/WP.15/2023/10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31473396">
    <w:abstractNumId w:val="12"/>
  </w:num>
  <w:num w:numId="2" w16cid:durableId="66147325">
    <w:abstractNumId w:val="11"/>
  </w:num>
  <w:num w:numId="3" w16cid:durableId="813447210">
    <w:abstractNumId w:val="10"/>
  </w:num>
  <w:num w:numId="4" w16cid:durableId="801926024">
    <w:abstractNumId w:val="8"/>
  </w:num>
  <w:num w:numId="5" w16cid:durableId="1867332469">
    <w:abstractNumId w:val="3"/>
  </w:num>
  <w:num w:numId="6" w16cid:durableId="1516458598">
    <w:abstractNumId w:val="2"/>
  </w:num>
  <w:num w:numId="7" w16cid:durableId="1408723290">
    <w:abstractNumId w:val="1"/>
  </w:num>
  <w:num w:numId="8" w16cid:durableId="1469274728">
    <w:abstractNumId w:val="0"/>
  </w:num>
  <w:num w:numId="9" w16cid:durableId="1471820259">
    <w:abstractNumId w:val="9"/>
  </w:num>
  <w:num w:numId="10" w16cid:durableId="178088895">
    <w:abstractNumId w:val="7"/>
  </w:num>
  <w:num w:numId="11" w16cid:durableId="203762357">
    <w:abstractNumId w:val="6"/>
  </w:num>
  <w:num w:numId="12" w16cid:durableId="810903509">
    <w:abstractNumId w:val="5"/>
  </w:num>
  <w:num w:numId="13" w16cid:durableId="1399401510">
    <w:abstractNumId w:val="4"/>
  </w:num>
  <w:num w:numId="14" w16cid:durableId="1884443037">
    <w:abstractNumId w:val="12"/>
  </w:num>
  <w:num w:numId="15" w16cid:durableId="38358125">
    <w:abstractNumId w:val="11"/>
  </w:num>
  <w:num w:numId="16" w16cid:durableId="183984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2"/>
    <w:rsid w:val="00017F94"/>
    <w:rsid w:val="00023842"/>
    <w:rsid w:val="000334F9"/>
    <w:rsid w:val="00045FEB"/>
    <w:rsid w:val="0007796D"/>
    <w:rsid w:val="000B7790"/>
    <w:rsid w:val="00103F87"/>
    <w:rsid w:val="00111F2F"/>
    <w:rsid w:val="0014365E"/>
    <w:rsid w:val="00143C66"/>
    <w:rsid w:val="00166577"/>
    <w:rsid w:val="00176178"/>
    <w:rsid w:val="00186D71"/>
    <w:rsid w:val="001B7C6E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E6D3D"/>
    <w:rsid w:val="00421996"/>
    <w:rsid w:val="00441C3B"/>
    <w:rsid w:val="00446042"/>
    <w:rsid w:val="00446FE5"/>
    <w:rsid w:val="00452396"/>
    <w:rsid w:val="00460577"/>
    <w:rsid w:val="00477EB2"/>
    <w:rsid w:val="004837D8"/>
    <w:rsid w:val="004E2EED"/>
    <w:rsid w:val="004E468C"/>
    <w:rsid w:val="005148CE"/>
    <w:rsid w:val="00520538"/>
    <w:rsid w:val="00523D1F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045F"/>
    <w:rsid w:val="009446C0"/>
    <w:rsid w:val="009705C8"/>
    <w:rsid w:val="009C1CF4"/>
    <w:rsid w:val="009F6B74"/>
    <w:rsid w:val="00A3029F"/>
    <w:rsid w:val="00A30353"/>
    <w:rsid w:val="00A93A0E"/>
    <w:rsid w:val="00AC3823"/>
    <w:rsid w:val="00AE323C"/>
    <w:rsid w:val="00AF0CB5"/>
    <w:rsid w:val="00B00181"/>
    <w:rsid w:val="00B00B0D"/>
    <w:rsid w:val="00B45F2E"/>
    <w:rsid w:val="00B56761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C3202"/>
    <w:rsid w:val="00ED7237"/>
    <w:rsid w:val="00EF06BC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E92A37"/>
  <w15:docId w15:val="{D69A2A3A-CFA3-4CB6-B788-F9A8153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94045F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94045F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94045F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locked/>
    <w:rsid w:val="0094045F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rsid w:val="0094045F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6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ece.org/sites/default/files/2023-03/ECE-TRANS-WP15-AC1-2023-BE-INF.43.pdf" TargetMode="External"/><Relationship Id="rId1" Type="http://schemas.openxmlformats.org/officeDocument/2006/relationships/hyperlink" Target="https://unece.org/sites/default/files/2023-03/ECE-TRANS-WP15-AC1-2023-BE-INF.3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ée un document." ma:contentTypeScope="" ma:versionID="d593cc96c5d428f23a5351564b268b6d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76aafa040e38551359a67edc98402bfa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0F23A-6631-4767-8E12-A9C43856A015}"/>
</file>

<file path=customXml/itemProps2.xml><?xml version="1.0" encoding="utf-8"?>
<ds:datastoreItem xmlns:ds="http://schemas.openxmlformats.org/officeDocument/2006/customXml" ds:itemID="{88137C45-A46D-41B3-81B4-185779070D22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4</Pages>
  <Words>993</Words>
  <Characters>6956</Characters>
  <Application>Microsoft Office Word</Application>
  <DocSecurity>0</DocSecurity>
  <Lines>579</Lines>
  <Paragraphs>317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ECE/TRANS/WP.15/2023/10</vt:lpstr>
    </vt:vector>
  </TitlesOfParts>
  <Company>DCM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ECE/TRANS/WP.15/2023/10</dc:title>
  <dc:subject/>
  <dc:creator>Nathalie VITTOZ</dc:creator>
  <cp:keywords/>
  <cp:lastModifiedBy>Nathalie Vittoz</cp:lastModifiedBy>
  <cp:revision>2</cp:revision>
  <cp:lastPrinted>2014-05-14T10:59:00Z</cp:lastPrinted>
  <dcterms:created xsi:type="dcterms:W3CDTF">2023-09-11T14:01:00Z</dcterms:created>
  <dcterms:modified xsi:type="dcterms:W3CDTF">2023-09-11T14:01:00Z</dcterms:modified>
</cp:coreProperties>
</file>