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F99C6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573FEB" w14:textId="77777777" w:rsidR="002D5AAC" w:rsidRDefault="002D5AAC" w:rsidP="006649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3C03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6D5242" w14:textId="17495431" w:rsidR="002D5AAC" w:rsidRDefault="00664975" w:rsidP="00664975">
            <w:pPr>
              <w:jc w:val="right"/>
            </w:pPr>
            <w:r w:rsidRPr="00664975">
              <w:rPr>
                <w:sz w:val="40"/>
              </w:rPr>
              <w:t>ECE</w:t>
            </w:r>
            <w:r>
              <w:t>/TRANS/WP.15/AC.1/2023/39</w:t>
            </w:r>
          </w:p>
        </w:tc>
      </w:tr>
      <w:tr w:rsidR="002D5AAC" w:rsidRPr="005B4B7C" w14:paraId="0218A1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F2AB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A8A965" wp14:editId="12777D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983CE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D3BF2B" w14:textId="77777777" w:rsidR="002D5AAC" w:rsidRDefault="006649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354CFA" w14:textId="77777777" w:rsidR="00664975" w:rsidRDefault="00664975" w:rsidP="006649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July 2023</w:t>
            </w:r>
          </w:p>
          <w:p w14:paraId="5B112AB5" w14:textId="77777777" w:rsidR="00664975" w:rsidRDefault="00664975" w:rsidP="006649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655272" w14:textId="6951D0F1" w:rsidR="00664975" w:rsidRPr="008D53B6" w:rsidRDefault="00664975" w:rsidP="006649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040CC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38F428" w14:textId="77777777" w:rsidR="00D9386B" w:rsidRPr="00CB128A" w:rsidRDefault="00D9386B" w:rsidP="00D9386B">
      <w:pPr>
        <w:spacing w:before="120"/>
        <w:rPr>
          <w:sz w:val="28"/>
          <w:szCs w:val="28"/>
        </w:rPr>
      </w:pPr>
      <w:r w:rsidRPr="00CB128A">
        <w:rPr>
          <w:sz w:val="28"/>
          <w:szCs w:val="28"/>
        </w:rPr>
        <w:t>Комитет по внутреннему транспорту</w:t>
      </w:r>
    </w:p>
    <w:p w14:paraId="43FB5A47" w14:textId="77777777" w:rsidR="00D9386B" w:rsidRPr="00CB128A" w:rsidRDefault="00D9386B" w:rsidP="00D9386B">
      <w:pPr>
        <w:spacing w:before="120"/>
        <w:rPr>
          <w:b/>
          <w:sz w:val="24"/>
          <w:szCs w:val="24"/>
        </w:rPr>
      </w:pPr>
      <w:r w:rsidRPr="00CB128A">
        <w:rPr>
          <w:b/>
          <w:bCs/>
          <w:sz w:val="24"/>
          <w:szCs w:val="24"/>
        </w:rPr>
        <w:t>Рабочая группа по перевозкам опасных грузов</w:t>
      </w:r>
    </w:p>
    <w:p w14:paraId="1CC33508" w14:textId="32A88641" w:rsidR="00D9386B" w:rsidRPr="00796F5B" w:rsidRDefault="00D9386B" w:rsidP="00D9386B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 w:rsidR="00CB128A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7D62237" w14:textId="2967B613" w:rsidR="00D9386B" w:rsidRPr="00796F5B" w:rsidRDefault="00D9386B" w:rsidP="00D9386B">
      <w:r>
        <w:t xml:space="preserve">Женева, </w:t>
      </w:r>
      <w:r w:rsidR="00CB128A">
        <w:t xml:space="preserve">19–29 </w:t>
      </w:r>
      <w:r>
        <w:t>сентября 2023 года</w:t>
      </w:r>
    </w:p>
    <w:p w14:paraId="3CEB5533" w14:textId="77777777" w:rsidR="00D9386B" w:rsidRPr="00796F5B" w:rsidRDefault="00D9386B" w:rsidP="00D9386B">
      <w:r>
        <w:t>Пункт 5 b) предварительной повестки дня</w:t>
      </w:r>
    </w:p>
    <w:p w14:paraId="7654F285" w14:textId="7D77A55B" w:rsidR="00D9386B" w:rsidRPr="00796F5B" w:rsidRDefault="00D9386B" w:rsidP="00D9386B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  <w:r w:rsidR="00CB128A">
        <w:rPr>
          <w:b/>
          <w:bCs/>
        </w:rPr>
        <w:br/>
      </w:r>
      <w:r>
        <w:rPr>
          <w:b/>
          <w:bCs/>
        </w:rPr>
        <w:t>новые предложения</w:t>
      </w:r>
    </w:p>
    <w:p w14:paraId="33E8D73F" w14:textId="572B48F4" w:rsidR="00D9386B" w:rsidRPr="005358F5" w:rsidRDefault="00D9386B" w:rsidP="00D9386B">
      <w:pPr>
        <w:pStyle w:val="HChG"/>
        <w:rPr>
          <w:b w:val="0"/>
          <w:bCs/>
          <w:szCs w:val="28"/>
        </w:rPr>
      </w:pPr>
      <w:r>
        <w:tab/>
      </w:r>
      <w:r>
        <w:tab/>
      </w:r>
      <w:r>
        <w:rPr>
          <w:bCs/>
        </w:rPr>
        <w:t>Поправки к таблице A, специальному положению 645 и</w:t>
      </w:r>
      <w:r w:rsidR="00CB128A">
        <w:rPr>
          <w:bCs/>
          <w:lang w:val="en-US"/>
        </w:rPr>
        <w:t> </w:t>
      </w:r>
      <w:r>
        <w:rPr>
          <w:bCs/>
        </w:rPr>
        <w:t>подпункту 5.4.1.2.1 g)</w:t>
      </w:r>
    </w:p>
    <w:p w14:paraId="06965A57" w14:textId="30A9725D" w:rsidR="00D9386B" w:rsidRPr="00796F5B" w:rsidRDefault="00D9386B" w:rsidP="00D9386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="00CB128A" w:rsidRPr="00CB128A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CB128A" w:rsidRPr="005B4B7C">
        <w:rPr>
          <w:b w:val="0"/>
        </w:rPr>
        <w:t xml:space="preserve"> </w:t>
      </w:r>
      <w:r w:rsidR="00CB128A" w:rsidRPr="005B4B7C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p w14:paraId="511475E6" w14:textId="77777777" w:rsidR="00D9386B" w:rsidRPr="00796F5B" w:rsidRDefault="00D9386B" w:rsidP="00CB128A">
      <w:pPr>
        <w:pStyle w:val="HChG"/>
        <w:rPr>
          <w:iCs/>
          <w:szCs w:val="28"/>
        </w:rPr>
      </w:pPr>
      <w:r>
        <w:tab/>
      </w:r>
      <w:r>
        <w:tab/>
        <w:t>Введение</w:t>
      </w:r>
    </w:p>
    <w:p w14:paraId="18FBDE89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1.</w:t>
      </w:r>
      <w:r>
        <w:tab/>
        <w:t xml:space="preserve">В редакции Типовых правил 2019 года (двадцать первое пересмотренное издание) в положении 2.1.3.5.2 было предусмотрено отнесение к № ООН 0431 изделий, используемых для производства сценических эффектов, которые отвечают описанию и техническим характеристикам типа изделий 1.4G согласно таблице классификации фейерверочных изделий по умолчанию, приведенной в пункте 2.1.3.5.5. Изделия могут быть отнесены к № ООН 0431 по аналогии без проведения испытаний серии 6. </w:t>
      </w:r>
    </w:p>
    <w:p w14:paraId="1194E96A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2.</w:t>
      </w:r>
      <w:r>
        <w:tab/>
        <w:t xml:space="preserve">В рамках работы по согласованию в 2019 году эта поправка к двадцать первому пересмотренному изданию Типовых правил была включена в пункт 2.2.1.1.7.2 изданий МПОГ/ДОПОГ/ВОПОГ 2021 года. </w:t>
      </w:r>
    </w:p>
    <w:p w14:paraId="18CB5177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3.</w:t>
      </w:r>
      <w:r>
        <w:tab/>
        <w:t xml:space="preserve">Специальное положение 645 и подпункт 5.4.1.2.1 g) МПОГ/ДОПОГ/ВОПОГ затрагивают и дополняют пункт 2.2.1.1.7.2. В соответствии со специальным положением 645 компетентный орган выдает свидетельство об утверждении классификации. Если классификация основана на таблице классификации фейерверочных изделий по умолчанию, то компетентный орган может потребовать данные испытаний серии 6 для проверки правильности классификации изделия по умолчанию. </w:t>
      </w:r>
    </w:p>
    <w:p w14:paraId="4B01006C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4.</w:t>
      </w:r>
      <w:r>
        <w:tab/>
        <w:t xml:space="preserve">Специальное положение 645 не назначено № ООН 0431 в таблице А главы 3.2, и № ООН 0431 не указан в положениях подпункта 5.4.1.2.1 g) МПОГ/ДОПОГ/ВОПОГ. Однако, по мнению Нидерландов, № ООН 0431 надлежит включить в сферу действия специального положения 645 и подпункт 5.4.1.2.1 g). Это необходимо для того, чтобы не допустить перевозку изделий, которые относятся к № ООН 0431, упомянутому в </w:t>
      </w:r>
      <w:r>
        <w:lastRenderedPageBreak/>
        <w:t xml:space="preserve">пункте 2.2.1.1.7.2, и которые могут также использоваться в качестве фейерверочных изделий, таких как бураки, фонтаны и ракеты, в соответствии с МПОГ/ДОПОГ/ВОПОГ без разрешения компетентного органа, в то время как для тех же изделий, перевозимых в качестве фейерверочных изделий под №№ ООН 0333, 0334, 0335, 0336 и 0337, требуется разрешение. </w:t>
      </w:r>
    </w:p>
    <w:p w14:paraId="0079FFF0" w14:textId="521B4303" w:rsidR="00D9386B" w:rsidRPr="00796F5B" w:rsidRDefault="00D9386B" w:rsidP="00D9386B">
      <w:pPr>
        <w:spacing w:before="120" w:after="120"/>
        <w:ind w:left="1134" w:right="1134"/>
        <w:jc w:val="both"/>
      </w:pPr>
      <w:r>
        <w:t>5.</w:t>
      </w:r>
      <w:r>
        <w:tab/>
        <w:t>Судя по всему, в случае с перевозкой изделий, которые относятся к № ООН 0431 и упомянуты в пункте 2.2.1.1.7.2, в предписаниях образовался непреднамеренный пробел. Вполне вероятно, что речь идет об упущении во время работы по согласованию, которое необходимо устранить. Однако, поскольку № ООН 0431 распространяется также на изделия 1.4G, не используемые для производства сценических эффектов, то формулировку специального положения 645 и подпункта</w:t>
      </w:r>
      <w:r w:rsidR="003A0F2C">
        <w:rPr>
          <w:lang w:val="en-US"/>
        </w:rPr>
        <w:t> </w:t>
      </w:r>
      <w:r>
        <w:t>5.4.1.2.1 g) следует адаптировать. Необходимо указать, что в случае</w:t>
      </w:r>
      <w:r w:rsidR="00BB47F1">
        <w:br/>
      </w:r>
      <w:r>
        <w:t>№ ООН 0431 они применимы только к изделиям с этим номером, используемым для производства сценических эффектов, которые отвечают описанию и техническим характеристикам типа изделий 1.4G согласно таблице классификации фейерверочных изделий по умолчанию.</w:t>
      </w:r>
    </w:p>
    <w:p w14:paraId="635C3F5A" w14:textId="7FDF25B3" w:rsidR="00D9386B" w:rsidRPr="00796F5B" w:rsidRDefault="00C06BED" w:rsidP="00C418D5">
      <w:pPr>
        <w:pStyle w:val="H1G"/>
        <w:rPr>
          <w:iCs/>
          <w:szCs w:val="28"/>
        </w:rPr>
      </w:pPr>
      <w:r>
        <w:tab/>
      </w:r>
      <w:r>
        <w:tab/>
      </w:r>
      <w:r w:rsidR="00D9386B">
        <w:t>Предложение 1</w:t>
      </w:r>
    </w:p>
    <w:p w14:paraId="64F73D21" w14:textId="2D8E25E8" w:rsidR="00D9386B" w:rsidRPr="00796F5B" w:rsidRDefault="00D9386B" w:rsidP="00D9386B">
      <w:pPr>
        <w:spacing w:before="120" w:after="120"/>
        <w:ind w:left="1134" w:right="1134"/>
        <w:jc w:val="both"/>
      </w:pPr>
      <w:r>
        <w:t>6.</w:t>
      </w:r>
      <w:r>
        <w:tab/>
        <w:t xml:space="preserve">В таблице А главы 3.2 в колонке 6 для № ООН 0431 добавить </w:t>
      </w:r>
      <w:r w:rsidR="004F4718">
        <w:t>«</w:t>
      </w:r>
      <w:r w:rsidRPr="002F02FC">
        <w:rPr>
          <w:u w:val="single"/>
        </w:rPr>
        <w:t>645</w:t>
      </w:r>
      <w:r w:rsidR="004F4718">
        <w:t>»</w:t>
      </w:r>
      <w:r>
        <w:t>.</w:t>
      </w:r>
    </w:p>
    <w:p w14:paraId="7BF113B2" w14:textId="5FFC241F" w:rsidR="00D9386B" w:rsidRPr="00796F5B" w:rsidRDefault="004F4718" w:rsidP="00994039">
      <w:pPr>
        <w:pStyle w:val="H1G"/>
        <w:rPr>
          <w:szCs w:val="28"/>
        </w:rPr>
      </w:pPr>
      <w:r>
        <w:tab/>
      </w:r>
      <w:r>
        <w:tab/>
      </w:r>
      <w:r w:rsidR="00D9386B">
        <w:t>Предложение 2</w:t>
      </w:r>
    </w:p>
    <w:p w14:paraId="6A8D8567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7.</w:t>
      </w:r>
      <w:r>
        <w:tab/>
        <w:t>В главе 3.3 изменить специальное положение 645 следующим образом (новый текст подчеркнут и выделен жирным шрифтом):</w:t>
      </w:r>
    </w:p>
    <w:p w14:paraId="5243B66E" w14:textId="454EBA1B" w:rsidR="00D9386B" w:rsidRPr="00796F5B" w:rsidRDefault="00D9386B" w:rsidP="00D9386B">
      <w:pPr>
        <w:spacing w:before="120" w:after="120"/>
        <w:ind w:left="1689" w:right="1134" w:hanging="555"/>
        <w:jc w:val="both"/>
      </w:pPr>
      <w:r>
        <w:tab/>
      </w:r>
      <w:r w:rsidR="004F4718">
        <w:t>«</w:t>
      </w:r>
      <w:r>
        <w:t>645</w:t>
      </w:r>
      <w:r>
        <w:tab/>
        <w:t xml:space="preserve">Классификационный код, упомянутый в колонке 3b таблицы А главы 3.2, должен использоваться только в случае его утверждения компетентным органом </w:t>
      </w:r>
      <w:r>
        <w:rPr>
          <w:i/>
          <w:iCs/>
        </w:rPr>
        <w:t xml:space="preserve">[Договаривающейся стороны ДОПОГ] [Договаривающейся стороны ВОПОГ] [Договаривающегося государства МПОГ] </w:t>
      </w:r>
      <w:r>
        <w:t>до начала перевозки. Утверждение выдается в письменном виде как свидетельство об утверждении классификации (см. 5.4.1.2.1 g)), и ему присваивается индивидуальный номер. В тех случаях, когда отнесение к подклассу осуществляется в соответствии с процедурой, предусмотренной в пункте 2.2.1.1.7.2, компетентный орган может потребовать проведения проверки правильности классификации по умолчанию на основе результатов испытаний серии 6, предусмотренных в разделе 16 части</w:t>
      </w:r>
      <w:r w:rsidR="00E453B6">
        <w:t> </w:t>
      </w:r>
      <w:r>
        <w:t xml:space="preserve">I Руководства по испытаниям и критериям. </w:t>
      </w:r>
      <w:r>
        <w:rPr>
          <w:b/>
          <w:bCs/>
          <w:u w:val="single"/>
        </w:rPr>
        <w:t>Свидетельство об утверждении классификации выдается только на изделия под № ООН 0431, используемые для производства сценических эффектов, которые отвечают описанию и техническим характеристикам типа изделий 1.4G согласно таблице классификации фейерверочных изделий по умолчанию</w:t>
      </w:r>
      <w:r w:rsidR="004F4718">
        <w:t>»</w:t>
      </w:r>
      <w:r>
        <w:t>.</w:t>
      </w:r>
    </w:p>
    <w:p w14:paraId="0ABA7707" w14:textId="71D441B6" w:rsidR="00D9386B" w:rsidRPr="00796F5B" w:rsidRDefault="00C25E04" w:rsidP="00D57592">
      <w:pPr>
        <w:pStyle w:val="H1G"/>
        <w:rPr>
          <w:szCs w:val="28"/>
        </w:rPr>
      </w:pPr>
      <w:r>
        <w:tab/>
      </w:r>
      <w:r>
        <w:tab/>
      </w:r>
      <w:r w:rsidR="00D9386B">
        <w:t>Предложение 3</w:t>
      </w:r>
    </w:p>
    <w:p w14:paraId="2E74EB96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8.</w:t>
      </w:r>
      <w:r>
        <w:tab/>
        <w:t>Изменить первый и второй абзацы подпункта 5.4.1.2.1 g) следующим образом (новый текст подчеркнут и выделен жирным шрифтом):</w:t>
      </w:r>
    </w:p>
    <w:p w14:paraId="567E9B21" w14:textId="28DD404A" w:rsidR="00D9386B" w:rsidRPr="00796F5B" w:rsidRDefault="00D9386B" w:rsidP="00D9386B">
      <w:pPr>
        <w:spacing w:before="120" w:after="120"/>
        <w:ind w:left="1689" w:right="1134" w:hanging="555"/>
        <w:jc w:val="both"/>
      </w:pPr>
      <w:r>
        <w:tab/>
      </w:r>
      <w:r>
        <w:tab/>
      </w:r>
      <w:r w:rsidR="00C25E04">
        <w:t>«</w:t>
      </w:r>
      <w:r>
        <w:t xml:space="preserve">При перевозке фейерверочных изделий под № ООН 0333, 0334, 0335, 0336 и 0337 </w:t>
      </w:r>
      <w:r w:rsidRPr="002F02FC">
        <w:rPr>
          <w:b/>
          <w:bCs/>
          <w:u w:val="single"/>
        </w:rPr>
        <w:t xml:space="preserve">и изделий </w:t>
      </w:r>
      <w:r>
        <w:rPr>
          <w:b/>
          <w:bCs/>
          <w:u w:val="single"/>
        </w:rPr>
        <w:t xml:space="preserve">под </w:t>
      </w:r>
      <w:r w:rsidRPr="002F02FC">
        <w:rPr>
          <w:b/>
          <w:bCs/>
          <w:u w:val="single"/>
        </w:rPr>
        <w:t>№ ООН 0431, используемых только для производства сценических эффектов, которые отвечают описанию и техническим характеристикам типа изделий 1.4G согласно таблице классификации фейерверочных изделий по умолчанию,</w:t>
      </w:r>
      <w:r>
        <w:rPr>
          <w:b/>
          <w:bCs/>
          <w:u w:val="single"/>
        </w:rPr>
        <w:t xml:space="preserve"> </w:t>
      </w:r>
      <w:r>
        <w:t>в транспортном документе должна быть сделана следующая запись:</w:t>
      </w:r>
    </w:p>
    <w:p w14:paraId="52121F52" w14:textId="320B5EB1" w:rsidR="00D9386B" w:rsidRPr="00796F5B" w:rsidRDefault="003C2603" w:rsidP="00D9386B">
      <w:pPr>
        <w:spacing w:before="120"/>
        <w:ind w:left="1689" w:right="1134"/>
        <w:jc w:val="both"/>
        <w:rPr>
          <w:rFonts w:eastAsia="SimSun"/>
        </w:rPr>
      </w:pPr>
      <w:r w:rsidRPr="004725E2">
        <w:t>“</w:t>
      </w:r>
      <w:r w:rsidR="00D9386B">
        <w:t>Классификация фейервер</w:t>
      </w:r>
      <w:r w:rsidR="00D9386B">
        <w:rPr>
          <w:rFonts w:eastAsiaTheme="minorEastAsia"/>
          <w:lang w:eastAsia="zh-CN" w:bidi="ar-TN"/>
        </w:rPr>
        <w:t>очных изделий</w:t>
      </w:r>
      <w:r w:rsidR="00D9386B">
        <w:t xml:space="preserve"> </w:t>
      </w:r>
      <w:r w:rsidR="00D9386B" w:rsidRPr="00666C2B">
        <w:rPr>
          <w:b/>
          <w:bCs/>
          <w:u w:val="single"/>
        </w:rPr>
        <w:t xml:space="preserve">или </w:t>
      </w:r>
      <w:r w:rsidR="00D9386B">
        <w:rPr>
          <w:b/>
          <w:bCs/>
          <w:u w:val="single"/>
        </w:rPr>
        <w:t>изделий (в зависимости от обстоятельств)</w:t>
      </w:r>
      <w:r w:rsidR="00D9386B">
        <w:t xml:space="preserve"> компетентным органом XX, классификационный номер фейерверочного изделия </w:t>
      </w:r>
      <w:r w:rsidR="00D9386B" w:rsidRPr="00B3260C">
        <w:rPr>
          <w:b/>
          <w:bCs/>
          <w:u w:val="single"/>
        </w:rPr>
        <w:t>или изделия (в зависимости от обстоятельств)</w:t>
      </w:r>
      <w:r w:rsidR="00D9386B">
        <w:t xml:space="preserve"> — XX/YYZZZZ</w:t>
      </w:r>
      <w:r w:rsidR="004725E2" w:rsidRPr="004725E2">
        <w:t>”</w:t>
      </w:r>
      <w:r w:rsidR="00D9386B">
        <w:t>».</w:t>
      </w:r>
    </w:p>
    <w:p w14:paraId="1C4880EE" w14:textId="300DF769" w:rsidR="00D9386B" w:rsidRPr="00796F5B" w:rsidRDefault="00D9386B" w:rsidP="002548B8">
      <w:pPr>
        <w:pStyle w:val="HChG"/>
        <w:rPr>
          <w:iCs/>
          <w:szCs w:val="28"/>
        </w:rPr>
      </w:pPr>
      <w:r>
        <w:lastRenderedPageBreak/>
        <w:tab/>
      </w:r>
      <w:r w:rsidR="002548B8">
        <w:tab/>
      </w:r>
      <w:r>
        <w:t>Обоснование</w:t>
      </w:r>
    </w:p>
    <w:p w14:paraId="2486F2C5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9.</w:t>
      </w:r>
      <w:r>
        <w:tab/>
        <w:t>Целью настоящего документа является устранение непреднамеренного пробела в отношении перевозки изделий под № ООН 0431, используемых только для производства сценических эффектов, которые отвечают описанию и техническим характеристикам типа изделий 1.4G согласно таблице классификации фейерверочных изделий по умолчанию.</w:t>
      </w:r>
    </w:p>
    <w:p w14:paraId="681C2DE8" w14:textId="77777777" w:rsidR="00D9386B" w:rsidRPr="00796F5B" w:rsidRDefault="00D9386B" w:rsidP="00D9386B">
      <w:pPr>
        <w:spacing w:before="120" w:after="120"/>
        <w:ind w:left="1134" w:right="1134"/>
        <w:jc w:val="both"/>
      </w:pPr>
      <w:r>
        <w:t>10.</w:t>
      </w:r>
      <w:r>
        <w:tab/>
        <w:t xml:space="preserve">Более систематичный подход и более тщательное обоснование положений в рамках МПОГ/ДОПОГ/ВОПОГ позволяют сделать правовые тексты более четкими и избежать различий в критериях, применяемых разными Договаривающимися сторонами/государствами и разными инспекционными службами, и тем самым способствуют достижению цели № 16 в области устойчивого развития Организации Объединенных Наций «Мир, правосудие и эффективные учреждения». </w:t>
      </w:r>
    </w:p>
    <w:p w14:paraId="1C19FBEB" w14:textId="77777777" w:rsidR="00D9386B" w:rsidRPr="00796F5B" w:rsidRDefault="00D9386B" w:rsidP="00D9386B">
      <w:pPr>
        <w:spacing w:before="240"/>
        <w:jc w:val="center"/>
        <w:rPr>
          <w:u w:val="single"/>
        </w:rPr>
      </w:pPr>
      <w:r w:rsidRPr="00796F5B">
        <w:rPr>
          <w:u w:val="single"/>
        </w:rPr>
        <w:tab/>
      </w:r>
      <w:r w:rsidRPr="00796F5B">
        <w:rPr>
          <w:u w:val="single"/>
        </w:rPr>
        <w:tab/>
      </w:r>
      <w:r w:rsidRPr="00796F5B">
        <w:rPr>
          <w:u w:val="single"/>
        </w:rPr>
        <w:tab/>
      </w:r>
    </w:p>
    <w:p w14:paraId="6F3ED9D3" w14:textId="77777777" w:rsidR="00E12C5F" w:rsidRPr="008D53B6" w:rsidRDefault="00E12C5F" w:rsidP="00D9145B"/>
    <w:sectPr w:rsidR="00E12C5F" w:rsidRPr="008D53B6" w:rsidSect="006649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9EA9" w14:textId="77777777" w:rsidR="005543FF" w:rsidRPr="00A312BC" w:rsidRDefault="005543FF" w:rsidP="00A312BC"/>
  </w:endnote>
  <w:endnote w:type="continuationSeparator" w:id="0">
    <w:p w14:paraId="70536735" w14:textId="77777777" w:rsidR="005543FF" w:rsidRPr="00A312BC" w:rsidRDefault="005543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DE40" w14:textId="0B9398CF" w:rsidR="00664975" w:rsidRPr="00664975" w:rsidRDefault="00664975">
    <w:pPr>
      <w:pStyle w:val="a8"/>
    </w:pPr>
    <w:r w:rsidRPr="00664975">
      <w:rPr>
        <w:b/>
        <w:sz w:val="18"/>
      </w:rPr>
      <w:fldChar w:fldCharType="begin"/>
    </w:r>
    <w:r w:rsidRPr="00664975">
      <w:rPr>
        <w:b/>
        <w:sz w:val="18"/>
      </w:rPr>
      <w:instrText xml:space="preserve"> PAGE  \* MERGEFORMAT </w:instrText>
    </w:r>
    <w:r w:rsidRPr="00664975">
      <w:rPr>
        <w:b/>
        <w:sz w:val="18"/>
      </w:rPr>
      <w:fldChar w:fldCharType="separate"/>
    </w:r>
    <w:r w:rsidRPr="00664975">
      <w:rPr>
        <w:b/>
        <w:noProof/>
        <w:sz w:val="18"/>
      </w:rPr>
      <w:t>2</w:t>
    </w:r>
    <w:r w:rsidRPr="00664975">
      <w:rPr>
        <w:b/>
        <w:sz w:val="18"/>
      </w:rPr>
      <w:fldChar w:fldCharType="end"/>
    </w:r>
    <w:r>
      <w:rPr>
        <w:b/>
        <w:sz w:val="18"/>
      </w:rPr>
      <w:tab/>
    </w:r>
    <w:r>
      <w:t>GE.23-12755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461C" w14:textId="2D1507B5" w:rsidR="00664975" w:rsidRPr="00664975" w:rsidRDefault="00664975" w:rsidP="00664975">
    <w:pPr>
      <w:pStyle w:val="a8"/>
      <w:tabs>
        <w:tab w:val="clear" w:pos="9639"/>
        <w:tab w:val="right" w:pos="9638"/>
      </w:tabs>
      <w:rPr>
        <w:b/>
        <w:sz w:val="18"/>
      </w:rPr>
    </w:pPr>
    <w:r>
      <w:t>GE.23-12755</w:t>
    </w:r>
    <w:r>
      <w:tab/>
    </w:r>
    <w:r w:rsidRPr="00664975">
      <w:rPr>
        <w:b/>
        <w:sz w:val="18"/>
      </w:rPr>
      <w:fldChar w:fldCharType="begin"/>
    </w:r>
    <w:r w:rsidRPr="00664975">
      <w:rPr>
        <w:b/>
        <w:sz w:val="18"/>
      </w:rPr>
      <w:instrText xml:space="preserve"> PAGE  \* MERGEFORMAT </w:instrText>
    </w:r>
    <w:r w:rsidRPr="00664975">
      <w:rPr>
        <w:b/>
        <w:sz w:val="18"/>
      </w:rPr>
      <w:fldChar w:fldCharType="separate"/>
    </w:r>
    <w:r w:rsidRPr="00664975">
      <w:rPr>
        <w:b/>
        <w:noProof/>
        <w:sz w:val="18"/>
      </w:rPr>
      <w:t>3</w:t>
    </w:r>
    <w:r w:rsidRPr="006649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F3C6" w14:textId="7AFE3BF8" w:rsidR="00042B72" w:rsidRPr="005B04A8" w:rsidRDefault="00664975" w:rsidP="006649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B20B89" wp14:editId="3F52BB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12755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B4D7BB" wp14:editId="348D42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4A8">
      <w:rPr>
        <w:lang w:val="en-US"/>
      </w:rPr>
      <w:t xml:space="preserve">  250723  310723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7FB7" w14:textId="77777777" w:rsidR="005543FF" w:rsidRPr="001075E9" w:rsidRDefault="005543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498F18" w14:textId="77777777" w:rsidR="005543FF" w:rsidRDefault="005543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24E6C8" w14:textId="3F1BFD1C" w:rsidR="00CB128A" w:rsidRPr="005B4B7C" w:rsidRDefault="00CB128A">
      <w:pPr>
        <w:pStyle w:val="ad"/>
        <w:rPr>
          <w:sz w:val="20"/>
        </w:rPr>
      </w:pPr>
      <w:r>
        <w:tab/>
      </w:r>
      <w:r w:rsidRPr="00CB128A">
        <w:rPr>
          <w:rStyle w:val="aa"/>
          <w:sz w:val="20"/>
          <w:vertAlign w:val="baseline"/>
        </w:rPr>
        <w:t>*</w:t>
      </w:r>
      <w:r w:rsidRPr="00CB128A">
        <w:rPr>
          <w:rStyle w:val="aa"/>
          <w:vertAlign w:val="baseline"/>
        </w:rPr>
        <w:tab/>
      </w:r>
      <w:r w:rsidRPr="00CB128A">
        <w:t>A/77/6 (разд. 20), п. 20.76.</w:t>
      </w:r>
    </w:p>
  </w:footnote>
  <w:footnote w:id="2">
    <w:p w14:paraId="14BDD0A6" w14:textId="318A9C34" w:rsidR="00CB128A" w:rsidRPr="00CB128A" w:rsidRDefault="00CB128A">
      <w:pPr>
        <w:pStyle w:val="ad"/>
        <w:rPr>
          <w:sz w:val="20"/>
        </w:rPr>
      </w:pPr>
      <w:r>
        <w:tab/>
      </w:r>
      <w:r w:rsidRPr="00CB128A">
        <w:rPr>
          <w:rStyle w:val="aa"/>
          <w:sz w:val="20"/>
          <w:vertAlign w:val="baseline"/>
        </w:rPr>
        <w:t>**</w:t>
      </w:r>
      <w:r w:rsidRPr="00CB128A">
        <w:rPr>
          <w:rStyle w:val="aa"/>
          <w:vertAlign w:val="baseline"/>
        </w:rPr>
        <w:tab/>
      </w:r>
      <w:r w:rsidRPr="00CB128A">
        <w:t>Распространено Межправительственной организацией по международным железнодорожным перевозкам (ОТИФ) под условным обозначением OTIF/RID/RC/2023/39.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87B5" w14:textId="28034BF6" w:rsidR="00664975" w:rsidRPr="00664975" w:rsidRDefault="005B4B7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377F" w14:textId="2615FC8C" w:rsidR="00664975" w:rsidRPr="00664975" w:rsidRDefault="005B4B7C" w:rsidP="006649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18390317">
    <w:abstractNumId w:val="17"/>
  </w:num>
  <w:num w:numId="2" w16cid:durableId="1939169537">
    <w:abstractNumId w:val="12"/>
  </w:num>
  <w:num w:numId="3" w16cid:durableId="1285573198">
    <w:abstractNumId w:val="11"/>
  </w:num>
  <w:num w:numId="4" w16cid:durableId="1487360419">
    <w:abstractNumId w:val="18"/>
  </w:num>
  <w:num w:numId="5" w16cid:durableId="149030274">
    <w:abstractNumId w:val="14"/>
  </w:num>
  <w:num w:numId="6" w16cid:durableId="783695227">
    <w:abstractNumId w:val="8"/>
  </w:num>
  <w:num w:numId="7" w16cid:durableId="2060588996">
    <w:abstractNumId w:val="3"/>
  </w:num>
  <w:num w:numId="8" w16cid:durableId="573053607">
    <w:abstractNumId w:val="2"/>
  </w:num>
  <w:num w:numId="9" w16cid:durableId="1612324425">
    <w:abstractNumId w:val="1"/>
  </w:num>
  <w:num w:numId="10" w16cid:durableId="115149263">
    <w:abstractNumId w:val="0"/>
  </w:num>
  <w:num w:numId="11" w16cid:durableId="1745488863">
    <w:abstractNumId w:val="9"/>
  </w:num>
  <w:num w:numId="12" w16cid:durableId="709887990">
    <w:abstractNumId w:val="7"/>
  </w:num>
  <w:num w:numId="13" w16cid:durableId="1411586279">
    <w:abstractNumId w:val="6"/>
  </w:num>
  <w:num w:numId="14" w16cid:durableId="1957519774">
    <w:abstractNumId w:val="5"/>
  </w:num>
  <w:num w:numId="15" w16cid:durableId="627055789">
    <w:abstractNumId w:val="4"/>
  </w:num>
  <w:num w:numId="16" w16cid:durableId="274093603">
    <w:abstractNumId w:val="16"/>
  </w:num>
  <w:num w:numId="17" w16cid:durableId="1941719829">
    <w:abstractNumId w:val="13"/>
  </w:num>
  <w:num w:numId="18" w16cid:durableId="1126047591">
    <w:abstractNumId w:val="15"/>
  </w:num>
  <w:num w:numId="19" w16cid:durableId="344550892">
    <w:abstractNumId w:val="16"/>
  </w:num>
  <w:num w:numId="20" w16cid:durableId="567107133">
    <w:abstractNumId w:val="13"/>
  </w:num>
  <w:num w:numId="21" w16cid:durableId="1814248591">
    <w:abstractNumId w:val="15"/>
  </w:num>
  <w:num w:numId="22" w16cid:durableId="8360753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48B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0F2C"/>
    <w:rsid w:val="003A48CE"/>
    <w:rsid w:val="003B00E5"/>
    <w:rsid w:val="003C2603"/>
    <w:rsid w:val="003E0B46"/>
    <w:rsid w:val="00407B78"/>
    <w:rsid w:val="00424203"/>
    <w:rsid w:val="00452493"/>
    <w:rsid w:val="00453318"/>
    <w:rsid w:val="00454AF2"/>
    <w:rsid w:val="00454E07"/>
    <w:rsid w:val="004725E2"/>
    <w:rsid w:val="00472C5C"/>
    <w:rsid w:val="00485F8A"/>
    <w:rsid w:val="004E05B7"/>
    <w:rsid w:val="004F4718"/>
    <w:rsid w:val="0050108D"/>
    <w:rsid w:val="00513081"/>
    <w:rsid w:val="00517901"/>
    <w:rsid w:val="00526683"/>
    <w:rsid w:val="00526DB8"/>
    <w:rsid w:val="005543FF"/>
    <w:rsid w:val="005639C1"/>
    <w:rsid w:val="005709E0"/>
    <w:rsid w:val="00572E19"/>
    <w:rsid w:val="005961C8"/>
    <w:rsid w:val="005966F1"/>
    <w:rsid w:val="005B04A8"/>
    <w:rsid w:val="005B4B7C"/>
    <w:rsid w:val="005D7914"/>
    <w:rsid w:val="005E2B41"/>
    <w:rsid w:val="005F0B42"/>
    <w:rsid w:val="00617A43"/>
    <w:rsid w:val="006345DB"/>
    <w:rsid w:val="00640F49"/>
    <w:rsid w:val="0066497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03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47F1"/>
    <w:rsid w:val="00BB4E38"/>
    <w:rsid w:val="00BC18B2"/>
    <w:rsid w:val="00BD33EE"/>
    <w:rsid w:val="00BE1CC7"/>
    <w:rsid w:val="00C06BED"/>
    <w:rsid w:val="00C106D6"/>
    <w:rsid w:val="00C119AE"/>
    <w:rsid w:val="00C25E04"/>
    <w:rsid w:val="00C418D5"/>
    <w:rsid w:val="00C60F0C"/>
    <w:rsid w:val="00C71E84"/>
    <w:rsid w:val="00C805C9"/>
    <w:rsid w:val="00C92939"/>
    <w:rsid w:val="00CA1679"/>
    <w:rsid w:val="00CB128A"/>
    <w:rsid w:val="00CB151C"/>
    <w:rsid w:val="00CE5A1A"/>
    <w:rsid w:val="00CF55F6"/>
    <w:rsid w:val="00D33D63"/>
    <w:rsid w:val="00D5253A"/>
    <w:rsid w:val="00D57592"/>
    <w:rsid w:val="00D873A8"/>
    <w:rsid w:val="00D90028"/>
    <w:rsid w:val="00D90138"/>
    <w:rsid w:val="00D9145B"/>
    <w:rsid w:val="00D9386B"/>
    <w:rsid w:val="00DD78D1"/>
    <w:rsid w:val="00DE32CD"/>
    <w:rsid w:val="00DF5767"/>
    <w:rsid w:val="00DF71B9"/>
    <w:rsid w:val="00E12C5F"/>
    <w:rsid w:val="00E42D15"/>
    <w:rsid w:val="00E453B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DD93A"/>
  <w15:docId w15:val="{753125D6-1D45-489C-BFFF-DB13A65F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D9386B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778</Words>
  <Characters>5210</Characters>
  <Application>Microsoft Office Word</Application>
  <DocSecurity>0</DocSecurity>
  <Lines>43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ECE/TRANS/WP.15/AC.1/2023/39</dc:title>
  <dc:subject/>
  <dc:creator>Uliana ANTIPOVA</dc:creator>
  <cp:keywords/>
  <cp:lastModifiedBy>Uliana Antipova</cp:lastModifiedBy>
  <cp:revision>3</cp:revision>
  <cp:lastPrinted>2023-07-31T07:14:00Z</cp:lastPrinted>
  <dcterms:created xsi:type="dcterms:W3CDTF">2023-07-31T07:14:00Z</dcterms:created>
  <dcterms:modified xsi:type="dcterms:W3CDTF">2023-07-31T07:14:00Z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