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6DCE2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A6811E" w14:textId="77777777" w:rsidR="002D5AAC" w:rsidRDefault="002D5AAC" w:rsidP="00FA2C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B451E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B734B5" w14:textId="7FC7703E" w:rsidR="002D5AAC" w:rsidRDefault="00FA2CB1" w:rsidP="00FA2CB1">
            <w:pPr>
              <w:jc w:val="right"/>
            </w:pPr>
            <w:r w:rsidRPr="00FA2CB1">
              <w:rPr>
                <w:sz w:val="40"/>
              </w:rPr>
              <w:t>ECE</w:t>
            </w:r>
            <w:r>
              <w:t>/TRANS/WP.15/AC.1/2023/34</w:t>
            </w:r>
          </w:p>
        </w:tc>
      </w:tr>
      <w:tr w:rsidR="002D5AAC" w14:paraId="4BC111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8ABC8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50BD20" wp14:editId="3E7425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6F8B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E56192" w14:textId="77777777" w:rsidR="002D5AAC" w:rsidRDefault="00FA2C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7B13AC" w14:textId="14E32C32" w:rsidR="00FA2CB1" w:rsidRDefault="00FA2CB1" w:rsidP="00FA2C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</w:t>
            </w:r>
            <w:r w:rsidR="008E0753">
              <w:rPr>
                <w:lang w:val="en-US"/>
              </w:rPr>
              <w:t>ne</w:t>
            </w:r>
            <w:r>
              <w:rPr>
                <w:lang w:val="en-US"/>
              </w:rPr>
              <w:t xml:space="preserve"> 2023</w:t>
            </w:r>
          </w:p>
          <w:p w14:paraId="78FCDC38" w14:textId="77777777" w:rsidR="00FA2CB1" w:rsidRDefault="00FA2CB1" w:rsidP="00FA2C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50C5CD" w14:textId="7126ABD8" w:rsidR="00FA2CB1" w:rsidRPr="008D53B6" w:rsidRDefault="00FA2CB1" w:rsidP="00FA2C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D9A3B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889AEC" w14:textId="77777777" w:rsidR="00FA2CB1" w:rsidRPr="00693398" w:rsidRDefault="00FA2CB1" w:rsidP="00FA2CB1">
      <w:pPr>
        <w:spacing w:before="120"/>
        <w:rPr>
          <w:sz w:val="28"/>
          <w:szCs w:val="28"/>
        </w:rPr>
      </w:pPr>
      <w:r w:rsidRPr="00693398">
        <w:rPr>
          <w:sz w:val="28"/>
          <w:szCs w:val="28"/>
        </w:rPr>
        <w:t>Комитет по внутреннему транспорту</w:t>
      </w:r>
    </w:p>
    <w:p w14:paraId="5FAC35C9" w14:textId="77777777" w:rsidR="00FA2CB1" w:rsidRPr="00693398" w:rsidRDefault="00FA2CB1" w:rsidP="00FA2CB1">
      <w:pPr>
        <w:spacing w:before="120"/>
        <w:rPr>
          <w:b/>
          <w:sz w:val="24"/>
          <w:szCs w:val="24"/>
        </w:rPr>
      </w:pPr>
      <w:r w:rsidRPr="00693398">
        <w:rPr>
          <w:b/>
          <w:bCs/>
          <w:sz w:val="24"/>
          <w:szCs w:val="24"/>
        </w:rPr>
        <w:t>Рабочая группа по перевозкам опасных грузов</w:t>
      </w:r>
    </w:p>
    <w:p w14:paraId="6C9848FE" w14:textId="7A212477" w:rsidR="00FA2CB1" w:rsidRPr="004A5E38" w:rsidRDefault="00FA2CB1" w:rsidP="00FA2CB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693398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29352479" w14:textId="41B30B9F" w:rsidR="00FA2CB1" w:rsidRPr="004A5E38" w:rsidRDefault="00FA2CB1" w:rsidP="00FA2CB1">
      <w:r>
        <w:t>Женева, 19</w:t>
      </w:r>
      <w:r w:rsidR="00693398">
        <w:t>–</w:t>
      </w:r>
      <w:r>
        <w:t>29 сентября 2023 года</w:t>
      </w:r>
    </w:p>
    <w:p w14:paraId="76C4F485" w14:textId="77777777" w:rsidR="00FA2CB1" w:rsidRPr="004A5E38" w:rsidRDefault="00FA2CB1" w:rsidP="00FA2CB1">
      <w:r>
        <w:t>Пункт 3 предварительной повестки дня</w:t>
      </w:r>
    </w:p>
    <w:p w14:paraId="7CE585DA" w14:textId="77777777" w:rsidR="00FA2CB1" w:rsidRPr="004A5E38" w:rsidRDefault="00FA2CB1" w:rsidP="00FA2CB1">
      <w:pPr>
        <w:rPr>
          <w:b/>
        </w:rPr>
      </w:pPr>
      <w:r>
        <w:rPr>
          <w:b/>
          <w:bCs/>
        </w:rPr>
        <w:t>Стандарты</w:t>
      </w:r>
    </w:p>
    <w:p w14:paraId="0C4CFFFF" w14:textId="77777777" w:rsidR="00FA2CB1" w:rsidRPr="004A5E38" w:rsidRDefault="00FA2CB1" w:rsidP="00FA2CB1">
      <w:pPr>
        <w:pStyle w:val="HChG"/>
        <w:outlineLvl w:val="0"/>
      </w:pPr>
      <w:r>
        <w:tab/>
      </w:r>
      <w:r>
        <w:tab/>
      </w:r>
      <w:r>
        <w:rPr>
          <w:bCs/>
        </w:rPr>
        <w:t>Информация о работе Рабочей группы по стандартам</w:t>
      </w:r>
    </w:p>
    <w:p w14:paraId="0105A099" w14:textId="62D481BF" w:rsidR="00FA2CB1" w:rsidRPr="004A5E38" w:rsidRDefault="00FA2CB1" w:rsidP="00FA2CB1">
      <w:pPr>
        <w:pStyle w:val="H1G"/>
        <w:rPr>
          <w:b w:val="0"/>
          <w:sz w:val="18"/>
          <w:szCs w:val="18"/>
        </w:rPr>
      </w:pPr>
      <w:r>
        <w:tab/>
      </w:r>
      <w:r>
        <w:tab/>
      </w:r>
      <w:r>
        <w:rPr>
          <w:bCs/>
        </w:rPr>
        <w:t>Передано Европейским комитетом по стандартизации (ЕКС)</w:t>
      </w:r>
      <w:r w:rsidRPr="0069339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693398" w:rsidRPr="00693398">
        <w:rPr>
          <w:b w:val="0"/>
          <w:bCs/>
          <w:sz w:val="20"/>
        </w:rPr>
        <w:t xml:space="preserve"> </w:t>
      </w:r>
      <w:r w:rsidRPr="0069339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4FEEC195" w14:textId="77777777" w:rsidR="00FA2CB1" w:rsidRPr="00104A1E" w:rsidRDefault="00FA2CB1" w:rsidP="00FA2CB1">
      <w:pPr>
        <w:pStyle w:val="HChG"/>
        <w:outlineLvl w:val="0"/>
      </w:pPr>
      <w:r>
        <w:tab/>
      </w:r>
      <w:r>
        <w:tab/>
      </w:r>
      <w:r>
        <w:rPr>
          <w:bCs/>
        </w:rPr>
        <w:t>Введение</w:t>
      </w:r>
    </w:p>
    <w:p w14:paraId="15854D38" w14:textId="7D0CFD3B" w:rsidR="00FA2CB1" w:rsidRPr="004A5E38" w:rsidRDefault="00FA2CB1" w:rsidP="00FA2CB1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В соответствии с соглашением о сотрудничестве между ЕКС/СЕНЕЛЕК и Совместным совещанием (см. документ ECE/TRANS/WP.15/AC.1/122/Add.2 с изменениями, содержащимися в документе ECE/TRANS/WP.15/AC.1/130, приложение III) Центр управления (ЦУЕC) предложил стандарты, ссылки на которые предполагается включить в МПОГ/ДОПОГ.</w:t>
      </w:r>
    </w:p>
    <w:p w14:paraId="35F0255A" w14:textId="77777777" w:rsidR="00FA2CB1" w:rsidRPr="004A5E38" w:rsidRDefault="00FA2CB1" w:rsidP="00FA2CB1">
      <w:pPr>
        <w:pStyle w:val="HChG"/>
      </w:pPr>
      <w:r>
        <w:tab/>
      </w:r>
      <w:r>
        <w:tab/>
      </w:r>
      <w:r>
        <w:rPr>
          <w:bCs/>
        </w:rPr>
        <w:t>Деятельность, осуществленная за последнее полугодие</w:t>
      </w:r>
    </w:p>
    <w:p w14:paraId="58D5B686" w14:textId="5A366758" w:rsidR="00FA2CB1" w:rsidRPr="004A5E38" w:rsidRDefault="00FA2CB1" w:rsidP="00FA2CB1">
      <w:pPr>
        <w:pStyle w:val="SingleTxtG"/>
      </w:pPr>
      <w:r>
        <w:t>2.</w:t>
      </w:r>
      <w:r>
        <w:tab/>
        <w:t>ЕКС подготовил три рассылки — от</w:t>
      </w:r>
      <w:r>
        <w:rPr>
          <w:rFonts w:eastAsiaTheme="minorEastAsia"/>
          <w:lang w:eastAsia="zh-CN" w:bidi="ar-TN"/>
        </w:rPr>
        <w:t xml:space="preserve"> </w:t>
      </w:r>
      <w:r>
        <w:t>4 апреля 2023 года, 10 мая 2023 года и 12</w:t>
      </w:r>
      <w:r w:rsidR="00693398">
        <w:rPr>
          <w:lang w:val="en-US"/>
        </w:rPr>
        <w:t> </w:t>
      </w:r>
      <w:r>
        <w:t>июня 2023 года  — для рассмотрения Рабочей группой по стандартам. По всем трем рассылкам были проведены независимые оценки стандартов.</w:t>
      </w:r>
      <w:bookmarkStart w:id="0" w:name="_Hlk137648860"/>
      <w:bookmarkEnd w:id="0"/>
    </w:p>
    <w:p w14:paraId="19C821CD" w14:textId="77777777" w:rsidR="00FA2CB1" w:rsidRPr="004A5E38" w:rsidRDefault="00FA2CB1" w:rsidP="00FA2CB1">
      <w:pPr>
        <w:pStyle w:val="HChG"/>
      </w:pPr>
      <w:r>
        <w:tab/>
      </w:r>
      <w:r>
        <w:tab/>
      </w:r>
      <w:r>
        <w:rPr>
          <w:bCs/>
        </w:rPr>
        <w:t>Новые направления работы</w:t>
      </w:r>
    </w:p>
    <w:p w14:paraId="2DC57743" w14:textId="77777777" w:rsidR="00FA2CB1" w:rsidRPr="004A5E38" w:rsidRDefault="00FA2CB1" w:rsidP="00FA2CB1">
      <w:pPr>
        <w:pStyle w:val="SingleTxtG"/>
      </w:pPr>
      <w:r>
        <w:t>3.</w:t>
      </w:r>
      <w:r>
        <w:tab/>
        <w:t>В связи с программой работы ЕКС Совместному совещанию предлагается принять к сведению, что в программу работы технических комитетов ЕКС/ТК 23, 268, 286 и 296 были включены следующие новые направления работы, связанные с перевозкой опасных грузов.</w:t>
      </w:r>
    </w:p>
    <w:p w14:paraId="0B7D0B40" w14:textId="77777777" w:rsidR="00FA2CB1" w:rsidRPr="004A5E38" w:rsidRDefault="00FA2CB1" w:rsidP="00FA2CB1">
      <w:pPr>
        <w:pStyle w:val="SingleTxtG"/>
      </w:pPr>
      <w:r>
        <w:t>4.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57255BC8" w14:textId="77777777" w:rsidR="00FA2CB1" w:rsidRPr="004A5E38" w:rsidRDefault="00FA2CB1" w:rsidP="00FA2CB1">
      <w:pPr>
        <w:pStyle w:val="H23G"/>
      </w:pPr>
      <w:r>
        <w:lastRenderedPageBreak/>
        <w:tab/>
      </w:r>
      <w:r>
        <w:tab/>
      </w:r>
      <w:r>
        <w:rPr>
          <w:bCs/>
        </w:rPr>
        <w:t>Таблица новых направлений работы ЕКС, связанных с положениями MПОГ/ДОПОГ/ВОПОГ</w:t>
      </w:r>
      <w:r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29"/>
        <w:gridCol w:w="1706"/>
        <w:gridCol w:w="3259"/>
      </w:tblGrid>
      <w:tr w:rsidR="00FA2CB1" w:rsidRPr="0017496E" w14:paraId="6BB6CAA6" w14:textId="77777777" w:rsidTr="0017496E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3EF713" w14:textId="77777777" w:rsidR="00FA2CB1" w:rsidRPr="0017496E" w:rsidRDefault="00FA2CB1" w:rsidP="001749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7496E">
              <w:rPr>
                <w:rFonts w:cs="Times New Roman"/>
                <w:i/>
                <w:sz w:val="16"/>
              </w:rPr>
              <w:t>Орган, ответственный за разработку стандарта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997190" w14:textId="77777777" w:rsidR="00FA2CB1" w:rsidRPr="0017496E" w:rsidRDefault="00FA2CB1" w:rsidP="001749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7496E">
              <w:rPr>
                <w:rFonts w:cs="Times New Roman"/>
                <w:i/>
                <w:sz w:val="16"/>
              </w:rPr>
              <w:t>Направление работы №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A67D1A" w14:textId="77777777" w:rsidR="00FA2CB1" w:rsidRPr="0017496E" w:rsidRDefault="00FA2CB1" w:rsidP="001749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7496E">
              <w:rPr>
                <w:rFonts w:cs="Times New Roman"/>
                <w:i/>
                <w:sz w:val="16"/>
              </w:rPr>
              <w:t>Ссылка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1A157B" w14:textId="77777777" w:rsidR="00FA2CB1" w:rsidRPr="0017496E" w:rsidRDefault="00FA2CB1" w:rsidP="0017496E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17496E">
              <w:rPr>
                <w:rFonts w:cs="Times New Roman"/>
                <w:i/>
                <w:sz w:val="16"/>
              </w:rPr>
              <w:t>Название</w:t>
            </w:r>
          </w:p>
        </w:tc>
      </w:tr>
      <w:tr w:rsidR="0017496E" w:rsidRPr="0017496E" w14:paraId="4C704091" w14:textId="77777777" w:rsidTr="0017496E">
        <w:trPr>
          <w:trHeight w:hRule="exact" w:val="113"/>
          <w:tblHeader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BA1AE44" w14:textId="77777777" w:rsidR="0017496E" w:rsidRPr="0017496E" w:rsidRDefault="0017496E" w:rsidP="0017496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14:paraId="14A75021" w14:textId="77777777" w:rsidR="0017496E" w:rsidRPr="0017496E" w:rsidRDefault="0017496E" w:rsidP="0017496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</w:tcPr>
          <w:p w14:paraId="71B9CB44" w14:textId="77777777" w:rsidR="0017496E" w:rsidRPr="0017496E" w:rsidRDefault="0017496E" w:rsidP="0017496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</w:tcPr>
          <w:p w14:paraId="7FB7E244" w14:textId="77777777" w:rsidR="0017496E" w:rsidRPr="0017496E" w:rsidRDefault="0017496E" w:rsidP="0017496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FA2CB1" w:rsidRPr="0017496E" w14:paraId="35F9D1DD" w14:textId="77777777" w:rsidTr="0017496E"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0E7256E" w14:textId="77777777" w:rsidR="00FA2CB1" w:rsidRPr="0017496E" w:rsidRDefault="00FA2CB1" w:rsidP="0017496E">
            <w:pPr>
              <w:spacing w:before="40" w:after="120"/>
              <w:ind w:right="113"/>
              <w:rPr>
                <w:rFonts w:cs="Times New Roman"/>
              </w:rPr>
            </w:pPr>
            <w:r w:rsidRPr="0017496E">
              <w:rPr>
                <w:rFonts w:cs="Times New Roman"/>
              </w:rPr>
              <w:t>CEN/TC 23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14:paraId="1E93E8E5" w14:textId="77777777" w:rsidR="00FA2CB1" w:rsidRPr="0017496E" w:rsidRDefault="00FA2CB1" w:rsidP="0017496E">
            <w:pPr>
              <w:spacing w:before="40" w:after="120"/>
              <w:ind w:right="113"/>
              <w:rPr>
                <w:rFonts w:cs="Times New Roman"/>
              </w:rPr>
            </w:pPr>
            <w:r w:rsidRPr="0017496E">
              <w:rPr>
                <w:rFonts w:cs="Times New Roman"/>
              </w:rPr>
              <w:t>00023252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</w:tcPr>
          <w:p w14:paraId="2B5A5D4E" w14:textId="77777777" w:rsidR="00FA2CB1" w:rsidRPr="0017496E" w:rsidRDefault="00FA2CB1" w:rsidP="0017496E">
            <w:pPr>
              <w:spacing w:before="40" w:after="120"/>
              <w:ind w:right="113"/>
              <w:rPr>
                <w:rFonts w:cs="Times New Roman"/>
              </w:rPr>
            </w:pPr>
            <w:r w:rsidRPr="0017496E">
              <w:rPr>
                <w:rFonts w:cs="Times New Roman"/>
              </w:rPr>
              <w:t>EN ISO  17871:2020/prA1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14:paraId="44BA3115" w14:textId="6E06100A" w:rsidR="00FA2CB1" w:rsidRPr="0017496E" w:rsidRDefault="00FA2CB1" w:rsidP="0017496E">
            <w:pPr>
              <w:spacing w:before="40" w:after="120"/>
              <w:ind w:right="113"/>
              <w:rPr>
                <w:rFonts w:cs="Times New Roman"/>
              </w:rPr>
            </w:pPr>
            <w:r w:rsidRPr="0017496E">
              <w:rPr>
                <w:rFonts w:cs="Times New Roman"/>
              </w:rPr>
              <w:t xml:space="preserve">Газовые баллоны — Быстрооткрывающиеся вентили баллонов — Технические требования и испытания по типу конструкции </w:t>
            </w:r>
            <w:r w:rsidR="005A183A" w:rsidRPr="005A183A">
              <w:rPr>
                <w:rFonts w:cs="Times New Roman"/>
              </w:rPr>
              <w:t>—</w:t>
            </w:r>
            <w:r w:rsidRPr="0017496E">
              <w:rPr>
                <w:rFonts w:cs="Times New Roman"/>
              </w:rPr>
              <w:t xml:space="preserve"> Поправка 1</w:t>
            </w:r>
          </w:p>
        </w:tc>
      </w:tr>
    </w:tbl>
    <w:p w14:paraId="4BF4DFF4" w14:textId="77777777" w:rsidR="00FA2CB1" w:rsidRPr="00104A1E" w:rsidRDefault="00FA2CB1" w:rsidP="00FA2CB1">
      <w:pPr>
        <w:pStyle w:val="HChG"/>
      </w:pPr>
      <w:r>
        <w:tab/>
      </w:r>
      <w:r>
        <w:tab/>
      </w:r>
      <w:r>
        <w:rPr>
          <w:bCs/>
        </w:rPr>
        <w:t>Новые и измененные ссылки на стандарты</w:t>
      </w:r>
    </w:p>
    <w:p w14:paraId="61CC1D3F" w14:textId="77777777" w:rsidR="00FA2CB1" w:rsidRDefault="00FA2CB1" w:rsidP="00FA2CB1">
      <w:pPr>
        <w:pStyle w:val="SingleTxtG"/>
      </w:pPr>
      <w:r>
        <w:t>5.</w:t>
      </w:r>
      <w:r>
        <w:tab/>
        <w:t>После сессии, состоявшейся в марте 2023 года, проекты стандартов достигли этапов общественной экспертизы, официального голосования или публикации. Они перечислены в приложении к настоящему документу.</w:t>
      </w:r>
    </w:p>
    <w:p w14:paraId="0C003DBF" w14:textId="06E3A18C" w:rsidR="00693398" w:rsidRDefault="00FA2CB1" w:rsidP="00FA2CB1">
      <w:pPr>
        <w:pStyle w:val="SingleTxtG"/>
        <w:sectPr w:rsidR="00693398" w:rsidSect="00FA2CB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t>6.</w:t>
      </w:r>
      <w:r>
        <w:tab/>
        <w:t>Участникам Совместного совещания уже было предложено представить свои замечания по документам, перечисленным в рассылках от 4 апреля 2023 года, 10 мая 2023 года и 12 июня 2023 года. У них еще есть время, чтобы представить свои замечания в ЦУЕC (</w:t>
      </w:r>
      <w:hyperlink r:id="rId13" w:history="1">
        <w:r w:rsidR="005A183A" w:rsidRPr="00043CD9">
          <w:rPr>
            <w:rStyle w:val="af1"/>
          </w:rPr>
          <w:t>macarreira@cencenelec.eu</w:t>
        </w:r>
      </w:hyperlink>
      <w:r>
        <w:t>)</w:t>
      </w:r>
      <w:r w:rsidR="005A183A">
        <w:t xml:space="preserve"> — </w:t>
      </w:r>
      <w:r>
        <w:rPr>
          <w:b/>
          <w:bCs/>
        </w:rPr>
        <w:t>до 23 июня 2023 года</w:t>
      </w:r>
      <w:r>
        <w:t xml:space="preserve">, хотя ожидается, что большинство замечаний поступят ближе к срокам проведения </w:t>
      </w:r>
      <w:r w:rsidR="005A183A">
        <w:br/>
      </w:r>
      <w:r>
        <w:t xml:space="preserve">веб-конференций. Для рассмотрения этих замечаний </w:t>
      </w:r>
      <w:r>
        <w:rPr>
          <w:b/>
          <w:bCs/>
        </w:rPr>
        <w:t>29 августа 2023 года</w:t>
      </w:r>
      <w:r>
        <w:t xml:space="preserve"> планируется проведение специальных веб-конференций. Все замечания будут сведены в отдельный документ и представлены Совместному совещанию.</w:t>
      </w:r>
    </w:p>
    <w:p w14:paraId="2E47C678" w14:textId="77777777" w:rsidR="00693398" w:rsidRPr="004A5E38" w:rsidRDefault="00693398" w:rsidP="00693398">
      <w:pPr>
        <w:pStyle w:val="HChG"/>
        <w:outlineLvl w:val="0"/>
      </w:pPr>
      <w:r>
        <w:rPr>
          <w:bCs/>
        </w:rPr>
        <w:lastRenderedPageBreak/>
        <w:t>Приложение</w:t>
      </w:r>
    </w:p>
    <w:p w14:paraId="1295B413" w14:textId="7F7F8817" w:rsidR="00693398" w:rsidRPr="004A5E38" w:rsidRDefault="00693398" w:rsidP="00693398">
      <w:pPr>
        <w:pStyle w:val="H1G"/>
      </w:pPr>
      <w:r>
        <w:tab/>
      </w:r>
      <w:r w:rsidRPr="004A5E38">
        <w:t>A.</w:t>
      </w:r>
      <w:r w:rsidRPr="004A5E38">
        <w:tab/>
      </w:r>
      <w:r w:rsidRPr="00BA6AD4">
        <w:t xml:space="preserve">Стандарты на этапе разработки 2: </w:t>
      </w:r>
      <w:r w:rsidRPr="00693398">
        <w:t>общественная</w:t>
      </w:r>
      <w:r>
        <w:t xml:space="preserve"> экспертиза</w:t>
      </w:r>
    </w:p>
    <w:p w14:paraId="142A0583" w14:textId="77777777" w:rsidR="00693398" w:rsidRPr="00693398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bCs w:val="0"/>
          <w:iCs/>
          <w:sz w:val="20"/>
          <w:szCs w:val="20"/>
        </w:rPr>
      </w:pPr>
      <w:bookmarkStart w:id="1" w:name="_Hlk26779328"/>
      <w:r w:rsidRPr="00693398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Рассылка 1</w:t>
      </w:r>
    </w:p>
    <w:tbl>
      <w:tblPr>
        <w:tblW w:w="49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18"/>
        <w:gridCol w:w="20"/>
        <w:gridCol w:w="1122"/>
        <w:gridCol w:w="3850"/>
        <w:gridCol w:w="17"/>
        <w:gridCol w:w="2117"/>
        <w:gridCol w:w="17"/>
        <w:gridCol w:w="2131"/>
        <w:gridCol w:w="2751"/>
      </w:tblGrid>
      <w:tr w:rsidR="00693398" w:rsidRPr="00BA6AD4" w14:paraId="264AEC91" w14:textId="77777777" w:rsidTr="0017496E">
        <w:trPr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222671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EN ISO 18119:2018/prA2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298B33" w14:textId="1965867F" w:rsidR="00693398" w:rsidRPr="004A5E38" w:rsidRDefault="00693398" w:rsidP="00CF4340">
            <w:pPr>
              <w:pStyle w:val="Pa0"/>
              <w:spacing w:line="240" w:lineRule="auto"/>
              <w:jc w:val="center"/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ru-RU"/>
              </w:rPr>
            </w:pP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Газовые баллоны — Бесшовные стальные газовые баллоны и трубки и бесшовные газовые баллоны и трубки из алюминиевого сплава — Периодические проверки и испытания — Поправка 2 </w:t>
            </w:r>
            <w:r w:rsidR="0017496E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(ISO 18119:2018/DAM 2:2023)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15D2F3" w14:textId="30CFD358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Ссылка: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</w:rPr>
              <w:t>пункт 6.2.4.2</w:t>
            </w:r>
          </w:p>
          <w:p w14:paraId="184A6E6D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5350AD" w14:textId="76D866DB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</w:tc>
      </w:tr>
      <w:tr w:rsidR="00693398" w:rsidRPr="00BA6AD4" w14:paraId="7692469F" w14:textId="77777777" w:rsidTr="0017496E">
        <w:trPr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6249D9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00023253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B7D523" w14:textId="77777777" w:rsidR="00693398" w:rsidRPr="00BA6AD4" w:rsidRDefault="00693398" w:rsidP="00CF4340">
            <w:pPr>
              <w:ind w:right="16"/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3786840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440C22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3C355777" w14:textId="77777777" w:rsidTr="0017496E">
        <w:tc>
          <w:tcPr>
            <w:tcW w:w="5000" w:type="pct"/>
            <w:gridSpan w:val="10"/>
          </w:tcPr>
          <w:p w14:paraId="64AC2C88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советника по стандартам Совместного совещания (СССС): данный стандарт соответствует положениям МПОГ/ДОПОГ и может быть включен в перечень стандартов, на которые даются ссылки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12AD4D54" w14:textId="77777777" w:rsidTr="0017496E">
        <w:tc>
          <w:tcPr>
            <w:tcW w:w="5000" w:type="pct"/>
            <w:gridSpan w:val="10"/>
          </w:tcPr>
          <w:p w14:paraId="656945F2" w14:textId="77777777" w:rsidR="00693398" w:rsidRPr="00BA6AD4" w:rsidRDefault="00693398" w:rsidP="00CF4340">
            <w:pPr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</w:p>
        </w:tc>
      </w:tr>
      <w:tr w:rsidR="00693398" w:rsidRPr="00BA6AD4" w14:paraId="5B1CEF5F" w14:textId="77777777" w:rsidTr="0017496E">
        <w:tc>
          <w:tcPr>
            <w:tcW w:w="313" w:type="pct"/>
            <w:tcMar>
              <w:top w:w="57" w:type="dxa"/>
              <w:bottom w:w="57" w:type="dxa"/>
            </w:tcMar>
          </w:tcPr>
          <w:p w14:paraId="1D7C3F0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428A82CD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56C8C019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6E7E5FD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012E9B83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</w:t>
            </w:r>
          </w:p>
          <w:p w14:paraId="7410A84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СССС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3E13EA9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</w:t>
            </w:r>
          </w:p>
          <w:p w14:paraId="1D1C20A4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РГ по стандартам</w:t>
            </w:r>
          </w:p>
        </w:tc>
      </w:tr>
      <w:tr w:rsidR="00693398" w:rsidRPr="00BA6AD4" w14:paraId="67A97312" w14:textId="77777777" w:rsidTr="0017496E">
        <w:tc>
          <w:tcPr>
            <w:tcW w:w="313" w:type="pct"/>
            <w:tcMar>
              <w:top w:w="0" w:type="dxa"/>
              <w:bottom w:w="0" w:type="dxa"/>
            </w:tcMar>
          </w:tcPr>
          <w:p w14:paraId="0017E768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01536BB" w14:textId="77777777" w:rsidR="00693398" w:rsidRPr="00BA6AD4" w:rsidRDefault="00693398" w:rsidP="00CF4340">
            <w:pPr>
              <w:pStyle w:val="ISOClause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8E17562" w14:textId="77777777" w:rsidR="00693398" w:rsidRPr="00BA6AD4" w:rsidRDefault="00693398" w:rsidP="00CF4340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C6102B9" w14:textId="77777777" w:rsidR="00693398" w:rsidRPr="00BA6AD4" w:rsidRDefault="00693398" w:rsidP="00CF4340">
            <w:pPr>
              <w:pStyle w:val="ISOChange"/>
              <w:spacing w:before="60" w:after="60" w:line="240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0B2500A" w14:textId="77777777" w:rsidR="00693398" w:rsidRPr="00BA6AD4" w:rsidRDefault="00693398" w:rsidP="00CF4340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03B591DD" w14:textId="77777777" w:rsidR="00693398" w:rsidRPr="00BA6AD4" w:rsidRDefault="00693398" w:rsidP="00CF4340">
            <w:pPr>
              <w:keepLines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07EE2025" w14:textId="77777777" w:rsidTr="0017496E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AB064A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C13840A" w14:textId="77777777" w:rsidR="00693398" w:rsidRPr="00BA6AD4" w:rsidRDefault="00693398" w:rsidP="00CF4340">
            <w:pPr>
              <w:pStyle w:val="ISOParagraph"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3BD2DC6" w14:textId="77777777" w:rsidR="00693398" w:rsidRPr="00BA6AD4" w:rsidRDefault="00693398" w:rsidP="00CF4340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B920355" w14:textId="77777777" w:rsidR="00693398" w:rsidRPr="00BA6AD4" w:rsidRDefault="00693398" w:rsidP="00CF43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B96BE20" w14:textId="77777777" w:rsidR="00693398" w:rsidRPr="00BA6AD4" w:rsidRDefault="00693398" w:rsidP="00CF4340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4108C158" w14:textId="77777777" w:rsidR="00693398" w:rsidRPr="00BA6AD4" w:rsidRDefault="00693398" w:rsidP="00CF4340">
            <w:pPr>
              <w:keepLines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44F134B7" w14:textId="77777777" w:rsidTr="0017496E">
        <w:trPr>
          <w:trHeight w:val="490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53D061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B6E0823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73AD39A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46D466DA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D7AA3F7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74801F3A" w14:textId="77777777" w:rsidR="00693398" w:rsidRPr="00BA6AD4" w:rsidRDefault="00693398" w:rsidP="00693398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</w:rPr>
      </w:pPr>
    </w:p>
    <w:tbl>
      <w:tblPr>
        <w:tblW w:w="49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18"/>
        <w:gridCol w:w="20"/>
        <w:gridCol w:w="1122"/>
        <w:gridCol w:w="3850"/>
        <w:gridCol w:w="17"/>
        <w:gridCol w:w="2117"/>
        <w:gridCol w:w="17"/>
        <w:gridCol w:w="2131"/>
        <w:gridCol w:w="2751"/>
      </w:tblGrid>
      <w:tr w:rsidR="00693398" w:rsidRPr="004A5E38" w14:paraId="72E33890" w14:textId="77777777" w:rsidTr="0017496E">
        <w:trPr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3AF099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EN ISO 10297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2D1996" w14:textId="0B085C32" w:rsidR="00693398" w:rsidRPr="004A5E38" w:rsidRDefault="00693398" w:rsidP="00CF4340">
            <w:pPr>
              <w:pStyle w:val="Pa0"/>
              <w:spacing w:line="240" w:lineRule="auto"/>
              <w:jc w:val="center"/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ru-RU"/>
              </w:rPr>
            </w:pP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Газовые баллоны — Вентили баллонов — </w:t>
            </w:r>
            <w:r w:rsidR="005A183A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Технические требования и испытания по типу </w:t>
            </w:r>
            <w:r w:rsidR="005A183A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конструкции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D10AAE" w14:textId="0E08F15C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Ссылка: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</w:rPr>
              <w:t>пункты 4.1.6.15, 6.2.4.1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E2B268" w14:textId="75C7DB49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</w:rPr>
              <w:t>6.2.3.1 и 6.2.3.3</w:t>
            </w:r>
          </w:p>
        </w:tc>
      </w:tr>
      <w:tr w:rsidR="00693398" w:rsidRPr="00BA6AD4" w14:paraId="19C3B1C5" w14:textId="77777777" w:rsidTr="0017496E">
        <w:trPr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1FDE50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00023232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447E2A2" w14:textId="77777777" w:rsidR="00693398" w:rsidRPr="00BA6AD4" w:rsidRDefault="00693398" w:rsidP="00CF4340">
            <w:pPr>
              <w:ind w:right="16"/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CE3751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2D0FCB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02A9949A" w14:textId="77777777" w:rsidTr="0017496E">
        <w:tc>
          <w:tcPr>
            <w:tcW w:w="5000" w:type="pct"/>
            <w:gridSpan w:val="10"/>
          </w:tcPr>
          <w:p w14:paraId="03878FF0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перечень стандартов, на которые даются ссылки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7AF5CC94" w14:textId="77777777" w:rsidTr="0017496E">
        <w:tc>
          <w:tcPr>
            <w:tcW w:w="5000" w:type="pct"/>
            <w:gridSpan w:val="10"/>
          </w:tcPr>
          <w:p w14:paraId="3EB68414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lastRenderedPageBreak/>
              <w:t>Комментарии участников Совместного совещания:</w:t>
            </w:r>
          </w:p>
        </w:tc>
      </w:tr>
      <w:tr w:rsidR="00693398" w:rsidRPr="00BA6AD4" w14:paraId="12222313" w14:textId="77777777" w:rsidTr="0017496E">
        <w:tc>
          <w:tcPr>
            <w:tcW w:w="313" w:type="pct"/>
            <w:tcMar>
              <w:top w:w="57" w:type="dxa"/>
              <w:bottom w:w="57" w:type="dxa"/>
            </w:tcMar>
          </w:tcPr>
          <w:p w14:paraId="42B64E64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6EA1948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3DD8DFE2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4411BD30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7793BD57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</w:t>
            </w:r>
          </w:p>
          <w:p w14:paraId="79D3A9D0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СССС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48269077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</w:t>
            </w:r>
          </w:p>
          <w:p w14:paraId="0A810179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РГ по стандартам</w:t>
            </w:r>
          </w:p>
        </w:tc>
      </w:tr>
      <w:tr w:rsidR="00693398" w:rsidRPr="00BA6AD4" w14:paraId="47411846" w14:textId="77777777" w:rsidTr="0017496E">
        <w:tc>
          <w:tcPr>
            <w:tcW w:w="313" w:type="pct"/>
            <w:tcMar>
              <w:top w:w="0" w:type="dxa"/>
              <w:bottom w:w="0" w:type="dxa"/>
            </w:tcMar>
          </w:tcPr>
          <w:p w14:paraId="42A85882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F584D71" w14:textId="77777777" w:rsidR="00693398" w:rsidRPr="00BA6AD4" w:rsidRDefault="00693398" w:rsidP="0017496E">
            <w:pPr>
              <w:pStyle w:val="ISOClause"/>
              <w:keepNext/>
              <w:keepLines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99FB634" w14:textId="77777777" w:rsidR="00693398" w:rsidRPr="00BA6AD4" w:rsidRDefault="00693398" w:rsidP="0017496E">
            <w:pPr>
              <w:pStyle w:val="ISOComments"/>
              <w:keepNext/>
              <w:keepLines/>
              <w:spacing w:before="60" w:after="60" w:line="240" w:lineRule="auto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F1DADAD" w14:textId="77777777" w:rsidR="00693398" w:rsidRPr="00BA6AD4" w:rsidRDefault="00693398" w:rsidP="0017496E">
            <w:pPr>
              <w:pStyle w:val="ISOChange"/>
              <w:keepNext/>
              <w:keepLines/>
              <w:spacing w:before="60" w:after="60" w:line="240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09C95F2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231456C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5460B78D" w14:textId="77777777" w:rsidTr="0017496E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74D1FAE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4C51F6A" w14:textId="77777777" w:rsidR="00693398" w:rsidRPr="00BA6AD4" w:rsidRDefault="00693398" w:rsidP="0017496E">
            <w:pPr>
              <w:pStyle w:val="ISOParagraph"/>
              <w:keepNext/>
              <w:keepLines/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953111B" w14:textId="77777777" w:rsidR="00693398" w:rsidRPr="00BA6AD4" w:rsidRDefault="00693398" w:rsidP="0017496E">
            <w:pPr>
              <w:pStyle w:val="ISOComments"/>
              <w:keepNext/>
              <w:keepLines/>
              <w:spacing w:before="60" w:after="60" w:line="240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2C40C5A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61AC6D7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2C4B008C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349041A5" w14:textId="77777777" w:rsidTr="0017496E">
        <w:trPr>
          <w:trHeight w:val="622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D6E7B02" w14:textId="77777777" w:rsidR="00693398" w:rsidRPr="00BA6AD4" w:rsidRDefault="00693398" w:rsidP="0017496E">
            <w:pPr>
              <w:keepNext/>
              <w:keepLines/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271CCF3" w14:textId="77777777" w:rsidR="00693398" w:rsidRPr="00BA6AD4" w:rsidRDefault="00693398" w:rsidP="0017496E">
            <w:pPr>
              <w:keepNext/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2D05C38" w14:textId="77777777" w:rsidR="00693398" w:rsidRPr="00BA6AD4" w:rsidRDefault="00693398" w:rsidP="0017496E">
            <w:pPr>
              <w:keepNext/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1E6EB74C" w14:textId="77777777" w:rsidR="00693398" w:rsidRPr="00BA6AD4" w:rsidRDefault="00693398" w:rsidP="0017496E">
            <w:pPr>
              <w:keepNext/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87AA81E" w14:textId="77777777" w:rsidR="00693398" w:rsidRPr="00BA6AD4" w:rsidRDefault="00693398" w:rsidP="0017496E">
            <w:pPr>
              <w:keepNext/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1D331A01" w14:textId="77777777" w:rsidR="00693398" w:rsidRPr="0017496E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bCs w:val="0"/>
          <w:iCs/>
          <w:sz w:val="20"/>
          <w:szCs w:val="20"/>
        </w:rPr>
      </w:pPr>
      <w:r w:rsidRPr="0017496E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Рассылка 2</w:t>
      </w:r>
    </w:p>
    <w:tbl>
      <w:tblPr>
        <w:tblW w:w="49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18"/>
        <w:gridCol w:w="20"/>
        <w:gridCol w:w="1122"/>
        <w:gridCol w:w="3850"/>
        <w:gridCol w:w="17"/>
        <w:gridCol w:w="2117"/>
        <w:gridCol w:w="17"/>
        <w:gridCol w:w="2131"/>
        <w:gridCol w:w="2751"/>
      </w:tblGrid>
      <w:tr w:rsidR="00693398" w:rsidRPr="004A5E38" w14:paraId="54994D01" w14:textId="77777777" w:rsidTr="0017496E">
        <w:trPr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7961A5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prEN 17339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7A3C324" w14:textId="5AC59865" w:rsidR="00693398" w:rsidRPr="004A5E38" w:rsidRDefault="00693398" w:rsidP="00CF4340">
            <w:pPr>
              <w:pStyle w:val="Pa0"/>
              <w:spacing w:line="240" w:lineRule="auto"/>
              <w:jc w:val="center"/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ru-RU"/>
              </w:rPr>
            </w:pP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Переносные газовые баллоны — Полностью </w:t>
            </w:r>
            <w:r w:rsidR="005A183A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br/>
            </w:r>
            <w:r w:rsidRPr="00BA6AD4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обмотанные углеродные композитные баллоны и трубки для водорода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4CBED3" w14:textId="77777777" w:rsidR="00693398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6DBFD9CD" w14:textId="17E0EF65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6.2.4.1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CB91CF9" w14:textId="2765A3B8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Применимые подразделы и пункты: 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693398">
              <w:rPr>
                <w:rFonts w:asciiTheme="majorBidi" w:hAnsiTheme="majorBidi" w:cstheme="majorBidi"/>
              </w:rPr>
              <w:t>XXXX</w:t>
            </w:r>
          </w:p>
        </w:tc>
      </w:tr>
      <w:tr w:rsidR="00693398" w:rsidRPr="00BA6AD4" w14:paraId="2CD040F8" w14:textId="77777777" w:rsidTr="0017496E">
        <w:trPr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2C035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00023246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88201A" w14:textId="77777777" w:rsidR="00693398" w:rsidRPr="00BA6AD4" w:rsidRDefault="00693398" w:rsidP="00CF4340">
            <w:pPr>
              <w:ind w:right="16"/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04471F1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CD404FD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128DF32E" w14:textId="77777777" w:rsidTr="0017496E">
        <w:tc>
          <w:tcPr>
            <w:tcW w:w="5000" w:type="pct"/>
            <w:gridSpan w:val="10"/>
          </w:tcPr>
          <w:p w14:paraId="4C592284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перечень стандартов, на которые даются ссылки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04078CD7" w14:textId="77777777" w:rsidTr="0017496E">
        <w:tc>
          <w:tcPr>
            <w:tcW w:w="5000" w:type="pct"/>
            <w:gridSpan w:val="10"/>
          </w:tcPr>
          <w:p w14:paraId="6AB6DB4A" w14:textId="77777777" w:rsidR="00693398" w:rsidRPr="00BA6AD4" w:rsidRDefault="00693398" w:rsidP="00CF4340">
            <w:pPr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  <w:r w:rsidRPr="00BA6AD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93398" w:rsidRPr="00BA6AD4" w14:paraId="22D2FFF2" w14:textId="77777777" w:rsidTr="0017496E">
        <w:tc>
          <w:tcPr>
            <w:tcW w:w="313" w:type="pct"/>
            <w:tcMar>
              <w:top w:w="57" w:type="dxa"/>
              <w:bottom w:w="57" w:type="dxa"/>
            </w:tcMar>
          </w:tcPr>
          <w:p w14:paraId="30B2B74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532CCCFE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78C115B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26A3D4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60BECC0D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</w:t>
            </w:r>
          </w:p>
          <w:p w14:paraId="12A6EC1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СССС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28BBC7E8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</w:t>
            </w:r>
          </w:p>
          <w:p w14:paraId="46F0E6CC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РГ по стандартам</w:t>
            </w:r>
          </w:p>
        </w:tc>
      </w:tr>
      <w:tr w:rsidR="00693398" w:rsidRPr="00BA6AD4" w14:paraId="29C6CC31" w14:textId="77777777" w:rsidTr="0017496E">
        <w:tc>
          <w:tcPr>
            <w:tcW w:w="313" w:type="pct"/>
            <w:tcMar>
              <w:top w:w="0" w:type="dxa"/>
              <w:bottom w:w="0" w:type="dxa"/>
            </w:tcMar>
          </w:tcPr>
          <w:p w14:paraId="13B1A69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1514AEC" w14:textId="77777777" w:rsidR="00693398" w:rsidRPr="00BA6AD4" w:rsidRDefault="00693398" w:rsidP="00CF4340">
            <w:pPr>
              <w:pStyle w:val="ISOClause"/>
              <w:spacing w:before="60" w:after="60" w:line="240" w:lineRule="auto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6B40591" w14:textId="77777777" w:rsidR="00693398" w:rsidRPr="00BA6AD4" w:rsidRDefault="00693398" w:rsidP="00CF4340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346709C" w14:textId="77777777" w:rsidR="00693398" w:rsidRPr="00BA6AD4" w:rsidRDefault="00693398" w:rsidP="00CF4340">
            <w:pPr>
              <w:pStyle w:val="ISOChange"/>
              <w:spacing w:before="60" w:after="60" w:line="240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05AB77C" w14:textId="77777777" w:rsidR="00693398" w:rsidRPr="00BA6AD4" w:rsidRDefault="00693398" w:rsidP="00CF4340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733DED55" w14:textId="77777777" w:rsidR="00693398" w:rsidRPr="00BA6AD4" w:rsidRDefault="00693398" w:rsidP="00CF4340">
            <w:pPr>
              <w:keepLines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51CFCE6F" w14:textId="77777777" w:rsidTr="0017496E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A94467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55F6AAB" w14:textId="77777777" w:rsidR="00693398" w:rsidRPr="00BA6AD4" w:rsidRDefault="00693398" w:rsidP="00CF4340">
            <w:pPr>
              <w:pStyle w:val="ISOParagraph"/>
              <w:spacing w:before="60" w:after="60" w:line="240" w:lineRule="auto"/>
              <w:rPr>
                <w:rFonts w:asciiTheme="majorBidi" w:hAnsiTheme="majorBidi" w:cstheme="majorBidi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88BE123" w14:textId="77777777" w:rsidR="00693398" w:rsidRPr="00BA6AD4" w:rsidRDefault="00693398" w:rsidP="00CF4340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948CC57" w14:textId="77777777" w:rsidR="00693398" w:rsidRPr="00BA6AD4" w:rsidRDefault="00693398" w:rsidP="00CF43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8D3EA2B" w14:textId="77777777" w:rsidR="00693398" w:rsidRPr="00BA6AD4" w:rsidRDefault="00693398" w:rsidP="00CF4340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4CB2ED1" w14:textId="77777777" w:rsidR="00693398" w:rsidRPr="00BA6AD4" w:rsidRDefault="00693398" w:rsidP="00CF4340">
            <w:pPr>
              <w:keepLines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04C4799A" w14:textId="77777777" w:rsidTr="0017496E">
        <w:trPr>
          <w:trHeight w:val="526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2F4F3E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DFFCBFA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940F01D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B486E83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bookmarkEnd w:id="1"/>
    <w:p w14:paraId="0079AC8A" w14:textId="51E15868" w:rsidR="00693398" w:rsidRPr="004A5E38" w:rsidRDefault="0017496E" w:rsidP="0017496E">
      <w:pPr>
        <w:pStyle w:val="H1G"/>
      </w:pPr>
      <w:r>
        <w:tab/>
      </w:r>
      <w:r w:rsidR="00693398" w:rsidRPr="004A5E38">
        <w:t>B.</w:t>
      </w:r>
      <w:r w:rsidR="00693398" w:rsidRPr="004A5E38">
        <w:tab/>
      </w:r>
      <w:r w:rsidR="00693398" w:rsidRPr="00BA6AD4">
        <w:t>Стандарты на этапе разработки 3 или 4: вынесение на официальное голосование или опубликование</w:t>
      </w:r>
    </w:p>
    <w:p w14:paraId="56DCE852" w14:textId="77777777" w:rsidR="00693398" w:rsidRPr="0017496E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bCs w:val="0"/>
          <w:iCs/>
          <w:sz w:val="20"/>
          <w:szCs w:val="20"/>
        </w:rPr>
      </w:pPr>
      <w:r w:rsidRPr="0017496E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Рассылка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693398" w:rsidRPr="00BA6AD4" w14:paraId="25F1EB43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3C988D9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EN ISO 11623:2023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93EA31" w14:textId="3DBC5FA1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Газовые баллоны</w:t>
            </w:r>
            <w:r w:rsidR="005A183A">
              <w:rPr>
                <w:rFonts w:asciiTheme="majorBidi" w:hAnsiTheme="majorBidi" w:cstheme="majorBidi"/>
                <w:b/>
                <w:bCs/>
              </w:rPr>
              <w:t xml:space="preserve"> — </w:t>
            </w:r>
            <w:r w:rsidRPr="00BA6AD4">
              <w:rPr>
                <w:rFonts w:asciiTheme="majorBidi" w:hAnsiTheme="majorBidi" w:cstheme="majorBidi"/>
                <w:b/>
                <w:bCs/>
              </w:rPr>
              <w:t>Композитные баллоны и трубки</w:t>
            </w:r>
            <w:r w:rsidR="005A183A">
              <w:rPr>
                <w:rFonts w:asciiTheme="majorBidi" w:hAnsiTheme="majorBidi" w:cstheme="majorBidi"/>
                <w:b/>
                <w:bCs/>
              </w:rPr>
              <w:t xml:space="preserve"> — </w:t>
            </w:r>
            <w:r w:rsidRPr="00BA6AD4">
              <w:rPr>
                <w:rFonts w:asciiTheme="majorBidi" w:hAnsiTheme="majorBidi" w:cstheme="majorBidi"/>
                <w:b/>
                <w:bCs/>
              </w:rPr>
              <w:t>Периодические проверки и испытания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3E8DA5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253F75F8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пункт 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9D66F7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4783CA3A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693398" w:rsidRPr="00BA6AD4" w14:paraId="1EE3A4D9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DB3B29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00023212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1797B39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78FFB0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F5F5CD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5F52111A" w14:textId="77777777" w:rsidTr="00CF434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E37D779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09699F5C" w14:textId="77777777" w:rsidTr="00CF434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6A66EB9C" w14:textId="77777777" w:rsidR="00693398" w:rsidRPr="00BA6AD4" w:rsidRDefault="00693398" w:rsidP="005A183A">
            <w:pPr>
              <w:keepNext/>
              <w:keepLines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lastRenderedPageBreak/>
              <w:t>Комментарии участников Совместного совещания:</w:t>
            </w:r>
          </w:p>
        </w:tc>
      </w:tr>
      <w:tr w:rsidR="00693398" w:rsidRPr="00BA6AD4" w14:paraId="513FE227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4133E2D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1450F33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6502FA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2FF66F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A0DA9FC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093F0217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РГ по стандартам</w:t>
            </w:r>
          </w:p>
        </w:tc>
      </w:tr>
      <w:tr w:rsidR="00693398" w:rsidRPr="00BA6AD4" w14:paraId="58A6357E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AD3DC0B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CAD5EB9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17B90C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22D308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A06B34B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E1938D5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7EC224F9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B5F1530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9BCBA4B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843796F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9654EA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5447AB0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F237812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0239CD25" w14:textId="77777777" w:rsidTr="0017496E">
        <w:trPr>
          <w:trHeight w:val="1702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116DDF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B10950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EBEFAEF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1FAD777F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9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488"/>
              <w:gridCol w:w="2345"/>
            </w:tblGrid>
            <w:tr w:rsidR="00693398" w:rsidRPr="004A5E38" w14:paraId="5B056F06" w14:textId="77777777" w:rsidTr="0017496E">
              <w:trPr>
                <w:trHeight w:val="1037"/>
              </w:trPr>
              <w:tc>
                <w:tcPr>
                  <w:tcW w:w="150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CCE005A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80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5F065E5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699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281DCEE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1765AB4A" w14:textId="77777777" w:rsidTr="0017496E">
              <w:trPr>
                <w:trHeight w:val="227"/>
              </w:trPr>
              <w:tc>
                <w:tcPr>
                  <w:tcW w:w="1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A812DD7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8C88A30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06A41A8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326906E2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7E7FAB07" w14:textId="77777777" w:rsidR="00693398" w:rsidRPr="004A5E38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iCs/>
          <w:sz w:val="20"/>
          <w:szCs w:val="20"/>
          <w:lang w:val="ru-RU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693398" w:rsidRPr="00BA6AD4" w14:paraId="438CD224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D11A4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FprEN 14129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AEA6545" w14:textId="71D6F8EB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 xml:space="preserve">Оборудование и вспомогательные приспособления для СНГ </w:t>
            </w:r>
            <w:r w:rsidR="005A183A" w:rsidRPr="005A183A">
              <w:rPr>
                <w:rFonts w:asciiTheme="majorBidi" w:hAnsiTheme="majorBidi" w:cstheme="majorBidi"/>
                <w:b/>
                <w:bCs/>
              </w:rPr>
              <w:t>—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Клапаны сброса давления сосудов высокого давления для СНГ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CCD3F9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7D1FCC69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пункты 6.2.4.1, 6.8.2.6.1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F1D08E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22DAAD88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6.2.3.1, 6.2.3.3 и 6.2.3.4</w:t>
            </w:r>
          </w:p>
          <w:p w14:paraId="3A3FFAF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6.8.2.1.1 и 6.8.3.2.9</w:t>
            </w:r>
          </w:p>
        </w:tc>
      </w:tr>
      <w:tr w:rsidR="00693398" w:rsidRPr="00BA6AD4" w14:paraId="1EF23E59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66903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00286210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5B6447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6EABC8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C0E3DC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3A09262E" w14:textId="77777777" w:rsidTr="00CF434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4E4EA47D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07F33A9C" w14:textId="77777777" w:rsidTr="00CF434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C0A733A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</w:p>
        </w:tc>
      </w:tr>
      <w:tr w:rsidR="00693398" w:rsidRPr="00BA6AD4" w14:paraId="3013FB1C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91C318A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9A53DD1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416E18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29492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AE89DD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58FAFEF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РГ по стандартам</w:t>
            </w:r>
          </w:p>
        </w:tc>
      </w:tr>
      <w:tr w:rsidR="00693398" w:rsidRPr="00BA6AD4" w14:paraId="588623A6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9952F8D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B4DE78D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B8CFF5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0ECBA2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1A6F9B1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DC5CE3E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0D971AFA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D126C5A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6D3726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8D83AEC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594C58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ED2B94A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51B263F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17CE1C4D" w14:textId="77777777" w:rsidTr="0017496E">
        <w:trPr>
          <w:trHeight w:val="1949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8F2A55C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FBEB1A3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1B16D65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2EBE717E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</w:p>
          <w:p w14:paraId="5B14B248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4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488"/>
              <w:gridCol w:w="2268"/>
            </w:tblGrid>
            <w:tr w:rsidR="00693398" w:rsidRPr="004A5E38" w14:paraId="3BE88DEA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408673F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82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16DB5BB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661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8E1723E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24D2E76A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399183B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343818E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FCDCA33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  <w:tr w:rsidR="00693398" w:rsidRPr="004A5E38" w14:paraId="7716905F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A0492AB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C7B76B3" w14:textId="77777777" w:rsidR="00693398" w:rsidRPr="004A5E38" w:rsidRDefault="00693398" w:rsidP="00CF4340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7857CEF" w14:textId="77777777" w:rsidR="00693398" w:rsidRPr="004A5E38" w:rsidRDefault="00693398" w:rsidP="00CF4340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37AD8B84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5920652D" w14:textId="77777777" w:rsidR="00693398" w:rsidRPr="004A5E38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iCs/>
          <w:sz w:val="20"/>
          <w:szCs w:val="20"/>
          <w:lang w:val="ru-RU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4902"/>
      </w:tblGrid>
      <w:tr w:rsidR="00693398" w:rsidRPr="00BA6AD4" w14:paraId="0450536C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D659D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lastRenderedPageBreak/>
              <w:t>EN 14432:2023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40AB67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Цистерны для перевозки опасных грузов — Оборудование цистерн для перевозки жидких химических продуктов и сжиженных газов — Клапаны слива продукта и впуска воздуха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ECD9EA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2447B68E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6.8.2.6.1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3322F3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3AD0BB6A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6.8.2.2.1, 6.8.2.2.2, 6.8.2.3.1, 6.8.2.4.1</w:t>
            </w:r>
          </w:p>
          <w:p w14:paraId="74B2A427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693398" w:rsidRPr="00BA6AD4" w14:paraId="1334B3DA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9D1567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00296109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4AC89D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FF11B8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577BCA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3F3FF31D" w14:textId="77777777" w:rsidTr="00CF4340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67E45FE6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2BE17859" w14:textId="77777777" w:rsidTr="00CF4340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135E8358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</w:p>
        </w:tc>
      </w:tr>
      <w:tr w:rsidR="00693398" w:rsidRPr="00BA6AD4" w14:paraId="5352B72A" w14:textId="77777777" w:rsidTr="00CF4340">
        <w:trPr>
          <w:gridAfter w:val="1"/>
          <w:wAfter w:w="4415" w:type="dxa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3D2BCB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69E4571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DAEA2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55957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</w:tr>
      <w:tr w:rsidR="00693398" w:rsidRPr="00BA6AD4" w14:paraId="4B6AFD92" w14:textId="77777777" w:rsidTr="00CF4340">
        <w:trPr>
          <w:gridAfter w:val="1"/>
          <w:wAfter w:w="4415" w:type="dxa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749990E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D817CE9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BA1D3C7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467108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7F0ACA01" w14:textId="77777777" w:rsidTr="00CF4340">
        <w:trPr>
          <w:gridAfter w:val="1"/>
          <w:wAfter w:w="4415" w:type="dxa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28EB6AF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8033FF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B92817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43D9E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4550D442" w14:textId="77777777" w:rsidTr="0017496E">
        <w:trPr>
          <w:trHeight w:val="1911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BF481D2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E254010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6177970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4D9A6613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</w:p>
          <w:p w14:paraId="374ABD12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4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488"/>
              <w:gridCol w:w="2268"/>
            </w:tblGrid>
            <w:tr w:rsidR="00693398" w:rsidRPr="004A5E38" w14:paraId="59DEE2BC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9443108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82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819E369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661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436155F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278CF03B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6AD1EA3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A7D32F9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019598B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  <w:tr w:rsidR="00693398" w:rsidRPr="004A5E38" w14:paraId="32551AD1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4E8CCE4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2092F47" w14:textId="77777777" w:rsidR="00693398" w:rsidRPr="004A5E38" w:rsidRDefault="00693398" w:rsidP="00CF4340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5679893" w14:textId="77777777" w:rsidR="00693398" w:rsidRPr="004A5E38" w:rsidRDefault="00693398" w:rsidP="00CF4340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05F28E7C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48EBBE12" w14:textId="77777777" w:rsidR="00693398" w:rsidRPr="004A5E38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iCs/>
          <w:sz w:val="20"/>
          <w:szCs w:val="20"/>
          <w:lang w:val="ru-RU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693398" w:rsidRPr="00BA6AD4" w14:paraId="4E86CC65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E78711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EN 14334:2023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355870" w14:textId="6157698E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Оборудование и вспомогательные приспособления для СНГ</w:t>
            </w:r>
            <w:r w:rsidR="005A183A">
              <w:rPr>
                <w:rFonts w:asciiTheme="majorBidi" w:hAnsiTheme="majorBidi" w:cstheme="majorBidi"/>
                <w:b/>
                <w:bCs/>
              </w:rPr>
              <w:t xml:space="preserve"> — </w:t>
            </w:r>
            <w:r w:rsidRPr="00BA6AD4">
              <w:rPr>
                <w:rFonts w:asciiTheme="majorBidi" w:hAnsiTheme="majorBidi" w:cstheme="majorBidi"/>
                <w:b/>
                <w:bCs/>
              </w:rPr>
              <w:t>Проверка и испытания автоцистерн для СНГ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70B368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72FE90E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6.8.2.6.2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08CE2C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0BDA3DF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6.8.2.4,  6.8.3.4.9</w:t>
            </w:r>
          </w:p>
        </w:tc>
      </w:tr>
      <w:tr w:rsidR="00693398" w:rsidRPr="00BA6AD4" w14:paraId="2C6E4756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5C1EFA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00286220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1D1FF4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5FCA40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2DEE7C5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07ACCB04" w14:textId="77777777" w:rsidTr="00CF434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1DB36EC2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778C6779" w14:textId="77777777" w:rsidTr="00CF434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AF51752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</w:p>
        </w:tc>
      </w:tr>
      <w:tr w:rsidR="00693398" w:rsidRPr="00BA6AD4" w14:paraId="4B8A8905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06A801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0C20624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728DF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BCEC0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9B6FA2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0BA81DC3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РГ по стандартам</w:t>
            </w:r>
          </w:p>
        </w:tc>
      </w:tr>
      <w:tr w:rsidR="00693398" w:rsidRPr="00BA6AD4" w14:paraId="051A72D5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CB77416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4ED3FB7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B23382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6EEEE0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9CEC963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D10B5C6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3384B582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2B3F945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D6EA622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E82692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1C55B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5310A9BD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14C9F36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148722DC" w14:textId="77777777" w:rsidTr="00CF434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533FC5E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lastRenderedPageBreak/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6656835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B5B8CB9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32327C62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</w:p>
          <w:p w14:paraId="55DA9A16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4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488"/>
              <w:gridCol w:w="2268"/>
            </w:tblGrid>
            <w:tr w:rsidR="00693398" w:rsidRPr="004A5E38" w14:paraId="437CEFD4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E5619B4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82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824F4D2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661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CD0DB62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6462BFF4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B097ED2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652F9DC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8482FE8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  <w:tr w:rsidR="00693398" w:rsidRPr="004A5E38" w14:paraId="05F0F512" w14:textId="77777777" w:rsidTr="0017496E">
              <w:trPr>
                <w:trHeight w:val="227"/>
              </w:trPr>
              <w:tc>
                <w:tcPr>
                  <w:tcW w:w="151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B6AEA54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FAC6791" w14:textId="77777777" w:rsidR="00693398" w:rsidRPr="004A5E38" w:rsidRDefault="00693398" w:rsidP="00CF4340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0DF15A" w14:textId="77777777" w:rsidR="00693398" w:rsidRPr="004A5E38" w:rsidRDefault="00693398" w:rsidP="00CF4340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07F6722F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1F5104BA" w14:textId="77777777" w:rsidR="00693398" w:rsidRPr="004A5E38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iCs/>
          <w:sz w:val="20"/>
          <w:szCs w:val="20"/>
          <w:lang w:val="ru-RU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693398" w:rsidRPr="00BA6AD4" w14:paraId="463732B7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2F0CE5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EN 14433:2023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20E5EF1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Цистерны для перевозки опасных грузов — Оборудование цистерн для перевозки жидких химических продуктов и сжиженных газов — Нижние клапаны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29F8EF9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7EBE45A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6.8.2.6.1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82FA9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0FD3AA41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6.8.2.2.1, 6.8.2.2.2, 6.8.2.3.1, 6.8.2.4.1</w:t>
            </w:r>
          </w:p>
        </w:tc>
      </w:tr>
      <w:tr w:rsidR="00693398" w:rsidRPr="00BA6AD4" w14:paraId="0E9DD6EB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A16BAC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00296110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AC937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A2A208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2F10A2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44F9EA75" w14:textId="77777777" w:rsidTr="00CF434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584AB476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399B9F45" w14:textId="77777777" w:rsidTr="00CF434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42A4714E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</w:p>
        </w:tc>
      </w:tr>
      <w:tr w:rsidR="00693398" w:rsidRPr="00BA6AD4" w14:paraId="0D776ACC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239DD0E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0E22466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9B2D61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28B14A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E262F90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09FB6C53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РГ по стандартам</w:t>
            </w:r>
          </w:p>
        </w:tc>
      </w:tr>
      <w:tr w:rsidR="00693398" w:rsidRPr="00BA6AD4" w14:paraId="14DD5A29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948C1E4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74320FE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5558FF5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80821E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30CAA1E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7E705FC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6107B694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AD89790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23B196C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4B2139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464B2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CBD903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F51D290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612DC629" w14:textId="77777777" w:rsidTr="0017496E">
        <w:trPr>
          <w:trHeight w:val="1720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FF4248D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42B3ECA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A14B81B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27E7ACCA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</w:p>
          <w:p w14:paraId="7DDC9812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8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2489"/>
              <w:gridCol w:w="2332"/>
            </w:tblGrid>
            <w:tr w:rsidR="00693398" w:rsidRPr="004A5E38" w14:paraId="691FA1BC" w14:textId="77777777" w:rsidTr="0017496E">
              <w:trPr>
                <w:trHeight w:val="227"/>
              </w:trPr>
              <w:tc>
                <w:tcPr>
                  <w:tcW w:w="150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2C2F0D0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806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B9D2238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69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636A333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1756A7A3" w14:textId="77777777" w:rsidTr="0017496E">
              <w:trPr>
                <w:trHeight w:val="227"/>
              </w:trPr>
              <w:tc>
                <w:tcPr>
                  <w:tcW w:w="15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D8C8AB3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8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3B1FA54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DDD2163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7269D56E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3417EDA2" w14:textId="77777777" w:rsidR="00693398" w:rsidRPr="0017496E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bCs w:val="0"/>
          <w:iCs/>
          <w:sz w:val="20"/>
          <w:szCs w:val="20"/>
        </w:rPr>
      </w:pPr>
      <w:r w:rsidRPr="0017496E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Рассылка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693398" w:rsidRPr="00BA6AD4" w14:paraId="00B0B7E9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04386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FprEN 14025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F52F2B" w14:textId="41F86774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Цистерны для перевозки опасных грузов</w:t>
            </w:r>
            <w:r w:rsidR="005A183A">
              <w:rPr>
                <w:rFonts w:asciiTheme="majorBidi" w:hAnsiTheme="majorBidi" w:cstheme="majorBidi"/>
                <w:b/>
                <w:bCs/>
              </w:rPr>
              <w:t xml:space="preserve"> — </w:t>
            </w:r>
            <w:r w:rsidRPr="00BA6AD4">
              <w:rPr>
                <w:rFonts w:asciiTheme="majorBidi" w:hAnsiTheme="majorBidi" w:cstheme="majorBidi"/>
                <w:b/>
                <w:bCs/>
              </w:rPr>
              <w:t>Металлические цистерны под давлением</w:t>
            </w:r>
            <w:r w:rsidR="005A183A">
              <w:rPr>
                <w:rFonts w:asciiTheme="majorBidi" w:hAnsiTheme="majorBidi" w:cstheme="majorBidi"/>
                <w:b/>
                <w:bCs/>
              </w:rPr>
              <w:t xml:space="preserve"> — </w:t>
            </w:r>
            <w:r w:rsidRPr="00BA6AD4">
              <w:rPr>
                <w:rFonts w:asciiTheme="majorBidi" w:hAnsiTheme="majorBidi" w:cstheme="majorBidi"/>
                <w:b/>
                <w:bCs/>
              </w:rPr>
              <w:t>Конструкция и изготовление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E5969A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2D26509D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6.8.2.6.1, 6.8.4 d) TT 11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EF51EE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4526E875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6.8.2.1, 6.8.3.1, 6.8.5</w:t>
            </w:r>
            <w:r w:rsidRPr="00BA6AD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93398" w:rsidRPr="00BA6AD4" w14:paraId="2D5814B8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8C0C3C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00296106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5BE222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320F86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8A4A7B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05627FE8" w14:textId="77777777" w:rsidTr="00CF434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271FADFD" w14:textId="77777777" w:rsidR="00693398" w:rsidRPr="00AA29EF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Theme="minorEastAsia" w:hAnsiTheme="majorBidi" w:cstheme="majorBidi"/>
                <w:lang w:eastAsia="zh-CN" w:bidi="ar-TN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eastAsiaTheme="minorEastAsia" w:hAnsiTheme="majorBidi" w:cstheme="majorBidi"/>
                <w:lang w:eastAsia="zh-CN" w:bidi="ar-TN"/>
              </w:rPr>
              <w:t>.</w:t>
            </w:r>
          </w:p>
        </w:tc>
      </w:tr>
      <w:tr w:rsidR="00693398" w:rsidRPr="00BA6AD4" w14:paraId="39561FB8" w14:textId="77777777" w:rsidTr="00CF434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2ED19537" w14:textId="77777777" w:rsidR="00693398" w:rsidRPr="00BA6AD4" w:rsidRDefault="00693398" w:rsidP="005A183A">
            <w:pPr>
              <w:keepNext/>
              <w:keepLines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lastRenderedPageBreak/>
              <w:t>Комментарии участников Совместного совещания:</w:t>
            </w:r>
          </w:p>
        </w:tc>
      </w:tr>
      <w:tr w:rsidR="00693398" w:rsidRPr="00BA6AD4" w14:paraId="7B085B8A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80BAD49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303A263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7973C7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5B5B88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6D339C2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205BC103" w14:textId="77777777" w:rsidR="00693398" w:rsidRPr="00BA6AD4" w:rsidRDefault="00693398" w:rsidP="005A183A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РГ по стандартам</w:t>
            </w:r>
          </w:p>
        </w:tc>
      </w:tr>
      <w:tr w:rsidR="00693398" w:rsidRPr="00BA6AD4" w14:paraId="645C2481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AACB9F8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F6703E3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0CD60F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7CD8EF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99B40B6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40E5191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3548B6BB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DF15A61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F251C31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B785A6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8F2945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32EE83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398EC5D8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4014505E" w14:textId="77777777" w:rsidTr="00CF434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96E472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4C6D250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A7F2C4A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2BD2FBEF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</w:p>
          <w:p w14:paraId="5817CCA0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6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468"/>
              <w:gridCol w:w="2324"/>
            </w:tblGrid>
            <w:tr w:rsidR="00693398" w:rsidRPr="004A5E38" w14:paraId="1D4E0649" w14:textId="77777777" w:rsidTr="0017496E">
              <w:trPr>
                <w:trHeight w:val="227"/>
              </w:trPr>
              <w:tc>
                <w:tcPr>
                  <w:tcW w:w="1509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411F6EF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79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3AFC60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693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1F0C8A3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27A7E785" w14:textId="77777777" w:rsidTr="0017496E">
              <w:trPr>
                <w:trHeight w:val="227"/>
              </w:trPr>
              <w:tc>
                <w:tcPr>
                  <w:tcW w:w="1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553D5AA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C38CEFA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A68F5BA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6F699209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665BEB9B" w14:textId="77777777" w:rsidR="00693398" w:rsidRPr="004A5E38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iCs/>
          <w:sz w:val="20"/>
          <w:szCs w:val="20"/>
          <w:lang w:val="ru-RU"/>
        </w:rPr>
      </w:pPr>
    </w:p>
    <w:p w14:paraId="6F6A81C2" w14:textId="77777777" w:rsidR="00693398" w:rsidRPr="0017496E" w:rsidRDefault="00693398" w:rsidP="00693398">
      <w:pPr>
        <w:pStyle w:val="af3"/>
        <w:spacing w:before="120"/>
        <w:jc w:val="left"/>
        <w:rPr>
          <w:rFonts w:asciiTheme="majorBidi" w:hAnsiTheme="majorBidi" w:cstheme="majorBidi"/>
          <w:b w:val="0"/>
          <w:bCs w:val="0"/>
          <w:iCs/>
          <w:sz w:val="20"/>
          <w:szCs w:val="20"/>
        </w:rPr>
      </w:pPr>
      <w:r w:rsidRPr="0017496E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Рассылка 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1257"/>
        <w:gridCol w:w="3521"/>
        <w:gridCol w:w="22"/>
        <w:gridCol w:w="2121"/>
        <w:gridCol w:w="17"/>
        <w:gridCol w:w="2455"/>
        <w:gridCol w:w="2447"/>
      </w:tblGrid>
      <w:tr w:rsidR="00693398" w:rsidRPr="00BA6AD4" w14:paraId="7591142C" w14:textId="77777777" w:rsidTr="00CF4340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00D14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FprEN ISO 21011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68AC78" w14:textId="7ADB95AA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Криогенные сосуды</w:t>
            </w:r>
            <w:r w:rsidR="005A183A">
              <w:rPr>
                <w:rFonts w:asciiTheme="majorBidi" w:hAnsiTheme="majorBidi" w:cstheme="majorBidi"/>
                <w:b/>
                <w:bCs/>
              </w:rPr>
              <w:t xml:space="preserve"> — </w:t>
            </w:r>
            <w:r w:rsidRPr="00BA6AD4">
              <w:rPr>
                <w:rFonts w:asciiTheme="majorBidi" w:hAnsiTheme="majorBidi" w:cstheme="majorBidi"/>
                <w:b/>
                <w:bCs/>
              </w:rPr>
              <w:t>Клапаны для криогенной техники (ISO/FDIS 21011:2023)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2CF8A6E" w14:textId="77777777" w:rsidR="00693398" w:rsidRDefault="00693398" w:rsidP="006933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Ссылка</w:t>
            </w:r>
            <w:r w:rsidRPr="00BA6AD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в МПОГ/ДОПОГ:</w:t>
            </w:r>
          </w:p>
          <w:p w14:paraId="6D1B1190" w14:textId="77777777" w:rsidR="00693398" w:rsidRPr="004A5E38" w:rsidRDefault="00693398" w:rsidP="00CF4340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пункты 6.2.4.1, 6.8.2.6.1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7DBE25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Применимые подразделы и пункты:</w:t>
            </w:r>
          </w:p>
          <w:p w14:paraId="6CF45C98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6.2.3.3.1, 6.8.2.2.1</w:t>
            </w:r>
          </w:p>
        </w:tc>
      </w:tr>
      <w:tr w:rsidR="00693398" w:rsidRPr="00BA6AD4" w14:paraId="57EEE2F2" w14:textId="77777777" w:rsidTr="00CF4340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BFDDFC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spacing w:val="-3"/>
              </w:rPr>
            </w:pPr>
            <w:r w:rsidRPr="00BA6AD4">
              <w:rPr>
                <w:rFonts w:asciiTheme="majorBidi" w:hAnsiTheme="majorBidi" w:cstheme="majorBidi"/>
              </w:rPr>
              <w:t>00268076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0B3EC15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74ABD0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3EFF74B" w14:textId="77777777" w:rsidR="00693398" w:rsidRPr="00BA6AD4" w:rsidRDefault="00693398" w:rsidP="00CF434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20"/>
              </w:rPr>
            </w:pPr>
          </w:p>
        </w:tc>
      </w:tr>
      <w:tr w:rsidR="00693398" w:rsidRPr="004A5E38" w14:paraId="4B797BA1" w14:textId="77777777" w:rsidTr="00CF4340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0285361C" w14:textId="77777777" w:rsidR="00693398" w:rsidRPr="004A5E38" w:rsidRDefault="00693398" w:rsidP="00CF434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93398" w:rsidRPr="00BA6AD4" w14:paraId="2DDA4CEA" w14:textId="77777777" w:rsidTr="00CF4340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E88B6D2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i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Комментарии участников Совместного совещания:</w:t>
            </w:r>
          </w:p>
        </w:tc>
      </w:tr>
      <w:tr w:rsidR="00693398" w:rsidRPr="00BA6AD4" w14:paraId="16CC7567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AC5707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Страна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3778B2B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Положение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22F4F2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1BB95C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 xml:space="preserve">Предлагаемое изменение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6A2E945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12DBD6CF" w14:textId="77777777" w:rsidR="00693398" w:rsidRPr="00BA6AD4" w:rsidRDefault="00693398" w:rsidP="00CF4340">
            <w:pPr>
              <w:jc w:val="center"/>
              <w:rPr>
                <w:rFonts w:asciiTheme="majorBidi" w:hAnsiTheme="majorBidi" w:cstheme="majorBidi"/>
              </w:rPr>
            </w:pPr>
            <w:r w:rsidRPr="00BA6AD4">
              <w:rPr>
                <w:rFonts w:asciiTheme="majorBidi" w:hAnsiTheme="majorBidi" w:cstheme="majorBidi"/>
              </w:rPr>
              <w:t>Комментарий РГ по стандартам</w:t>
            </w:r>
          </w:p>
        </w:tc>
      </w:tr>
      <w:tr w:rsidR="00693398" w:rsidRPr="00BA6AD4" w14:paraId="60CDB0C6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CC0BEB8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9616B90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686188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727FA9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7986DC1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DB76C96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BA6AD4" w14:paraId="7AA70B48" w14:textId="77777777" w:rsidTr="00CF4340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E03868D" w14:textId="77777777" w:rsidR="00693398" w:rsidRPr="00BA6AD4" w:rsidRDefault="00693398" w:rsidP="00CF434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84DBB44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161D0F" w14:textId="77777777" w:rsidR="00693398" w:rsidRPr="00BA6AD4" w:rsidRDefault="00693398" w:rsidP="00CF434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659DF1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5690A0F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9B39D50" w14:textId="77777777" w:rsidR="00693398" w:rsidRPr="00BA6AD4" w:rsidRDefault="00693398" w:rsidP="00CF4340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93398" w:rsidRPr="004A5E38" w14:paraId="7906366B" w14:textId="77777777" w:rsidTr="00CF4340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568C7DB" w14:textId="77777777" w:rsidR="00693398" w:rsidRPr="00BA6AD4" w:rsidRDefault="00693398" w:rsidP="00CF4340">
            <w:pPr>
              <w:rPr>
                <w:rFonts w:asciiTheme="majorBidi" w:hAnsiTheme="majorBidi" w:cstheme="majorBidi"/>
                <w:b/>
                <w:bCs/>
              </w:rPr>
            </w:pPr>
            <w:r w:rsidRPr="00BA6AD4">
              <w:rPr>
                <w:rFonts w:asciiTheme="majorBidi" w:hAnsiTheme="majorBidi" w:cstheme="majorBidi"/>
                <w:b/>
                <w:bCs/>
              </w:rPr>
              <w:t>Решение РГ по 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FC822C1" w14:textId="77777777" w:rsidR="00693398" w:rsidRPr="00BA6AD4" w:rsidRDefault="00693398" w:rsidP="00CF4340">
            <w:pPr>
              <w:keepLines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BEA2C3D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  <w:r w:rsidRPr="00BA6AD4">
              <w:rPr>
                <w:rFonts w:asciiTheme="majorBidi" w:hAnsiTheme="majorBidi" w:cstheme="majorBidi"/>
              </w:rPr>
              <w:t>Комментарии</w:t>
            </w:r>
          </w:p>
          <w:p w14:paraId="71B0101A" w14:textId="77777777" w:rsidR="00693398" w:rsidRPr="00BA6AD4" w:rsidRDefault="00693398" w:rsidP="00CF4340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</w:rPr>
            </w:pPr>
          </w:p>
          <w:p w14:paraId="0A669D86" w14:textId="77777777" w:rsidR="00693398" w:rsidRPr="00BA6AD4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7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454"/>
              <w:gridCol w:w="2352"/>
            </w:tblGrid>
            <w:tr w:rsidR="00693398" w:rsidRPr="004A5E38" w14:paraId="3601D09C" w14:textId="77777777" w:rsidTr="0017496E">
              <w:trPr>
                <w:trHeight w:val="227"/>
              </w:trPr>
              <w:tc>
                <w:tcPr>
                  <w:tcW w:w="1506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DB5DCB2" w14:textId="77777777" w:rsidR="00693398" w:rsidRPr="00BA6AD4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Предлагаемое переходное положение</w:t>
                  </w:r>
                </w:p>
              </w:tc>
              <w:tc>
                <w:tcPr>
                  <w:tcW w:w="178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E06949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71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0340072" w14:textId="77777777" w:rsidR="00693398" w:rsidRPr="004A5E38" w:rsidRDefault="00693398" w:rsidP="00CF4340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BA6AD4">
                    <w:rPr>
                      <w:rFonts w:asciiTheme="majorBidi" w:hAnsiTheme="majorBidi" w:cstheme="majorBidi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693398" w:rsidRPr="004A5E38" w14:paraId="08D3B3D9" w14:textId="77777777" w:rsidTr="0017496E">
              <w:trPr>
                <w:trHeight w:val="227"/>
              </w:trPr>
              <w:tc>
                <w:tcPr>
                  <w:tcW w:w="15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EACB72D" w14:textId="77777777" w:rsidR="00693398" w:rsidRPr="004A5E38" w:rsidRDefault="00693398" w:rsidP="00CF4340">
                  <w:pPr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7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2FC36A1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C88CF0" w14:textId="77777777" w:rsidR="00693398" w:rsidRPr="004A5E38" w:rsidRDefault="00693398" w:rsidP="00CF4340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</w:tr>
          </w:tbl>
          <w:p w14:paraId="3CA74B72" w14:textId="77777777" w:rsidR="00693398" w:rsidRPr="004A5E38" w:rsidRDefault="00693398" w:rsidP="00CF434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14:paraId="7E62972F" w14:textId="77777777" w:rsidR="00693398" w:rsidRPr="004A5E38" w:rsidRDefault="00693398" w:rsidP="00693398">
      <w:pPr>
        <w:pStyle w:val="H1G"/>
        <w:rPr>
          <w:rFonts w:asciiTheme="majorBidi" w:hAnsiTheme="majorBidi" w:cstheme="majorBidi"/>
          <w:sz w:val="20"/>
          <w:u w:val="single"/>
        </w:rPr>
      </w:pPr>
      <w:r w:rsidRPr="00BA6AD4">
        <w:rPr>
          <w:rFonts w:asciiTheme="majorBidi" w:hAnsiTheme="majorBidi" w:cstheme="majorBidi"/>
          <w:sz w:val="20"/>
        </w:rPr>
        <w:lastRenderedPageBreak/>
        <w:tab/>
      </w:r>
      <w:r w:rsidRPr="00BA6AD4">
        <w:rPr>
          <w:rFonts w:asciiTheme="majorBidi" w:hAnsiTheme="majorBidi" w:cstheme="majorBidi"/>
          <w:sz w:val="20"/>
        </w:rPr>
        <w:tab/>
      </w:r>
      <w:r w:rsidRPr="00BA6AD4">
        <w:rPr>
          <w:rFonts w:asciiTheme="majorBidi" w:hAnsiTheme="majorBidi" w:cstheme="majorBidi"/>
          <w:bCs/>
          <w:sz w:val="20"/>
          <w:u w:val="single"/>
        </w:rPr>
        <w:t>Стандарты общего назначения</w:t>
      </w:r>
    </w:p>
    <w:p w14:paraId="274EF111" w14:textId="77777777" w:rsidR="00693398" w:rsidRPr="004A5E38" w:rsidRDefault="00693398" w:rsidP="00693398">
      <w:pPr>
        <w:pStyle w:val="SingleTxtG"/>
        <w:rPr>
          <w:rFonts w:asciiTheme="majorBidi" w:hAnsiTheme="majorBidi" w:cstheme="majorBidi"/>
        </w:rPr>
      </w:pPr>
      <w:r w:rsidRPr="00BA6AD4">
        <w:rPr>
          <w:rFonts w:asciiTheme="majorBidi" w:hAnsiTheme="majorBidi" w:cstheme="majorBidi"/>
        </w:rPr>
        <w:t>Со времени проведения последне</w:t>
      </w:r>
      <w:r>
        <w:rPr>
          <w:rFonts w:asciiTheme="majorBidi" w:hAnsiTheme="majorBidi" w:cstheme="majorBidi"/>
        </w:rPr>
        <w:t>й сессии</w:t>
      </w:r>
      <w:r w:rsidRPr="00BA6AD4">
        <w:rPr>
          <w:rFonts w:asciiTheme="majorBidi" w:hAnsiTheme="majorBidi" w:cstheme="majorBidi"/>
        </w:rPr>
        <w:t xml:space="preserve"> Совместного совещания новые версии стандартов общего назначения не публиковались.</w:t>
      </w:r>
    </w:p>
    <w:p w14:paraId="1A82F0EB" w14:textId="77777777" w:rsidR="00693398" w:rsidRPr="004A5E38" w:rsidRDefault="00693398" w:rsidP="00693398">
      <w:pPr>
        <w:pStyle w:val="H1G"/>
        <w:rPr>
          <w:rFonts w:asciiTheme="majorBidi" w:hAnsiTheme="majorBidi" w:cstheme="majorBidi"/>
          <w:b w:val="0"/>
          <w:sz w:val="20"/>
          <w:u w:val="single"/>
        </w:rPr>
      </w:pPr>
      <w:r w:rsidRPr="00BA6AD4">
        <w:rPr>
          <w:rFonts w:asciiTheme="majorBidi" w:hAnsiTheme="majorBidi" w:cstheme="majorBidi"/>
          <w:sz w:val="20"/>
        </w:rPr>
        <w:tab/>
      </w:r>
      <w:r w:rsidRPr="00BA6AD4">
        <w:rPr>
          <w:rFonts w:asciiTheme="majorBidi" w:hAnsiTheme="majorBidi" w:cstheme="majorBidi"/>
          <w:sz w:val="20"/>
        </w:rPr>
        <w:tab/>
      </w:r>
      <w:r w:rsidRPr="00BA6AD4">
        <w:rPr>
          <w:rFonts w:asciiTheme="majorBidi" w:hAnsiTheme="majorBidi" w:cstheme="majorBidi"/>
          <w:bCs/>
          <w:sz w:val="20"/>
          <w:u w:val="single"/>
        </w:rPr>
        <w:t>Информация о стандартах, на которые даны ссылки в МПОГ</w:t>
      </w:r>
      <w:r w:rsidRPr="00BA6AD4">
        <w:rPr>
          <w:rFonts w:asciiTheme="majorBidi" w:hAnsiTheme="majorBidi" w:cstheme="majorBidi"/>
          <w:sz w:val="20"/>
        </w:rPr>
        <w:t xml:space="preserve"> </w:t>
      </w:r>
    </w:p>
    <w:p w14:paraId="2C6135BF" w14:textId="201F5E7E" w:rsidR="00693398" w:rsidRPr="004A5E38" w:rsidRDefault="00693398" w:rsidP="00693398">
      <w:pPr>
        <w:pStyle w:val="SingleTxtG"/>
        <w:rPr>
          <w:rFonts w:asciiTheme="majorBidi" w:hAnsiTheme="majorBidi" w:cstheme="majorBidi"/>
        </w:rPr>
      </w:pPr>
      <w:r w:rsidRPr="00BA6AD4">
        <w:rPr>
          <w:rFonts w:asciiTheme="majorBidi" w:hAnsiTheme="majorBidi" w:cstheme="majorBidi"/>
        </w:rPr>
        <w:t>4 мая 2023 года СЕН направил в секретариаты Совместного совещания обновленный список последних версий стандарт</w:t>
      </w:r>
      <w:r>
        <w:rPr>
          <w:rFonts w:asciiTheme="majorBidi" w:hAnsiTheme="majorBidi" w:cstheme="majorBidi"/>
        </w:rPr>
        <w:t>ов</w:t>
      </w:r>
      <w:r w:rsidRPr="00BA6AD4">
        <w:rPr>
          <w:rFonts w:asciiTheme="majorBidi" w:hAnsiTheme="majorBidi" w:cstheme="majorBidi"/>
        </w:rPr>
        <w:t xml:space="preserve">, </w:t>
      </w:r>
      <w:r w:rsidR="005A183A">
        <w:rPr>
          <w:rFonts w:asciiTheme="majorBidi" w:hAnsiTheme="majorBidi" w:cstheme="majorBidi"/>
        </w:rPr>
        <w:t xml:space="preserve">на </w:t>
      </w:r>
      <w:r w:rsidRPr="00BA6AD4">
        <w:rPr>
          <w:rFonts w:asciiTheme="majorBidi" w:hAnsiTheme="majorBidi" w:cstheme="majorBidi"/>
        </w:rPr>
        <w:t>которые надлежит ссылаться в МПОГ.</w:t>
      </w:r>
    </w:p>
    <w:p w14:paraId="488A5500" w14:textId="77777777" w:rsidR="00693398" w:rsidRPr="004A5E38" w:rsidRDefault="00693398" w:rsidP="00693398">
      <w:pPr>
        <w:spacing w:before="240"/>
        <w:jc w:val="center"/>
        <w:rPr>
          <w:u w:val="single"/>
        </w:rPr>
      </w:pPr>
      <w:r w:rsidRPr="004A5E38">
        <w:rPr>
          <w:u w:val="single"/>
        </w:rPr>
        <w:tab/>
      </w:r>
      <w:r w:rsidRPr="004A5E38">
        <w:rPr>
          <w:u w:val="single"/>
        </w:rPr>
        <w:tab/>
      </w:r>
      <w:r w:rsidRPr="004A5E38">
        <w:rPr>
          <w:u w:val="single"/>
        </w:rPr>
        <w:tab/>
      </w:r>
    </w:p>
    <w:p w14:paraId="1FFEEF56" w14:textId="312B17C8" w:rsidR="00E12C5F" w:rsidRPr="00693398" w:rsidRDefault="00E12C5F" w:rsidP="00693398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sectPr w:rsidR="00E12C5F" w:rsidRPr="00693398" w:rsidSect="00693398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C472" w14:textId="77777777" w:rsidR="00CF710C" w:rsidRPr="00A312BC" w:rsidRDefault="00CF710C" w:rsidP="00A312BC"/>
  </w:endnote>
  <w:endnote w:type="continuationSeparator" w:id="0">
    <w:p w14:paraId="7AA8EC0C" w14:textId="77777777" w:rsidR="00CF710C" w:rsidRPr="00A312BC" w:rsidRDefault="00CF71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A3D3" w14:textId="53269FE6" w:rsidR="00FA2CB1" w:rsidRPr="00FA2CB1" w:rsidRDefault="00FA2CB1">
    <w:pPr>
      <w:pStyle w:val="a8"/>
    </w:pPr>
    <w:r w:rsidRPr="00FA2CB1">
      <w:rPr>
        <w:b/>
        <w:sz w:val="18"/>
      </w:rPr>
      <w:fldChar w:fldCharType="begin"/>
    </w:r>
    <w:r w:rsidRPr="00FA2CB1">
      <w:rPr>
        <w:b/>
        <w:sz w:val="18"/>
      </w:rPr>
      <w:instrText xml:space="preserve"> PAGE  \* MERGEFORMAT </w:instrText>
    </w:r>
    <w:r w:rsidRPr="00FA2CB1">
      <w:rPr>
        <w:b/>
        <w:sz w:val="18"/>
      </w:rPr>
      <w:fldChar w:fldCharType="separate"/>
    </w:r>
    <w:r w:rsidRPr="00FA2CB1">
      <w:rPr>
        <w:b/>
        <w:noProof/>
        <w:sz w:val="18"/>
      </w:rPr>
      <w:t>2</w:t>
    </w:r>
    <w:r w:rsidRPr="00FA2CB1">
      <w:rPr>
        <w:b/>
        <w:sz w:val="18"/>
      </w:rPr>
      <w:fldChar w:fldCharType="end"/>
    </w:r>
    <w:r>
      <w:rPr>
        <w:b/>
        <w:sz w:val="18"/>
      </w:rPr>
      <w:tab/>
    </w:r>
    <w:r>
      <w:t>GE.23-12637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B7C6" w14:textId="31980156" w:rsidR="00FA2CB1" w:rsidRPr="00FA2CB1" w:rsidRDefault="00FA2CB1" w:rsidP="00FA2CB1">
    <w:pPr>
      <w:pStyle w:val="a8"/>
      <w:tabs>
        <w:tab w:val="clear" w:pos="9639"/>
        <w:tab w:val="right" w:pos="9638"/>
      </w:tabs>
      <w:rPr>
        <w:b/>
        <w:sz w:val="18"/>
      </w:rPr>
    </w:pPr>
    <w:r>
      <w:t>GE.23-12637</w:t>
    </w:r>
    <w:r>
      <w:tab/>
    </w:r>
    <w:r w:rsidRPr="00FA2CB1">
      <w:rPr>
        <w:b/>
        <w:sz w:val="18"/>
      </w:rPr>
      <w:fldChar w:fldCharType="begin"/>
    </w:r>
    <w:r w:rsidRPr="00FA2CB1">
      <w:rPr>
        <w:b/>
        <w:sz w:val="18"/>
      </w:rPr>
      <w:instrText xml:space="preserve"> PAGE  \* MERGEFORMAT </w:instrText>
    </w:r>
    <w:r w:rsidRPr="00FA2CB1">
      <w:rPr>
        <w:b/>
        <w:sz w:val="18"/>
      </w:rPr>
      <w:fldChar w:fldCharType="separate"/>
    </w:r>
    <w:r w:rsidRPr="00FA2CB1">
      <w:rPr>
        <w:b/>
        <w:noProof/>
        <w:sz w:val="18"/>
      </w:rPr>
      <w:t>3</w:t>
    </w:r>
    <w:r w:rsidRPr="00FA2C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38BD" w14:textId="546B1FA1" w:rsidR="00042B72" w:rsidRPr="00693398" w:rsidRDefault="00FA2CB1" w:rsidP="00FA2CB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606CB3" wp14:editId="7237B4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8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23-12637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B1C591" wp14:editId="48C9EC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398">
      <w:t xml:space="preserve">   </w:t>
    </w:r>
    <w:r w:rsidR="00693398">
      <w:rPr>
        <w:lang w:val="en-US"/>
      </w:rPr>
      <w:t xml:space="preserve">120723  </w:t>
    </w:r>
    <w:r w:rsidR="008E0753">
      <w:rPr>
        <w:lang w:val="en-US"/>
      </w:rPr>
      <w:t>24</w:t>
    </w:r>
    <w:r w:rsidR="00693398">
      <w:rPr>
        <w:lang w:val="en-US"/>
      </w:rPr>
      <w:t>0723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8A1D" w14:textId="34E566FB" w:rsidR="00693398" w:rsidRPr="00693398" w:rsidRDefault="00693398" w:rsidP="0069339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C72F7" wp14:editId="0A10FC6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F62266E" w14:textId="77777777" w:rsidR="00693398" w:rsidRPr="00FA2CB1" w:rsidRDefault="00693398" w:rsidP="00693398">
                          <w:pPr>
                            <w:pStyle w:val="a8"/>
                          </w:pPr>
                          <w:r w:rsidRPr="00FA2C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A2C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A2C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FA2C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GE.23-12637</w:t>
                          </w:r>
                        </w:p>
                        <w:p w14:paraId="4D9303DA" w14:textId="77777777" w:rsidR="00693398" w:rsidRDefault="006933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C72F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F62266E" w14:textId="77777777" w:rsidR="00693398" w:rsidRPr="00FA2CB1" w:rsidRDefault="00693398" w:rsidP="00693398">
                    <w:pPr>
                      <w:pStyle w:val="a8"/>
                    </w:pPr>
                    <w:r w:rsidRPr="00FA2CB1">
                      <w:rPr>
                        <w:b/>
                        <w:sz w:val="18"/>
                      </w:rPr>
                      <w:fldChar w:fldCharType="begin"/>
                    </w:r>
                    <w:r w:rsidRPr="00FA2C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A2C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FA2CB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GE.23-12637</w:t>
                    </w:r>
                  </w:p>
                  <w:p w14:paraId="4D9303DA" w14:textId="77777777" w:rsidR="00693398" w:rsidRDefault="0069339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BA7C" w14:textId="487931D0" w:rsidR="00693398" w:rsidRPr="00693398" w:rsidRDefault="00693398" w:rsidP="0069339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78DBFD" wp14:editId="7A5BE8D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8B0C31" w14:textId="77777777" w:rsidR="00693398" w:rsidRPr="00FA2CB1" w:rsidRDefault="00693398" w:rsidP="00693398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GE.23-12637</w:t>
                          </w:r>
                          <w:r>
                            <w:tab/>
                          </w:r>
                          <w:r w:rsidRPr="00FA2C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A2C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A2C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FA2C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DFCA962" w14:textId="77777777" w:rsidR="00693398" w:rsidRDefault="006933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8DBF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8B0C31" w14:textId="77777777" w:rsidR="00693398" w:rsidRPr="00FA2CB1" w:rsidRDefault="00693398" w:rsidP="00693398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GE.23-12637</w:t>
                    </w:r>
                    <w:r>
                      <w:tab/>
                    </w:r>
                    <w:r w:rsidRPr="00FA2CB1">
                      <w:rPr>
                        <w:b/>
                        <w:sz w:val="18"/>
                      </w:rPr>
                      <w:fldChar w:fldCharType="begin"/>
                    </w:r>
                    <w:r w:rsidRPr="00FA2C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A2C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FA2CB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DFCA962" w14:textId="77777777" w:rsidR="00693398" w:rsidRDefault="00693398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3C7" w14:textId="77777777" w:rsidR="00CF710C" w:rsidRPr="001075E9" w:rsidRDefault="00CF71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790CD0" w14:textId="77777777" w:rsidR="00CF710C" w:rsidRDefault="00CF71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C5173D" w14:textId="77777777" w:rsidR="00FA2CB1" w:rsidRPr="000D7273" w:rsidRDefault="00FA2CB1" w:rsidP="00FA2CB1">
      <w:pPr>
        <w:pStyle w:val="ad"/>
      </w:pPr>
      <w:r>
        <w:tab/>
      </w:r>
      <w:r w:rsidRPr="00693398">
        <w:t>*</w:t>
      </w:r>
      <w:r>
        <w:tab/>
        <w:t>A/77/6 (разд. 20), п. 20.76.</w:t>
      </w:r>
    </w:p>
  </w:footnote>
  <w:footnote w:id="2">
    <w:p w14:paraId="1619315D" w14:textId="77777777" w:rsidR="00FA2CB1" w:rsidRPr="001A76F1" w:rsidRDefault="00FA2CB1" w:rsidP="00FA2CB1">
      <w:pPr>
        <w:pStyle w:val="ad"/>
        <w:rPr>
          <w:sz w:val="20"/>
        </w:rPr>
      </w:pPr>
      <w:r>
        <w:tab/>
      </w:r>
      <w:r w:rsidRPr="00693398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2BB1" w14:textId="6D8EB963" w:rsidR="00FA2CB1" w:rsidRPr="00FA2CB1" w:rsidRDefault="00416B5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90E3" w14:textId="7C2315C8" w:rsidR="00FA2CB1" w:rsidRPr="00FA2CB1" w:rsidRDefault="00416B54" w:rsidP="00FA2CB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ECE/TRANS/WP.15/AC.1/2023/34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9671" w14:textId="49808B07" w:rsidR="00693398" w:rsidRPr="00693398" w:rsidRDefault="00693398" w:rsidP="0069339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25D96" wp14:editId="5C03999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F18434A" w14:textId="63A37EDF" w:rsidR="00693398" w:rsidRPr="00FA2CB1" w:rsidRDefault="00693398" w:rsidP="00693398">
                          <w:pPr>
                            <w:pStyle w:val="a5"/>
                          </w:pPr>
                          <w:fldSimple w:instr=" TITLE  \* MERGEFORMAT ">
                            <w:r w:rsidR="00416B54">
                              <w:t>ECE/TRANS/WP.15/AC.1/2023/34</w:t>
                            </w:r>
                          </w:fldSimple>
                        </w:p>
                        <w:p w14:paraId="365C0355" w14:textId="77777777" w:rsidR="00693398" w:rsidRDefault="006933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25D9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F18434A" w14:textId="63A37EDF" w:rsidR="00693398" w:rsidRPr="00FA2CB1" w:rsidRDefault="00693398" w:rsidP="00693398">
                    <w:pPr>
                      <w:pStyle w:val="a5"/>
                    </w:pPr>
                    <w:fldSimple w:instr=" TITLE  \* MERGEFORMAT ">
                      <w:r w:rsidR="00416B54">
                        <w:t>ECE/TRANS/WP.15/AC.1/2023/34</w:t>
                      </w:r>
                    </w:fldSimple>
                  </w:p>
                  <w:p w14:paraId="365C0355" w14:textId="77777777" w:rsidR="00693398" w:rsidRDefault="0069339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F344" w14:textId="770C4EA9" w:rsidR="00693398" w:rsidRPr="00693398" w:rsidRDefault="00693398" w:rsidP="0069339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2AAA6" wp14:editId="2C82D81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E162FB" w14:textId="4D1BA07A" w:rsidR="00693398" w:rsidRPr="00FA2CB1" w:rsidRDefault="00693398" w:rsidP="00693398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416B54">
                              <w:t>ECE/TRANS/WP.15/AC.1/2023/34</w:t>
                            </w:r>
                          </w:fldSimple>
                        </w:p>
                        <w:p w14:paraId="6337E051" w14:textId="77777777" w:rsidR="00693398" w:rsidRDefault="0069339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2AAA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29E162FB" w14:textId="4D1BA07A" w:rsidR="00693398" w:rsidRPr="00FA2CB1" w:rsidRDefault="00693398" w:rsidP="00693398">
                    <w:pPr>
                      <w:pStyle w:val="a5"/>
                      <w:jc w:val="right"/>
                    </w:pPr>
                    <w:fldSimple w:instr=" TITLE  \* MERGEFORMAT ">
                      <w:r w:rsidR="00416B54">
                        <w:t>ECE/TRANS/WP.15/AC.1/2023/34</w:t>
                      </w:r>
                    </w:fldSimple>
                  </w:p>
                  <w:p w14:paraId="6337E051" w14:textId="77777777" w:rsidR="00693398" w:rsidRDefault="0069339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033FBE"/>
    <w:multiLevelType w:val="hybridMultilevel"/>
    <w:tmpl w:val="1CC0636A"/>
    <w:lvl w:ilvl="0" w:tplc="C884FA70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15568">
    <w:abstractNumId w:val="18"/>
  </w:num>
  <w:num w:numId="2" w16cid:durableId="1378696468">
    <w:abstractNumId w:val="13"/>
  </w:num>
  <w:num w:numId="3" w16cid:durableId="1037896978">
    <w:abstractNumId w:val="11"/>
  </w:num>
  <w:num w:numId="4" w16cid:durableId="51852975">
    <w:abstractNumId w:val="19"/>
  </w:num>
  <w:num w:numId="5" w16cid:durableId="2054885920">
    <w:abstractNumId w:val="15"/>
  </w:num>
  <w:num w:numId="6" w16cid:durableId="429546264">
    <w:abstractNumId w:val="8"/>
  </w:num>
  <w:num w:numId="7" w16cid:durableId="433675608">
    <w:abstractNumId w:val="3"/>
  </w:num>
  <w:num w:numId="8" w16cid:durableId="358438994">
    <w:abstractNumId w:val="2"/>
  </w:num>
  <w:num w:numId="9" w16cid:durableId="735788595">
    <w:abstractNumId w:val="1"/>
  </w:num>
  <w:num w:numId="10" w16cid:durableId="1016425966">
    <w:abstractNumId w:val="0"/>
  </w:num>
  <w:num w:numId="11" w16cid:durableId="320157985">
    <w:abstractNumId w:val="9"/>
  </w:num>
  <w:num w:numId="12" w16cid:durableId="2013987595">
    <w:abstractNumId w:val="7"/>
  </w:num>
  <w:num w:numId="13" w16cid:durableId="97530290">
    <w:abstractNumId w:val="6"/>
  </w:num>
  <w:num w:numId="14" w16cid:durableId="1502743180">
    <w:abstractNumId w:val="5"/>
  </w:num>
  <w:num w:numId="15" w16cid:durableId="1421370155">
    <w:abstractNumId w:val="4"/>
  </w:num>
  <w:num w:numId="16" w16cid:durableId="2104913541">
    <w:abstractNumId w:val="17"/>
  </w:num>
  <w:num w:numId="17" w16cid:durableId="898055299">
    <w:abstractNumId w:val="14"/>
  </w:num>
  <w:num w:numId="18" w16cid:durableId="1573269867">
    <w:abstractNumId w:val="16"/>
  </w:num>
  <w:num w:numId="19" w16cid:durableId="400249866">
    <w:abstractNumId w:val="17"/>
  </w:num>
  <w:num w:numId="20" w16cid:durableId="1266041589">
    <w:abstractNumId w:val="14"/>
  </w:num>
  <w:num w:numId="21" w16cid:durableId="1457673504">
    <w:abstractNumId w:val="16"/>
  </w:num>
  <w:num w:numId="22" w16cid:durableId="607080024">
    <w:abstractNumId w:val="10"/>
  </w:num>
  <w:num w:numId="23" w16cid:durableId="1073160742">
    <w:abstractNumId w:val="12"/>
  </w:num>
  <w:num w:numId="24" w16cid:durableId="152254919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0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496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B54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183A"/>
    <w:rsid w:val="005D7914"/>
    <w:rsid w:val="005E2B41"/>
    <w:rsid w:val="005F0B42"/>
    <w:rsid w:val="00617A43"/>
    <w:rsid w:val="006345DB"/>
    <w:rsid w:val="00640F49"/>
    <w:rsid w:val="00680D03"/>
    <w:rsid w:val="00681A10"/>
    <w:rsid w:val="00693398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75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710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DE7"/>
    <w:rsid w:val="00EF1360"/>
    <w:rsid w:val="00EF3220"/>
    <w:rsid w:val="00F2523A"/>
    <w:rsid w:val="00F43903"/>
    <w:rsid w:val="00F94155"/>
    <w:rsid w:val="00F9783F"/>
    <w:rsid w:val="00FA2CB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B449"/>
  <w15:docId w15:val="{20652C43-1623-4EAF-9943-0206438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A2CB1"/>
    <w:rPr>
      <w:lang w:val="ru-RU" w:eastAsia="en-US"/>
    </w:rPr>
  </w:style>
  <w:style w:type="paragraph" w:customStyle="1" w:styleId="ParNoG">
    <w:name w:val="_ParNo_G"/>
    <w:basedOn w:val="SingleTxtG"/>
    <w:qFormat/>
    <w:rsid w:val="00FA2CB1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FA2CB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A2CB1"/>
    <w:rPr>
      <w:b/>
      <w:sz w:val="28"/>
      <w:lang w:val="ru-RU" w:eastAsia="ru-RU"/>
    </w:rPr>
  </w:style>
  <w:style w:type="paragraph" w:styleId="af3">
    <w:name w:val="Title"/>
    <w:basedOn w:val="a"/>
    <w:link w:val="af4"/>
    <w:qFormat/>
    <w:rsid w:val="00693398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4">
    <w:name w:val="Заголовок Знак"/>
    <w:basedOn w:val="a0"/>
    <w:link w:val="af3"/>
    <w:rsid w:val="00693398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a"/>
    <w:next w:val="a"/>
    <w:rsid w:val="00693398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a"/>
    <w:rsid w:val="00693398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693398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693398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693398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a"/>
    <w:next w:val="a"/>
    <w:uiPriority w:val="99"/>
    <w:rsid w:val="00693398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  <w:style w:type="character" w:styleId="af5">
    <w:name w:val="Unresolved Mention"/>
    <w:basedOn w:val="a0"/>
    <w:uiPriority w:val="99"/>
    <w:semiHidden/>
    <w:unhideWhenUsed/>
    <w:rsid w:val="005A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carreira@cencenelec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1253</Words>
  <Characters>8854</Characters>
  <Application>Microsoft Office Word</Application>
  <DocSecurity>0</DocSecurity>
  <Lines>629</Lines>
  <Paragraphs>236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ECE/TRANS/WP.15/AC.1/2023/34</vt:lpstr>
      <vt:lpstr>A/</vt:lpstr>
      <vt:lpstr>A/</vt:lpstr>
    </vt:vector>
  </TitlesOfParts>
  <Company>DCM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ECE/TRANS/WP.15/AC.1/2023/34</dc:title>
  <dc:subject/>
  <dc:creator>Anna BLAGODATSKIKH</dc:creator>
  <cp:keywords/>
  <cp:lastModifiedBy>Anna Blagodatskikh</cp:lastModifiedBy>
  <cp:revision>3</cp:revision>
  <cp:lastPrinted>2023-07-24T11:46:00Z</cp:lastPrinted>
  <dcterms:created xsi:type="dcterms:W3CDTF">2023-07-24T11:46:00Z</dcterms:created>
  <dcterms:modified xsi:type="dcterms:W3CDTF">2023-07-24T11:47:00Z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