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683DA8" w14:paraId="46DE3E2C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8401644" w14:textId="77777777" w:rsidR="00F35BAF" w:rsidRPr="00683DA8" w:rsidRDefault="00F35BAF" w:rsidP="003640AC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DA32084" w14:textId="77777777" w:rsidR="00F35BAF" w:rsidRPr="00683DA8" w:rsidRDefault="00F35BAF" w:rsidP="00C97039">
            <w:pPr>
              <w:spacing w:after="80" w:line="300" w:lineRule="exact"/>
              <w:rPr>
                <w:sz w:val="28"/>
                <w:lang w:val="fr-FR"/>
              </w:rPr>
            </w:pPr>
            <w:r w:rsidRPr="00683DA8">
              <w:rPr>
                <w:sz w:val="28"/>
                <w:lang w:val="fr-FR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62364C8" w14:textId="22C1DA4B" w:rsidR="00F35BAF" w:rsidRPr="00683DA8" w:rsidRDefault="003640AC" w:rsidP="003640AC">
            <w:pPr>
              <w:jc w:val="right"/>
              <w:rPr>
                <w:lang w:val="fr-FR"/>
              </w:rPr>
            </w:pPr>
            <w:r w:rsidRPr="00683DA8">
              <w:rPr>
                <w:sz w:val="40"/>
                <w:lang w:val="fr-FR"/>
              </w:rPr>
              <w:t>ECE</w:t>
            </w:r>
            <w:r w:rsidRPr="00683DA8">
              <w:rPr>
                <w:lang w:val="fr-FR"/>
              </w:rPr>
              <w:t>/TRANS/WP</w:t>
            </w:r>
            <w:r w:rsidR="004C0EB1" w:rsidRPr="00683DA8">
              <w:rPr>
                <w:lang w:val="fr-FR"/>
              </w:rPr>
              <w:t>.</w:t>
            </w:r>
            <w:r w:rsidRPr="00683DA8">
              <w:rPr>
                <w:lang w:val="fr-FR"/>
              </w:rPr>
              <w:t>15/AC</w:t>
            </w:r>
            <w:r w:rsidR="004C0EB1" w:rsidRPr="00683DA8">
              <w:rPr>
                <w:lang w:val="fr-FR"/>
              </w:rPr>
              <w:t>.</w:t>
            </w:r>
            <w:r w:rsidRPr="00683DA8">
              <w:rPr>
                <w:lang w:val="fr-FR"/>
              </w:rPr>
              <w:t>1/2023/29</w:t>
            </w:r>
          </w:p>
        </w:tc>
      </w:tr>
      <w:tr w:rsidR="00F35BAF" w:rsidRPr="00683DA8" w14:paraId="0664FE31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703FF04" w14:textId="77777777" w:rsidR="00F35BAF" w:rsidRPr="00683DA8" w:rsidRDefault="00F35BAF" w:rsidP="00C97039">
            <w:pPr>
              <w:spacing w:before="120"/>
              <w:jc w:val="center"/>
              <w:rPr>
                <w:lang w:val="fr-FR"/>
              </w:rPr>
            </w:pPr>
            <w:r w:rsidRPr="00683DA8">
              <w:rPr>
                <w:noProof/>
                <w:lang w:val="fr-FR" w:eastAsia="fr-CH"/>
              </w:rPr>
              <w:drawing>
                <wp:inline distT="0" distB="0" distL="0" distR="0" wp14:anchorId="11243714" wp14:editId="3561B40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F5B1EE9" w14:textId="77777777" w:rsidR="00F35BAF" w:rsidRPr="00683DA8" w:rsidRDefault="00F35BAF" w:rsidP="00C97039">
            <w:pPr>
              <w:spacing w:before="120" w:line="420" w:lineRule="exact"/>
              <w:rPr>
                <w:b/>
                <w:sz w:val="40"/>
                <w:szCs w:val="40"/>
                <w:lang w:val="fr-FR"/>
              </w:rPr>
            </w:pPr>
            <w:r w:rsidRPr="00683DA8">
              <w:rPr>
                <w:b/>
                <w:sz w:val="40"/>
                <w:szCs w:val="40"/>
                <w:lang w:val="fr-FR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EF3D87B" w14:textId="0FBD7814" w:rsidR="00F35BAF" w:rsidRPr="00683DA8" w:rsidRDefault="003640AC" w:rsidP="00C97039">
            <w:pPr>
              <w:spacing w:before="240"/>
              <w:rPr>
                <w:lang w:val="fr-FR"/>
              </w:rPr>
            </w:pPr>
            <w:r w:rsidRPr="00683DA8">
              <w:rPr>
                <w:lang w:val="fr-FR"/>
              </w:rPr>
              <w:t>Distr</w:t>
            </w:r>
            <w:r w:rsidR="004C0EB1" w:rsidRPr="00683DA8">
              <w:rPr>
                <w:lang w:val="fr-FR"/>
              </w:rPr>
              <w:t>.</w:t>
            </w:r>
            <w:r w:rsidRPr="00683DA8">
              <w:rPr>
                <w:lang w:val="fr-FR"/>
              </w:rPr>
              <w:t xml:space="preserve"> générale</w:t>
            </w:r>
          </w:p>
          <w:p w14:paraId="52071E5E" w14:textId="77777777" w:rsidR="003640AC" w:rsidRPr="00683DA8" w:rsidRDefault="003640AC" w:rsidP="003640AC">
            <w:pPr>
              <w:spacing w:line="240" w:lineRule="exact"/>
              <w:rPr>
                <w:lang w:val="fr-FR"/>
              </w:rPr>
            </w:pPr>
            <w:r w:rsidRPr="00683DA8">
              <w:rPr>
                <w:lang w:val="fr-FR"/>
              </w:rPr>
              <w:t>28 juin 2023</w:t>
            </w:r>
          </w:p>
          <w:p w14:paraId="08E88C3E" w14:textId="77777777" w:rsidR="003640AC" w:rsidRPr="00683DA8" w:rsidRDefault="003640AC" w:rsidP="003640AC">
            <w:pPr>
              <w:spacing w:line="240" w:lineRule="exact"/>
              <w:rPr>
                <w:lang w:val="fr-FR"/>
              </w:rPr>
            </w:pPr>
            <w:r w:rsidRPr="00683DA8">
              <w:rPr>
                <w:lang w:val="fr-FR"/>
              </w:rPr>
              <w:t>Français</w:t>
            </w:r>
          </w:p>
          <w:p w14:paraId="75BD9E0B" w14:textId="2945C751" w:rsidR="003640AC" w:rsidRPr="00683DA8" w:rsidRDefault="003640AC" w:rsidP="003640AC">
            <w:pPr>
              <w:spacing w:line="240" w:lineRule="exact"/>
              <w:rPr>
                <w:lang w:val="fr-FR"/>
              </w:rPr>
            </w:pPr>
            <w:r w:rsidRPr="00683DA8">
              <w:rPr>
                <w:lang w:val="fr-FR"/>
              </w:rPr>
              <w:t>Original</w:t>
            </w:r>
            <w:r w:rsidR="00435F8D" w:rsidRPr="00683DA8">
              <w:rPr>
                <w:lang w:val="fr-FR"/>
              </w:rPr>
              <w:t> :</w:t>
            </w:r>
            <w:r w:rsidRPr="00683DA8">
              <w:rPr>
                <w:lang w:val="fr-FR"/>
              </w:rPr>
              <w:t xml:space="preserve"> anglais</w:t>
            </w:r>
          </w:p>
        </w:tc>
      </w:tr>
    </w:tbl>
    <w:p w14:paraId="6B784A61" w14:textId="784C8469" w:rsidR="007F20FA" w:rsidRPr="00683DA8" w:rsidRDefault="007F20FA" w:rsidP="007F20FA">
      <w:pPr>
        <w:spacing w:before="120"/>
        <w:rPr>
          <w:b/>
          <w:sz w:val="28"/>
          <w:szCs w:val="28"/>
          <w:lang w:val="fr-FR"/>
        </w:rPr>
      </w:pPr>
      <w:r w:rsidRPr="00683DA8">
        <w:rPr>
          <w:b/>
          <w:sz w:val="28"/>
          <w:szCs w:val="28"/>
          <w:lang w:val="fr-FR"/>
        </w:rPr>
        <w:t>Commission économique pour l</w:t>
      </w:r>
      <w:r w:rsidR="00435F8D" w:rsidRPr="00683DA8">
        <w:rPr>
          <w:b/>
          <w:sz w:val="28"/>
          <w:szCs w:val="28"/>
          <w:lang w:val="fr-FR"/>
        </w:rPr>
        <w:t>’</w:t>
      </w:r>
      <w:r w:rsidRPr="00683DA8">
        <w:rPr>
          <w:b/>
          <w:sz w:val="28"/>
          <w:szCs w:val="28"/>
          <w:lang w:val="fr-FR"/>
        </w:rPr>
        <w:t>Europe</w:t>
      </w:r>
    </w:p>
    <w:p w14:paraId="00CA6E5E" w14:textId="77777777" w:rsidR="007F20FA" w:rsidRPr="00683DA8" w:rsidRDefault="007F20FA" w:rsidP="007F20FA">
      <w:pPr>
        <w:spacing w:before="120"/>
        <w:rPr>
          <w:sz w:val="28"/>
          <w:szCs w:val="28"/>
          <w:lang w:val="fr-FR"/>
        </w:rPr>
      </w:pPr>
      <w:r w:rsidRPr="00683DA8">
        <w:rPr>
          <w:sz w:val="28"/>
          <w:szCs w:val="28"/>
          <w:lang w:val="fr-FR"/>
        </w:rPr>
        <w:t>Comité des transports intérieurs</w:t>
      </w:r>
    </w:p>
    <w:p w14:paraId="12C15FB3" w14:textId="77777777" w:rsidR="003640AC" w:rsidRPr="00683DA8" w:rsidRDefault="003640AC" w:rsidP="003640AC">
      <w:pPr>
        <w:spacing w:before="120"/>
        <w:rPr>
          <w:b/>
          <w:sz w:val="24"/>
          <w:szCs w:val="24"/>
          <w:lang w:val="fr-FR"/>
        </w:rPr>
      </w:pPr>
      <w:r w:rsidRPr="00683DA8">
        <w:rPr>
          <w:b/>
          <w:bCs/>
          <w:sz w:val="24"/>
          <w:szCs w:val="24"/>
          <w:lang w:val="fr-FR"/>
        </w:rPr>
        <w:t>Groupe de travail des transports de marchandises dangereuses</w:t>
      </w:r>
    </w:p>
    <w:p w14:paraId="1F81235B" w14:textId="27A664BC" w:rsidR="003640AC" w:rsidRPr="00683DA8" w:rsidRDefault="003640AC" w:rsidP="003640AC">
      <w:pPr>
        <w:spacing w:before="120"/>
        <w:ind w:right="4818"/>
        <w:rPr>
          <w:b/>
          <w:lang w:val="fr-FR"/>
        </w:rPr>
      </w:pPr>
      <w:r w:rsidRPr="00683DA8">
        <w:rPr>
          <w:b/>
          <w:bCs/>
          <w:lang w:val="fr-FR"/>
        </w:rPr>
        <w:t>Réunion commune de la Commission d</w:t>
      </w:r>
      <w:r w:rsidR="00435F8D" w:rsidRPr="00683DA8">
        <w:rPr>
          <w:b/>
          <w:bCs/>
          <w:lang w:val="fr-FR"/>
        </w:rPr>
        <w:t>’</w:t>
      </w:r>
      <w:r w:rsidRPr="00683DA8">
        <w:rPr>
          <w:b/>
          <w:bCs/>
          <w:lang w:val="fr-FR"/>
        </w:rPr>
        <w:t xml:space="preserve">experts du RID et du Groupe de travail des transports </w:t>
      </w:r>
      <w:r w:rsidRPr="00683DA8">
        <w:rPr>
          <w:b/>
          <w:bCs/>
          <w:lang w:val="fr-FR"/>
        </w:rPr>
        <w:br/>
        <w:t>de marchandises dangereuses</w:t>
      </w:r>
    </w:p>
    <w:p w14:paraId="38361EEB" w14:textId="77777777" w:rsidR="003640AC" w:rsidRPr="00683DA8" w:rsidRDefault="003640AC" w:rsidP="003640AC">
      <w:pPr>
        <w:rPr>
          <w:lang w:val="fr-FR"/>
        </w:rPr>
      </w:pPr>
      <w:r w:rsidRPr="00683DA8">
        <w:rPr>
          <w:lang w:val="fr-FR"/>
        </w:rPr>
        <w:t>Genève, 19-29 septembre 2023</w:t>
      </w:r>
    </w:p>
    <w:p w14:paraId="0F4CF471" w14:textId="253BE38D" w:rsidR="003640AC" w:rsidRPr="00683DA8" w:rsidRDefault="003640AC" w:rsidP="003640AC">
      <w:pPr>
        <w:rPr>
          <w:lang w:val="fr-FR"/>
        </w:rPr>
      </w:pPr>
      <w:r w:rsidRPr="00683DA8">
        <w:rPr>
          <w:lang w:val="fr-FR"/>
        </w:rPr>
        <w:t>Point 2 de l</w:t>
      </w:r>
      <w:r w:rsidR="00435F8D" w:rsidRPr="00683DA8">
        <w:rPr>
          <w:lang w:val="fr-FR"/>
        </w:rPr>
        <w:t>’</w:t>
      </w:r>
      <w:r w:rsidRPr="00683DA8">
        <w:rPr>
          <w:lang w:val="fr-FR"/>
        </w:rPr>
        <w:t>ordre du jour provisoire</w:t>
      </w:r>
    </w:p>
    <w:p w14:paraId="164A4914" w14:textId="77777777" w:rsidR="003640AC" w:rsidRPr="00683DA8" w:rsidRDefault="003640AC" w:rsidP="003640AC">
      <w:pPr>
        <w:rPr>
          <w:b/>
          <w:bCs/>
          <w:lang w:val="fr-FR"/>
        </w:rPr>
      </w:pPr>
      <w:r w:rsidRPr="00683DA8">
        <w:rPr>
          <w:b/>
          <w:bCs/>
          <w:lang w:val="fr-FR"/>
        </w:rPr>
        <w:t>Citernes</w:t>
      </w:r>
    </w:p>
    <w:p w14:paraId="3AE23652" w14:textId="53E192AE" w:rsidR="003640AC" w:rsidRPr="00683DA8" w:rsidRDefault="003640AC" w:rsidP="003640AC">
      <w:pPr>
        <w:pStyle w:val="HChG"/>
        <w:rPr>
          <w:lang w:val="fr-FR"/>
        </w:rPr>
      </w:pPr>
      <w:r w:rsidRPr="00683DA8">
        <w:rPr>
          <w:lang w:val="fr-FR"/>
        </w:rPr>
        <w:tab/>
      </w:r>
      <w:r w:rsidRPr="00683DA8">
        <w:rPr>
          <w:lang w:val="fr-FR"/>
        </w:rPr>
        <w:tab/>
        <w:t>Clarification relative à l</w:t>
      </w:r>
      <w:r w:rsidR="00435F8D" w:rsidRPr="00683DA8">
        <w:rPr>
          <w:lang w:val="fr-FR"/>
        </w:rPr>
        <w:t>’</w:t>
      </w:r>
      <w:r w:rsidRPr="00683DA8">
        <w:rPr>
          <w:lang w:val="fr-FR"/>
        </w:rPr>
        <w:t xml:space="preserve">application des prescriptions </w:t>
      </w:r>
      <w:r w:rsidRPr="00683DA8">
        <w:rPr>
          <w:lang w:val="fr-FR"/>
        </w:rPr>
        <w:br/>
        <w:t>du 6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8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2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2 en plus de celles du 6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8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3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2</w:t>
      </w:r>
    </w:p>
    <w:p w14:paraId="134AA828" w14:textId="384A2B96" w:rsidR="003640AC" w:rsidRPr="00683DA8" w:rsidRDefault="003640AC" w:rsidP="003640AC">
      <w:pPr>
        <w:pStyle w:val="H1G"/>
        <w:rPr>
          <w:szCs w:val="24"/>
          <w:lang w:val="fr-FR"/>
        </w:rPr>
      </w:pPr>
      <w:r w:rsidRPr="00683DA8">
        <w:rPr>
          <w:lang w:val="fr-FR"/>
        </w:rPr>
        <w:tab/>
      </w:r>
      <w:r w:rsidRPr="00683DA8">
        <w:rPr>
          <w:lang w:val="fr-FR"/>
        </w:rPr>
        <w:tab/>
        <w:t>Communication du Gouvernement néerlandais</w:t>
      </w:r>
      <w:r w:rsidRPr="00932474">
        <w:rPr>
          <w:rStyle w:val="FootnoteReference"/>
          <w:b w:val="0"/>
          <w:sz w:val="20"/>
          <w:shd w:val="clear" w:color="auto" w:fill="FFFFFF"/>
          <w:vertAlign w:val="baseline"/>
          <w:lang w:val="fr-FR"/>
        </w:rPr>
        <w:footnoteReference w:customMarkFollows="1" w:id="2"/>
        <w:t>*</w:t>
      </w:r>
      <w:r w:rsidRPr="00932474">
        <w:rPr>
          <w:b w:val="0"/>
          <w:position w:val="6"/>
          <w:sz w:val="20"/>
          <w:lang w:val="fr-FR"/>
        </w:rPr>
        <w:t>,</w:t>
      </w:r>
      <w:r w:rsidR="00646BF5" w:rsidRPr="00932474">
        <w:rPr>
          <w:b w:val="0"/>
          <w:position w:val="6"/>
          <w:sz w:val="20"/>
          <w:lang w:val="fr-FR"/>
        </w:rPr>
        <w:t xml:space="preserve"> </w:t>
      </w:r>
      <w:r w:rsidRPr="00932474">
        <w:rPr>
          <w:rStyle w:val="FootnoteReference"/>
          <w:b w:val="0"/>
          <w:sz w:val="20"/>
          <w:vertAlign w:val="baseline"/>
          <w:lang w:val="fr-FR"/>
        </w:rPr>
        <w:footnoteReference w:customMarkFollows="1" w:id="3"/>
        <w:t>*</w:t>
      </w:r>
      <w:r w:rsidRPr="00932474">
        <w:rPr>
          <w:b w:val="0"/>
          <w:bCs/>
          <w:sz w:val="20"/>
          <w:lang w:val="fr-FR"/>
        </w:rPr>
        <w:t>*</w:t>
      </w:r>
    </w:p>
    <w:p w14:paraId="3221BB22" w14:textId="77777777" w:rsidR="003640AC" w:rsidRPr="00683DA8" w:rsidRDefault="003640AC" w:rsidP="003640AC">
      <w:pPr>
        <w:pStyle w:val="HChG"/>
        <w:rPr>
          <w:lang w:val="fr-FR"/>
        </w:rPr>
      </w:pPr>
      <w:r w:rsidRPr="00683DA8">
        <w:rPr>
          <w:lang w:val="fr-FR"/>
        </w:rPr>
        <w:tab/>
      </w:r>
      <w:r w:rsidRPr="00683DA8">
        <w:rPr>
          <w:lang w:val="fr-FR"/>
        </w:rPr>
        <w:tab/>
        <w:t>Introduction</w:t>
      </w:r>
    </w:p>
    <w:p w14:paraId="5314CE75" w14:textId="1BB33F09" w:rsidR="003640AC" w:rsidRPr="00683DA8" w:rsidRDefault="003640AC" w:rsidP="003640AC">
      <w:pPr>
        <w:pStyle w:val="ParNoG"/>
        <w:rPr>
          <w:lang w:val="fr-FR"/>
        </w:rPr>
      </w:pPr>
      <w:r w:rsidRPr="00683DA8">
        <w:rPr>
          <w:lang w:val="fr-FR"/>
        </w:rPr>
        <w:t>Au 6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8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2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6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1 de l</w:t>
      </w:r>
      <w:r w:rsidR="00435F8D" w:rsidRPr="00683DA8">
        <w:rPr>
          <w:lang w:val="fr-FR"/>
        </w:rPr>
        <w:t>’</w:t>
      </w:r>
      <w:r w:rsidRPr="00683DA8">
        <w:rPr>
          <w:lang w:val="fr-FR"/>
        </w:rPr>
        <w:t>Accord relatif au transport international des marchandises dangereuses par route (ADR), dans la colonne 3 du tableau, pour la norme EN</w:t>
      </w:r>
      <w:r w:rsidR="004C0EB1" w:rsidRPr="00683DA8">
        <w:rPr>
          <w:lang w:val="fr-FR"/>
        </w:rPr>
        <w:t> </w:t>
      </w:r>
      <w:r w:rsidRPr="00683DA8">
        <w:rPr>
          <w:lang w:val="fr-FR"/>
        </w:rPr>
        <w:t>12252, il n</w:t>
      </w:r>
      <w:r w:rsidR="00435F8D" w:rsidRPr="00683DA8">
        <w:rPr>
          <w:lang w:val="fr-FR"/>
        </w:rPr>
        <w:t>’</w:t>
      </w:r>
      <w:r w:rsidRPr="00683DA8">
        <w:rPr>
          <w:lang w:val="fr-FR"/>
        </w:rPr>
        <w:t>est fait référence qu</w:t>
      </w:r>
      <w:r w:rsidR="00435F8D" w:rsidRPr="00683DA8">
        <w:rPr>
          <w:lang w:val="fr-FR"/>
        </w:rPr>
        <w:t>’</w:t>
      </w:r>
      <w:r w:rsidRPr="00683DA8">
        <w:rPr>
          <w:lang w:val="fr-FR"/>
        </w:rPr>
        <w:t>aux prescriptions du 6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8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3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2, concernant les équipements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 xml:space="preserve"> La seule conclusion pouvant être tirée, à la lecture de ce renvoi au 6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8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3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2, est que les prescriptions du 6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8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2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2 ne sont pas applicables, ce qui est faux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 xml:space="preserve"> Il est proposé de clarifier ce point au 6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8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3 et dans la colonne</w:t>
      </w:r>
      <w:r w:rsidR="004C0EB1" w:rsidRPr="00683DA8">
        <w:rPr>
          <w:lang w:val="fr-FR"/>
        </w:rPr>
        <w:t> </w:t>
      </w:r>
      <w:r w:rsidRPr="00683DA8">
        <w:rPr>
          <w:lang w:val="fr-FR"/>
        </w:rPr>
        <w:t>3 du tableau au 6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8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2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6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1</w:t>
      </w:r>
      <w:r w:rsidR="004C0EB1" w:rsidRPr="00683DA8">
        <w:rPr>
          <w:lang w:val="fr-FR"/>
        </w:rPr>
        <w:t>.</w:t>
      </w:r>
    </w:p>
    <w:p w14:paraId="604146CD" w14:textId="77777777" w:rsidR="003640AC" w:rsidRPr="00683DA8" w:rsidRDefault="003640AC" w:rsidP="00856C81">
      <w:pPr>
        <w:pStyle w:val="HChG"/>
        <w:rPr>
          <w:lang w:val="fr-FR"/>
        </w:rPr>
      </w:pPr>
      <w:r w:rsidRPr="00683DA8">
        <w:rPr>
          <w:lang w:val="fr-FR"/>
        </w:rPr>
        <w:tab/>
      </w:r>
      <w:r w:rsidRPr="00683DA8">
        <w:rPr>
          <w:lang w:val="fr-FR"/>
        </w:rPr>
        <w:tab/>
        <w:t>Proposition 1</w:t>
      </w:r>
    </w:p>
    <w:p w14:paraId="434620AE" w14:textId="457E1FEA" w:rsidR="003640AC" w:rsidRPr="00683DA8" w:rsidRDefault="003640AC" w:rsidP="003640AC">
      <w:pPr>
        <w:pStyle w:val="ParNoG"/>
        <w:rPr>
          <w:lang w:val="fr-FR"/>
        </w:rPr>
      </w:pPr>
      <w:r w:rsidRPr="00683DA8">
        <w:rPr>
          <w:lang w:val="fr-FR"/>
        </w:rPr>
        <w:t>Après le titre du 6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8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3, ajouter le nouveau NOTA, libellé comme suit (les ajouts figurent en caractères soulignés)</w:t>
      </w:r>
      <w:r w:rsidR="00435F8D" w:rsidRPr="00683DA8">
        <w:rPr>
          <w:lang w:val="fr-FR"/>
        </w:rPr>
        <w:t> :</w:t>
      </w:r>
    </w:p>
    <w:p w14:paraId="746096DD" w14:textId="5563C030" w:rsidR="003640AC" w:rsidRPr="00683DA8" w:rsidRDefault="003640AC" w:rsidP="003640AC">
      <w:pPr>
        <w:spacing w:before="120" w:after="120"/>
        <w:ind w:left="1494" w:right="1134"/>
        <w:jc w:val="both"/>
        <w:rPr>
          <w:i/>
          <w:lang w:val="fr-FR"/>
        </w:rPr>
      </w:pPr>
      <w:r w:rsidRPr="00683DA8">
        <w:rPr>
          <w:lang w:val="fr-FR"/>
        </w:rPr>
        <w:t>« </w:t>
      </w:r>
      <w:r w:rsidRPr="00683DA8">
        <w:rPr>
          <w:b/>
          <w:bCs/>
          <w:i/>
          <w:iCs/>
          <w:u w:val="single"/>
          <w:lang w:val="fr-FR"/>
        </w:rPr>
        <w:t>NOTA</w:t>
      </w:r>
      <w:r w:rsidR="00435F8D" w:rsidRPr="00683DA8">
        <w:rPr>
          <w:i/>
          <w:iCs/>
          <w:u w:val="single"/>
          <w:lang w:val="fr-FR"/>
        </w:rPr>
        <w:t> :</w:t>
      </w:r>
      <w:r w:rsidRPr="00683DA8">
        <w:rPr>
          <w:i/>
          <w:iCs/>
          <w:u w:val="single"/>
          <w:lang w:val="fr-FR"/>
        </w:rPr>
        <w:t xml:space="preserve"> Les prescriptions particulières de la section</w:t>
      </w:r>
      <w:r w:rsidR="00BE4EFA">
        <w:rPr>
          <w:i/>
          <w:iCs/>
          <w:u w:val="single"/>
          <w:lang w:val="fr-FR"/>
        </w:rPr>
        <w:t> </w:t>
      </w:r>
      <w:r w:rsidRPr="00683DA8">
        <w:rPr>
          <w:i/>
          <w:iCs/>
          <w:u w:val="single"/>
          <w:lang w:val="fr-FR"/>
        </w:rPr>
        <w:t>6</w:t>
      </w:r>
      <w:r w:rsidR="004C0EB1" w:rsidRPr="00683DA8">
        <w:rPr>
          <w:i/>
          <w:iCs/>
          <w:u w:val="single"/>
          <w:lang w:val="fr-FR"/>
        </w:rPr>
        <w:t>.</w:t>
      </w:r>
      <w:r w:rsidRPr="00683DA8">
        <w:rPr>
          <w:i/>
          <w:iCs/>
          <w:u w:val="single"/>
          <w:lang w:val="fr-FR"/>
        </w:rPr>
        <w:t>8</w:t>
      </w:r>
      <w:r w:rsidR="004C0EB1" w:rsidRPr="00683DA8">
        <w:rPr>
          <w:i/>
          <w:iCs/>
          <w:u w:val="single"/>
          <w:lang w:val="fr-FR"/>
        </w:rPr>
        <w:t>.</w:t>
      </w:r>
      <w:r w:rsidRPr="00683DA8">
        <w:rPr>
          <w:i/>
          <w:iCs/>
          <w:u w:val="single"/>
          <w:lang w:val="fr-FR"/>
        </w:rPr>
        <w:t>3 complètent ou modifient les prescriptions de la section 6</w:t>
      </w:r>
      <w:r w:rsidR="004C0EB1" w:rsidRPr="00683DA8">
        <w:rPr>
          <w:i/>
          <w:iCs/>
          <w:u w:val="single"/>
          <w:lang w:val="fr-FR"/>
        </w:rPr>
        <w:t>.</w:t>
      </w:r>
      <w:r w:rsidRPr="00683DA8">
        <w:rPr>
          <w:i/>
          <w:iCs/>
          <w:u w:val="single"/>
          <w:lang w:val="fr-FR"/>
        </w:rPr>
        <w:t>8</w:t>
      </w:r>
      <w:r w:rsidR="004C0EB1" w:rsidRPr="00683DA8">
        <w:rPr>
          <w:i/>
          <w:iCs/>
          <w:u w:val="single"/>
          <w:lang w:val="fr-FR"/>
        </w:rPr>
        <w:t>.</w:t>
      </w:r>
      <w:r w:rsidRPr="00683DA8">
        <w:rPr>
          <w:i/>
          <w:iCs/>
          <w:u w:val="single"/>
          <w:lang w:val="fr-FR"/>
        </w:rPr>
        <w:t>2</w:t>
      </w:r>
      <w:r w:rsidR="004C0EB1" w:rsidRPr="00683DA8">
        <w:rPr>
          <w:i/>
          <w:iCs/>
          <w:u w:val="single"/>
          <w:lang w:val="fr-FR"/>
        </w:rPr>
        <w:t>.</w:t>
      </w:r>
      <w:r w:rsidRPr="00683DA8">
        <w:rPr>
          <w:lang w:val="fr-FR"/>
        </w:rPr>
        <w:t> »</w:t>
      </w:r>
      <w:r w:rsidR="004C0EB1" w:rsidRPr="00683DA8">
        <w:rPr>
          <w:lang w:val="fr-FR"/>
        </w:rPr>
        <w:t>.</w:t>
      </w:r>
    </w:p>
    <w:p w14:paraId="38888C74" w14:textId="77777777" w:rsidR="003640AC" w:rsidRPr="00683DA8" w:rsidRDefault="003640AC" w:rsidP="005B726F">
      <w:pPr>
        <w:pStyle w:val="HChG"/>
        <w:rPr>
          <w:lang w:val="fr-FR"/>
        </w:rPr>
      </w:pPr>
      <w:r w:rsidRPr="00683DA8">
        <w:rPr>
          <w:lang w:val="fr-FR"/>
        </w:rPr>
        <w:tab/>
      </w:r>
      <w:r w:rsidRPr="00683DA8">
        <w:rPr>
          <w:lang w:val="fr-FR"/>
        </w:rPr>
        <w:tab/>
      </w:r>
      <w:r w:rsidRPr="00683DA8">
        <w:rPr>
          <w:bCs/>
          <w:lang w:val="fr-FR"/>
        </w:rPr>
        <w:t>Proposition 2</w:t>
      </w:r>
    </w:p>
    <w:p w14:paraId="698114D5" w14:textId="01DCBE66" w:rsidR="003640AC" w:rsidRPr="00683DA8" w:rsidRDefault="003640AC" w:rsidP="005B726F">
      <w:pPr>
        <w:pStyle w:val="ParNoG"/>
        <w:keepNext/>
        <w:keepLines/>
        <w:rPr>
          <w:lang w:val="fr-FR"/>
        </w:rPr>
      </w:pPr>
      <w:r w:rsidRPr="00683DA8">
        <w:rPr>
          <w:lang w:val="fr-FR"/>
        </w:rPr>
        <w:t>Au 6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8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2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6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1 de l</w:t>
      </w:r>
      <w:r w:rsidR="00435F8D" w:rsidRPr="00683DA8">
        <w:rPr>
          <w:lang w:val="fr-FR"/>
        </w:rPr>
        <w:t>’</w:t>
      </w:r>
      <w:r w:rsidRPr="00683DA8">
        <w:rPr>
          <w:lang w:val="fr-FR"/>
        </w:rPr>
        <w:t>ADR, modifier les renvois dans la colonne</w:t>
      </w:r>
      <w:r w:rsidR="004C0EB1" w:rsidRPr="00683DA8">
        <w:rPr>
          <w:lang w:val="fr-FR"/>
        </w:rPr>
        <w:t> </w:t>
      </w:r>
      <w:r w:rsidRPr="00683DA8">
        <w:rPr>
          <w:lang w:val="fr-FR"/>
        </w:rPr>
        <w:t>3 du tableau comme suit (les ajouts figurent en caractères gras et soulignés)</w:t>
      </w:r>
      <w:r w:rsidR="00435F8D" w:rsidRPr="00683DA8">
        <w:rPr>
          <w:lang w:val="fr-FR"/>
        </w:rPr>
        <w:t> :</w:t>
      </w:r>
    </w:p>
    <w:p w14:paraId="18090F4A" w14:textId="06D36A6D" w:rsidR="003640AC" w:rsidRPr="00683DA8" w:rsidRDefault="003640AC" w:rsidP="005B726F">
      <w:pPr>
        <w:keepLines/>
        <w:numPr>
          <w:ilvl w:val="0"/>
          <w:numId w:val="18"/>
        </w:numPr>
        <w:kinsoku/>
        <w:overflowPunct/>
        <w:autoSpaceDE/>
        <w:autoSpaceDN/>
        <w:adjustRightInd/>
        <w:snapToGrid/>
        <w:spacing w:after="120"/>
        <w:ind w:left="1134" w:right="1134" w:firstLine="567"/>
        <w:jc w:val="both"/>
        <w:rPr>
          <w:lang w:val="fr-FR"/>
        </w:rPr>
      </w:pPr>
      <w:r w:rsidRPr="00683DA8">
        <w:rPr>
          <w:lang w:val="fr-FR"/>
        </w:rPr>
        <w:t>Pour la norme EN 12252</w:t>
      </w:r>
      <w:r w:rsidR="00435F8D" w:rsidRPr="00683DA8">
        <w:rPr>
          <w:lang w:val="fr-FR"/>
        </w:rPr>
        <w:t>:</w:t>
      </w:r>
      <w:r w:rsidRPr="00683DA8">
        <w:rPr>
          <w:lang w:val="fr-FR"/>
        </w:rPr>
        <w:t>2000, lire « </w:t>
      </w:r>
      <w:r w:rsidRPr="00683DA8">
        <w:rPr>
          <w:b/>
          <w:bCs/>
          <w:u w:val="single"/>
          <w:lang w:val="fr-FR"/>
        </w:rPr>
        <w:t>6</w:t>
      </w:r>
      <w:r w:rsidR="004C0EB1" w:rsidRPr="00683DA8">
        <w:rPr>
          <w:b/>
          <w:bCs/>
          <w:u w:val="single"/>
          <w:lang w:val="fr-FR"/>
        </w:rPr>
        <w:t>.</w:t>
      </w:r>
      <w:r w:rsidRPr="00683DA8">
        <w:rPr>
          <w:b/>
          <w:bCs/>
          <w:u w:val="single"/>
          <w:lang w:val="fr-FR"/>
        </w:rPr>
        <w:t>8</w:t>
      </w:r>
      <w:r w:rsidR="004C0EB1" w:rsidRPr="00683DA8">
        <w:rPr>
          <w:b/>
          <w:bCs/>
          <w:u w:val="single"/>
          <w:lang w:val="fr-FR"/>
        </w:rPr>
        <w:t>.</w:t>
      </w:r>
      <w:r w:rsidRPr="00683DA8">
        <w:rPr>
          <w:b/>
          <w:bCs/>
          <w:u w:val="single"/>
          <w:lang w:val="fr-FR"/>
        </w:rPr>
        <w:t>2</w:t>
      </w:r>
      <w:r w:rsidR="004C0EB1" w:rsidRPr="00683DA8">
        <w:rPr>
          <w:b/>
          <w:bCs/>
          <w:u w:val="single"/>
          <w:lang w:val="fr-FR"/>
        </w:rPr>
        <w:t>.</w:t>
      </w:r>
      <w:r w:rsidRPr="00683DA8">
        <w:rPr>
          <w:b/>
          <w:bCs/>
          <w:u w:val="single"/>
          <w:lang w:val="fr-FR"/>
        </w:rPr>
        <w:t>2 et</w:t>
      </w:r>
      <w:r w:rsidRPr="00683DA8">
        <w:rPr>
          <w:b/>
          <w:bCs/>
          <w:lang w:val="fr-FR"/>
        </w:rPr>
        <w:t xml:space="preserve"> </w:t>
      </w:r>
      <w:r w:rsidRPr="00683DA8">
        <w:rPr>
          <w:lang w:val="fr-FR"/>
        </w:rPr>
        <w:t>6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8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3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2 (sauf 6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8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3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2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3) »</w:t>
      </w:r>
      <w:r w:rsidR="00435F8D" w:rsidRPr="00683DA8">
        <w:rPr>
          <w:lang w:val="fr-FR"/>
        </w:rPr>
        <w:t> ;</w:t>
      </w:r>
    </w:p>
    <w:p w14:paraId="2E9C508B" w14:textId="45157AEF" w:rsidR="003640AC" w:rsidRPr="00683DA8" w:rsidRDefault="003640AC" w:rsidP="00977F5E">
      <w:pPr>
        <w:numPr>
          <w:ilvl w:val="0"/>
          <w:numId w:val="18"/>
        </w:numPr>
        <w:kinsoku/>
        <w:overflowPunct/>
        <w:autoSpaceDE/>
        <w:autoSpaceDN/>
        <w:adjustRightInd/>
        <w:snapToGrid/>
        <w:spacing w:after="120"/>
        <w:ind w:left="2268" w:right="1134" w:hanging="567"/>
        <w:jc w:val="both"/>
        <w:rPr>
          <w:lang w:val="fr-FR"/>
        </w:rPr>
      </w:pPr>
      <w:r w:rsidRPr="00683DA8">
        <w:rPr>
          <w:lang w:val="fr-FR"/>
        </w:rPr>
        <w:lastRenderedPageBreak/>
        <w:t>Pour la norme EN 12252</w:t>
      </w:r>
      <w:r w:rsidR="00435F8D" w:rsidRPr="00683DA8">
        <w:rPr>
          <w:lang w:val="fr-FR"/>
        </w:rPr>
        <w:t>:</w:t>
      </w:r>
      <w:r w:rsidRPr="00683DA8">
        <w:rPr>
          <w:lang w:val="fr-FR"/>
        </w:rPr>
        <w:t>2005 + A1</w:t>
      </w:r>
      <w:r w:rsidR="00435F8D" w:rsidRPr="00683DA8">
        <w:rPr>
          <w:lang w:val="fr-FR"/>
        </w:rPr>
        <w:t>:</w:t>
      </w:r>
      <w:r w:rsidRPr="00683DA8">
        <w:rPr>
          <w:lang w:val="fr-FR"/>
        </w:rPr>
        <w:t>2008, lire « </w:t>
      </w:r>
      <w:r w:rsidRPr="00683DA8">
        <w:rPr>
          <w:b/>
          <w:bCs/>
          <w:u w:val="single"/>
          <w:lang w:val="fr-FR"/>
        </w:rPr>
        <w:t>6</w:t>
      </w:r>
      <w:r w:rsidR="004C0EB1" w:rsidRPr="00683DA8">
        <w:rPr>
          <w:b/>
          <w:bCs/>
          <w:u w:val="single"/>
          <w:lang w:val="fr-FR"/>
        </w:rPr>
        <w:t>.</w:t>
      </w:r>
      <w:r w:rsidRPr="00683DA8">
        <w:rPr>
          <w:b/>
          <w:bCs/>
          <w:u w:val="single"/>
          <w:lang w:val="fr-FR"/>
        </w:rPr>
        <w:t>8</w:t>
      </w:r>
      <w:r w:rsidR="004C0EB1" w:rsidRPr="00683DA8">
        <w:rPr>
          <w:b/>
          <w:bCs/>
          <w:u w:val="single"/>
          <w:lang w:val="fr-FR"/>
        </w:rPr>
        <w:t>.</w:t>
      </w:r>
      <w:r w:rsidRPr="00683DA8">
        <w:rPr>
          <w:b/>
          <w:bCs/>
          <w:u w:val="single"/>
          <w:lang w:val="fr-FR"/>
        </w:rPr>
        <w:t>2</w:t>
      </w:r>
      <w:r w:rsidR="004C0EB1" w:rsidRPr="00683DA8">
        <w:rPr>
          <w:b/>
          <w:bCs/>
          <w:u w:val="single"/>
          <w:lang w:val="fr-FR"/>
        </w:rPr>
        <w:t>.</w:t>
      </w:r>
      <w:r w:rsidRPr="00683DA8">
        <w:rPr>
          <w:b/>
          <w:bCs/>
          <w:u w:val="single"/>
          <w:lang w:val="fr-FR"/>
        </w:rPr>
        <w:t>2,</w:t>
      </w:r>
      <w:r w:rsidRPr="00683DA8">
        <w:rPr>
          <w:lang w:val="fr-FR"/>
        </w:rPr>
        <w:t xml:space="preserve"> 6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8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3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2 (sauf</w:t>
      </w:r>
      <w:r w:rsidR="004649EF" w:rsidRPr="00683DA8">
        <w:rPr>
          <w:lang w:val="fr-FR"/>
        </w:rPr>
        <w:t> </w:t>
      </w:r>
      <w:r w:rsidRPr="00683DA8">
        <w:rPr>
          <w:lang w:val="fr-FR"/>
        </w:rPr>
        <w:t>6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8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3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2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3) et 6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8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3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4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9 »</w:t>
      </w:r>
      <w:r w:rsidR="00435F8D" w:rsidRPr="00683DA8">
        <w:rPr>
          <w:lang w:val="fr-FR"/>
        </w:rPr>
        <w:t> ;</w:t>
      </w:r>
    </w:p>
    <w:p w14:paraId="3DCAA2FD" w14:textId="7B178C28" w:rsidR="003640AC" w:rsidRPr="00683DA8" w:rsidRDefault="003640AC" w:rsidP="00977F5E">
      <w:pPr>
        <w:numPr>
          <w:ilvl w:val="0"/>
          <w:numId w:val="18"/>
        </w:numPr>
        <w:kinsoku/>
        <w:overflowPunct/>
        <w:autoSpaceDE/>
        <w:autoSpaceDN/>
        <w:adjustRightInd/>
        <w:snapToGrid/>
        <w:spacing w:after="120"/>
        <w:ind w:left="1134" w:right="1134" w:firstLine="567"/>
        <w:jc w:val="both"/>
        <w:rPr>
          <w:lang w:val="fr-FR"/>
        </w:rPr>
      </w:pPr>
      <w:r w:rsidRPr="00683DA8">
        <w:rPr>
          <w:lang w:val="fr-FR"/>
        </w:rPr>
        <w:t xml:space="preserve">Pour la </w:t>
      </w:r>
      <w:r w:rsidRPr="00683DA8">
        <w:rPr>
          <w:szCs w:val="22"/>
          <w:lang w:val="fr-FR"/>
        </w:rPr>
        <w:t>norme</w:t>
      </w:r>
      <w:r w:rsidRPr="00683DA8">
        <w:rPr>
          <w:lang w:val="fr-FR"/>
        </w:rPr>
        <w:t xml:space="preserve"> EN 12252</w:t>
      </w:r>
      <w:r w:rsidR="00435F8D" w:rsidRPr="00683DA8">
        <w:rPr>
          <w:lang w:val="fr-FR"/>
        </w:rPr>
        <w:t>:</w:t>
      </w:r>
      <w:r w:rsidRPr="00683DA8">
        <w:rPr>
          <w:lang w:val="fr-FR"/>
        </w:rPr>
        <w:t>2014, lire « </w:t>
      </w:r>
      <w:r w:rsidRPr="00683DA8">
        <w:rPr>
          <w:b/>
          <w:bCs/>
          <w:u w:val="single"/>
          <w:lang w:val="fr-FR"/>
        </w:rPr>
        <w:t>6</w:t>
      </w:r>
      <w:r w:rsidR="004C0EB1" w:rsidRPr="00683DA8">
        <w:rPr>
          <w:b/>
          <w:bCs/>
          <w:u w:val="single"/>
          <w:lang w:val="fr-FR"/>
        </w:rPr>
        <w:t>.</w:t>
      </w:r>
      <w:r w:rsidRPr="00683DA8">
        <w:rPr>
          <w:b/>
          <w:bCs/>
          <w:u w:val="single"/>
          <w:lang w:val="fr-FR"/>
        </w:rPr>
        <w:t>8</w:t>
      </w:r>
      <w:r w:rsidR="004C0EB1" w:rsidRPr="00683DA8">
        <w:rPr>
          <w:b/>
          <w:bCs/>
          <w:u w:val="single"/>
          <w:lang w:val="fr-FR"/>
        </w:rPr>
        <w:t>.</w:t>
      </w:r>
      <w:r w:rsidRPr="00683DA8">
        <w:rPr>
          <w:b/>
          <w:bCs/>
          <w:u w:val="single"/>
          <w:lang w:val="fr-FR"/>
        </w:rPr>
        <w:t>2</w:t>
      </w:r>
      <w:r w:rsidR="004C0EB1" w:rsidRPr="00683DA8">
        <w:rPr>
          <w:b/>
          <w:bCs/>
          <w:u w:val="single"/>
          <w:lang w:val="fr-FR"/>
        </w:rPr>
        <w:t>.</w:t>
      </w:r>
      <w:r w:rsidRPr="00683DA8">
        <w:rPr>
          <w:b/>
          <w:bCs/>
          <w:u w:val="single"/>
          <w:lang w:val="fr-FR"/>
        </w:rPr>
        <w:t>2</w:t>
      </w:r>
      <w:r w:rsidRPr="00683DA8">
        <w:rPr>
          <w:u w:val="single"/>
          <w:lang w:val="fr-FR"/>
        </w:rPr>
        <w:t>,</w:t>
      </w:r>
      <w:r w:rsidRPr="00683DA8">
        <w:rPr>
          <w:lang w:val="fr-FR"/>
        </w:rPr>
        <w:t xml:space="preserve"> 6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8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3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2 et 6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8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3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4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9 »</w:t>
      </w:r>
      <w:r w:rsidR="004C0EB1" w:rsidRPr="00683DA8">
        <w:rPr>
          <w:lang w:val="fr-FR"/>
        </w:rPr>
        <w:t>.</w:t>
      </w:r>
    </w:p>
    <w:p w14:paraId="21DB8A1F" w14:textId="77777777" w:rsidR="003640AC" w:rsidRPr="00683DA8" w:rsidRDefault="003640AC" w:rsidP="003640AC">
      <w:pPr>
        <w:pStyle w:val="HChG"/>
        <w:rPr>
          <w:lang w:val="fr-FR"/>
        </w:rPr>
      </w:pPr>
      <w:r w:rsidRPr="00683DA8">
        <w:rPr>
          <w:lang w:val="fr-FR"/>
        </w:rPr>
        <w:tab/>
      </w:r>
      <w:r w:rsidRPr="00683DA8">
        <w:rPr>
          <w:lang w:val="fr-FR"/>
        </w:rPr>
        <w:tab/>
        <w:t>Justification</w:t>
      </w:r>
    </w:p>
    <w:p w14:paraId="7E4E824D" w14:textId="259533D3" w:rsidR="003640AC" w:rsidRPr="00683DA8" w:rsidRDefault="003640AC" w:rsidP="003640AC">
      <w:pPr>
        <w:pStyle w:val="ParNoG"/>
        <w:rPr>
          <w:lang w:val="fr-FR"/>
        </w:rPr>
      </w:pPr>
      <w:r w:rsidRPr="00683DA8">
        <w:rPr>
          <w:lang w:val="fr-FR"/>
        </w:rPr>
        <w:t>Malgré l</w:t>
      </w:r>
      <w:r w:rsidR="00435F8D" w:rsidRPr="00683DA8">
        <w:rPr>
          <w:lang w:val="fr-FR"/>
        </w:rPr>
        <w:t>’</w:t>
      </w:r>
      <w:r w:rsidRPr="00683DA8">
        <w:rPr>
          <w:lang w:val="fr-FR"/>
        </w:rPr>
        <w:t>explication donnée dans la dernière phrase du 6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8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1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3, les renvois figurant dans le tableau du 6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8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2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6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1 ne sont pas clairs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 xml:space="preserve"> L</w:t>
      </w:r>
      <w:r w:rsidR="00435F8D" w:rsidRPr="00683DA8">
        <w:rPr>
          <w:lang w:val="fr-FR"/>
        </w:rPr>
        <w:t>’</w:t>
      </w:r>
      <w:r w:rsidRPr="00683DA8">
        <w:rPr>
          <w:lang w:val="fr-FR"/>
        </w:rPr>
        <w:t>ajout du NOTA proposé ci-dessus faciliterait vraisemblablement la compréhension du chapitre</w:t>
      </w:r>
      <w:r w:rsidR="00447C96">
        <w:rPr>
          <w:lang w:val="fr-FR"/>
        </w:rPr>
        <w:t> </w:t>
      </w:r>
      <w:r w:rsidRPr="00683DA8">
        <w:rPr>
          <w:lang w:val="fr-FR"/>
        </w:rPr>
        <w:t>6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8</w:t>
      </w:r>
      <w:r w:rsidR="004C0EB1" w:rsidRPr="00683DA8">
        <w:rPr>
          <w:lang w:val="fr-FR"/>
        </w:rPr>
        <w:t>.</w:t>
      </w:r>
    </w:p>
    <w:p w14:paraId="66F8323F" w14:textId="47464AB7" w:rsidR="00F9573C" w:rsidRPr="00683DA8" w:rsidRDefault="003640AC" w:rsidP="003640AC">
      <w:pPr>
        <w:pStyle w:val="ParNoG"/>
        <w:rPr>
          <w:lang w:val="fr-FR"/>
        </w:rPr>
      </w:pPr>
      <w:r w:rsidRPr="00683DA8">
        <w:rPr>
          <w:lang w:val="fr-FR"/>
        </w:rPr>
        <w:t>Le présent document a pour objet d</w:t>
      </w:r>
      <w:r w:rsidR="00435F8D" w:rsidRPr="00683DA8">
        <w:rPr>
          <w:lang w:val="fr-FR"/>
        </w:rPr>
        <w:t>’</w:t>
      </w:r>
      <w:r w:rsidRPr="00683DA8">
        <w:rPr>
          <w:lang w:val="fr-FR"/>
        </w:rPr>
        <w:t>indiquer plus clairement que les prescriptions du 6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8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2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2 s</w:t>
      </w:r>
      <w:r w:rsidR="00435F8D" w:rsidRPr="00683DA8">
        <w:rPr>
          <w:lang w:val="fr-FR"/>
        </w:rPr>
        <w:t>’</w:t>
      </w:r>
      <w:r w:rsidRPr="00683DA8">
        <w:rPr>
          <w:lang w:val="fr-FR"/>
        </w:rPr>
        <w:t>appliquent en plus des prescriptions du 6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8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3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>2 du Règlement concernant le transport international ferroviaire des marchandises dangereuses (RID) et de l</w:t>
      </w:r>
      <w:r w:rsidR="00435F8D" w:rsidRPr="00683DA8">
        <w:rPr>
          <w:lang w:val="fr-FR"/>
        </w:rPr>
        <w:t>’</w:t>
      </w:r>
      <w:r w:rsidRPr="00683DA8">
        <w:rPr>
          <w:lang w:val="fr-FR"/>
        </w:rPr>
        <w:t>ADR</w:t>
      </w:r>
      <w:r w:rsidR="004C0EB1" w:rsidRPr="00683DA8">
        <w:rPr>
          <w:lang w:val="fr-FR"/>
        </w:rPr>
        <w:t>.</w:t>
      </w:r>
      <w:r w:rsidRPr="00683DA8">
        <w:rPr>
          <w:lang w:val="fr-FR"/>
        </w:rPr>
        <w:t xml:space="preserve"> Le fait d</w:t>
      </w:r>
      <w:r w:rsidR="00435F8D" w:rsidRPr="00683DA8">
        <w:rPr>
          <w:lang w:val="fr-FR"/>
        </w:rPr>
        <w:t>’</w:t>
      </w:r>
      <w:r w:rsidRPr="00683DA8">
        <w:rPr>
          <w:lang w:val="fr-FR"/>
        </w:rPr>
        <w:t>adopter une approche plus systématique et plus logique dans le RID et l</w:t>
      </w:r>
      <w:r w:rsidR="00435F8D" w:rsidRPr="00683DA8">
        <w:rPr>
          <w:lang w:val="fr-FR"/>
        </w:rPr>
        <w:t>’</w:t>
      </w:r>
      <w:r w:rsidRPr="00683DA8">
        <w:rPr>
          <w:lang w:val="fr-FR"/>
        </w:rPr>
        <w:t>ADR permet de clarifier le cadre juridique et d</w:t>
      </w:r>
      <w:r w:rsidR="00435F8D" w:rsidRPr="00683DA8">
        <w:rPr>
          <w:lang w:val="fr-FR"/>
        </w:rPr>
        <w:t>’</w:t>
      </w:r>
      <w:r w:rsidRPr="00683DA8">
        <w:rPr>
          <w:lang w:val="fr-FR"/>
        </w:rPr>
        <w:t>éviter que des critères différents soient appliqués selon les Parties contractantes ou les États parties et les services de contrôle, ce qui est conforme à l</w:t>
      </w:r>
      <w:r w:rsidR="00435F8D" w:rsidRPr="00683DA8">
        <w:rPr>
          <w:lang w:val="fr-FR"/>
        </w:rPr>
        <w:t>’</w:t>
      </w:r>
      <w:r w:rsidRPr="00683DA8">
        <w:rPr>
          <w:lang w:val="fr-FR"/>
        </w:rPr>
        <w:t xml:space="preserve">objectif de développement durable </w:t>
      </w:r>
      <w:r w:rsidR="00435F8D" w:rsidRPr="00683DA8">
        <w:rPr>
          <w:lang w:val="fr-FR"/>
        </w:rPr>
        <w:t>n</w:t>
      </w:r>
      <w:r w:rsidR="00435F8D" w:rsidRPr="00683DA8">
        <w:rPr>
          <w:vertAlign w:val="superscript"/>
          <w:lang w:val="fr-FR"/>
        </w:rPr>
        <w:t>o</w:t>
      </w:r>
      <w:r w:rsidR="004C0EB1" w:rsidRPr="00683DA8">
        <w:rPr>
          <w:lang w:val="fr-FR"/>
        </w:rPr>
        <w:t> </w:t>
      </w:r>
      <w:r w:rsidRPr="00683DA8">
        <w:rPr>
          <w:lang w:val="fr-FR"/>
        </w:rPr>
        <w:t>16 (Paix, justice et institutions efficaces)</w:t>
      </w:r>
      <w:r w:rsidR="004C0EB1" w:rsidRPr="00683DA8">
        <w:rPr>
          <w:lang w:val="fr-FR"/>
        </w:rPr>
        <w:t>.</w:t>
      </w:r>
    </w:p>
    <w:p w14:paraId="360E7EE6" w14:textId="29293ED0" w:rsidR="003640AC" w:rsidRPr="00683DA8" w:rsidRDefault="003640AC" w:rsidP="003640AC">
      <w:pPr>
        <w:pStyle w:val="SingleTxtG"/>
        <w:spacing w:before="240" w:after="0"/>
        <w:jc w:val="center"/>
        <w:rPr>
          <w:u w:val="single"/>
          <w:lang w:val="fr-FR"/>
        </w:rPr>
      </w:pPr>
      <w:r w:rsidRPr="00683DA8">
        <w:rPr>
          <w:u w:val="single"/>
          <w:lang w:val="fr-FR"/>
        </w:rPr>
        <w:tab/>
      </w:r>
      <w:r w:rsidRPr="00683DA8">
        <w:rPr>
          <w:u w:val="single"/>
          <w:lang w:val="fr-FR"/>
        </w:rPr>
        <w:tab/>
      </w:r>
      <w:r w:rsidRPr="00683DA8">
        <w:rPr>
          <w:u w:val="single"/>
          <w:lang w:val="fr-FR"/>
        </w:rPr>
        <w:tab/>
      </w:r>
      <w:r w:rsidRPr="00683DA8">
        <w:rPr>
          <w:u w:val="single"/>
          <w:lang w:val="fr-FR"/>
        </w:rPr>
        <w:tab/>
      </w:r>
    </w:p>
    <w:sectPr w:rsidR="003640AC" w:rsidRPr="00683DA8" w:rsidSect="003640A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1F477" w14:textId="77777777" w:rsidR="009839EC" w:rsidRDefault="009839EC" w:rsidP="00F95C08">
      <w:pPr>
        <w:spacing w:line="240" w:lineRule="auto"/>
      </w:pPr>
    </w:p>
  </w:endnote>
  <w:endnote w:type="continuationSeparator" w:id="0">
    <w:p w14:paraId="6274576C" w14:textId="77777777" w:rsidR="009839EC" w:rsidRPr="00AC3823" w:rsidRDefault="009839EC" w:rsidP="00AC3823">
      <w:pPr>
        <w:pStyle w:val="Footer"/>
      </w:pPr>
    </w:p>
  </w:endnote>
  <w:endnote w:type="continuationNotice" w:id="1">
    <w:p w14:paraId="60A48621" w14:textId="77777777" w:rsidR="009839EC" w:rsidRDefault="009839E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167A3" w14:textId="4E0E4E9D" w:rsidR="003640AC" w:rsidRPr="003640AC" w:rsidRDefault="003640AC" w:rsidP="003640AC">
    <w:pPr>
      <w:pStyle w:val="Footer"/>
      <w:tabs>
        <w:tab w:val="right" w:pos="9638"/>
      </w:tabs>
    </w:pPr>
    <w:r w:rsidRPr="003640AC">
      <w:rPr>
        <w:b/>
        <w:sz w:val="18"/>
      </w:rPr>
      <w:fldChar w:fldCharType="begin"/>
    </w:r>
    <w:r w:rsidRPr="003640AC">
      <w:rPr>
        <w:b/>
        <w:sz w:val="18"/>
      </w:rPr>
      <w:instrText xml:space="preserve"> PAGE  \* MERGEFORMAT </w:instrText>
    </w:r>
    <w:r w:rsidRPr="003640AC">
      <w:rPr>
        <w:b/>
        <w:sz w:val="18"/>
      </w:rPr>
      <w:fldChar w:fldCharType="separate"/>
    </w:r>
    <w:r w:rsidRPr="003640AC">
      <w:rPr>
        <w:b/>
        <w:noProof/>
        <w:sz w:val="18"/>
      </w:rPr>
      <w:t>2</w:t>
    </w:r>
    <w:r w:rsidRPr="003640AC">
      <w:rPr>
        <w:b/>
        <w:sz w:val="18"/>
      </w:rPr>
      <w:fldChar w:fldCharType="end"/>
    </w:r>
    <w:r>
      <w:rPr>
        <w:b/>
        <w:sz w:val="18"/>
      </w:rPr>
      <w:tab/>
    </w:r>
    <w:r>
      <w:t>GE.23-12520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49BD" w14:textId="50EFA30A" w:rsidR="003640AC" w:rsidRPr="003640AC" w:rsidRDefault="003640AC" w:rsidP="003640AC">
    <w:pPr>
      <w:pStyle w:val="Footer"/>
      <w:tabs>
        <w:tab w:val="right" w:pos="9638"/>
      </w:tabs>
      <w:rPr>
        <w:b/>
        <w:sz w:val="18"/>
      </w:rPr>
    </w:pPr>
    <w:r>
      <w:t>GE.23-12520</w:t>
    </w:r>
    <w:r>
      <w:tab/>
    </w:r>
    <w:r w:rsidRPr="003640AC">
      <w:rPr>
        <w:b/>
        <w:sz w:val="18"/>
      </w:rPr>
      <w:fldChar w:fldCharType="begin"/>
    </w:r>
    <w:r w:rsidRPr="003640AC">
      <w:rPr>
        <w:b/>
        <w:sz w:val="18"/>
      </w:rPr>
      <w:instrText xml:space="preserve"> PAGE  \* MERGEFORMAT </w:instrText>
    </w:r>
    <w:r w:rsidRPr="003640AC">
      <w:rPr>
        <w:b/>
        <w:sz w:val="18"/>
      </w:rPr>
      <w:fldChar w:fldCharType="separate"/>
    </w:r>
    <w:r w:rsidRPr="003640AC">
      <w:rPr>
        <w:b/>
        <w:noProof/>
        <w:sz w:val="18"/>
      </w:rPr>
      <w:t>3</w:t>
    </w:r>
    <w:r w:rsidRPr="003640A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17E4B" w14:textId="70525C72" w:rsidR="007F20FA" w:rsidRPr="003640AC" w:rsidRDefault="003640AC" w:rsidP="003640AC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C9D5B4C" wp14:editId="029AAF36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23-12520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EFD1B17" wp14:editId="0F1907F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0746799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210723    240723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498D6" w14:textId="77777777" w:rsidR="009839EC" w:rsidRPr="00AC3823" w:rsidRDefault="009839E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1766158" w14:textId="77777777" w:rsidR="009839EC" w:rsidRPr="00AC3823" w:rsidRDefault="009839E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D3B3137" w14:textId="77777777" w:rsidR="009839EC" w:rsidRPr="00AC3823" w:rsidRDefault="009839EC">
      <w:pPr>
        <w:spacing w:line="240" w:lineRule="auto"/>
        <w:rPr>
          <w:sz w:val="2"/>
          <w:szCs w:val="2"/>
        </w:rPr>
      </w:pPr>
    </w:p>
  </w:footnote>
  <w:footnote w:id="2">
    <w:p w14:paraId="37DB3B4D" w14:textId="67F2C8EE" w:rsidR="003640AC" w:rsidRPr="006827FE" w:rsidRDefault="003640AC" w:rsidP="00646BF5">
      <w:pPr>
        <w:pStyle w:val="FootnoteText"/>
        <w:rPr>
          <w:lang w:val="fr-FR"/>
        </w:rPr>
      </w:pPr>
      <w:r>
        <w:rPr>
          <w:lang w:val="fr-FR"/>
        </w:rPr>
        <w:tab/>
      </w:r>
      <w:r w:rsidRPr="00BE4EFA">
        <w:rPr>
          <w:sz w:val="20"/>
          <w:lang w:val="fr-FR"/>
        </w:rPr>
        <w:t>*</w:t>
      </w:r>
      <w:r>
        <w:rPr>
          <w:lang w:val="fr-FR"/>
        </w:rPr>
        <w:tab/>
      </w:r>
      <w:r w:rsidRPr="004649EF">
        <w:rPr>
          <w:lang w:val="fr-FR"/>
        </w:rPr>
        <w:t>A/7</w:t>
      </w:r>
      <w:r w:rsidRPr="004649EF">
        <w:rPr>
          <w:lang w:val="fr-FR"/>
        </w:rPr>
        <w:t>7</w:t>
      </w:r>
      <w:r w:rsidRPr="004649EF">
        <w:rPr>
          <w:lang w:val="fr-FR"/>
        </w:rPr>
        <w:t>/6</w:t>
      </w:r>
      <w:r>
        <w:rPr>
          <w:lang w:val="fr-FR"/>
        </w:rPr>
        <w:t xml:space="preserve"> (Sect. 20), par. 20.76.</w:t>
      </w:r>
    </w:p>
  </w:footnote>
  <w:footnote w:id="3">
    <w:p w14:paraId="707ECDA4" w14:textId="38EB00B6" w:rsidR="003640AC" w:rsidRPr="006827FE" w:rsidRDefault="003640AC" w:rsidP="00646BF5">
      <w:pPr>
        <w:pStyle w:val="FootnoteText"/>
        <w:rPr>
          <w:lang w:val="fr-FR"/>
        </w:rPr>
      </w:pPr>
      <w:r>
        <w:rPr>
          <w:lang w:val="fr-FR"/>
        </w:rPr>
        <w:tab/>
      </w:r>
      <w:r w:rsidRPr="00BE4EFA">
        <w:rPr>
          <w:sz w:val="20"/>
          <w:lang w:val="fr-FR"/>
        </w:rPr>
        <w:t>**</w:t>
      </w:r>
      <w:r>
        <w:rPr>
          <w:lang w:val="fr-FR"/>
        </w:rPr>
        <w:tab/>
        <w:t>Diffusée par l</w:t>
      </w:r>
      <w:r w:rsidR="00435F8D">
        <w:rPr>
          <w:lang w:val="fr-FR"/>
        </w:rPr>
        <w:t>’</w:t>
      </w:r>
      <w:r>
        <w:rPr>
          <w:lang w:val="fr-FR"/>
        </w:rPr>
        <w:t>Organisation intergouvernementale pour les transports internationaux ferroviaires (OTIF) sous la cote OTIF/RID/RC/2023/29.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7051" w14:textId="614C946D" w:rsidR="003640AC" w:rsidRPr="003640AC" w:rsidRDefault="0093247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ECE/TRANS/WP.15/AC.1/2023/29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C2302" w14:textId="24B9B9FD" w:rsidR="003640AC" w:rsidRPr="003640AC" w:rsidRDefault="00932474" w:rsidP="003640A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ECE/TRANS/WP.15/AC.1/2023/29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B12D05"/>
    <w:multiLevelType w:val="hybridMultilevel"/>
    <w:tmpl w:val="B4EE9262"/>
    <w:lvl w:ilvl="0" w:tplc="78468D2E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574" w:hanging="360"/>
      </w:pPr>
    </w:lvl>
    <w:lvl w:ilvl="2" w:tplc="100C001B" w:tentative="1">
      <w:start w:val="1"/>
      <w:numFmt w:val="lowerRoman"/>
      <w:lvlText w:val="%3."/>
      <w:lvlJc w:val="right"/>
      <w:pPr>
        <w:ind w:left="3294" w:hanging="180"/>
      </w:pPr>
    </w:lvl>
    <w:lvl w:ilvl="3" w:tplc="100C000F" w:tentative="1">
      <w:start w:val="1"/>
      <w:numFmt w:val="decimal"/>
      <w:lvlText w:val="%4."/>
      <w:lvlJc w:val="left"/>
      <w:pPr>
        <w:ind w:left="4014" w:hanging="360"/>
      </w:pPr>
    </w:lvl>
    <w:lvl w:ilvl="4" w:tplc="100C0019" w:tentative="1">
      <w:start w:val="1"/>
      <w:numFmt w:val="lowerLetter"/>
      <w:lvlText w:val="%5."/>
      <w:lvlJc w:val="left"/>
      <w:pPr>
        <w:ind w:left="4734" w:hanging="360"/>
      </w:pPr>
    </w:lvl>
    <w:lvl w:ilvl="5" w:tplc="100C001B" w:tentative="1">
      <w:start w:val="1"/>
      <w:numFmt w:val="lowerRoman"/>
      <w:lvlText w:val="%6."/>
      <w:lvlJc w:val="right"/>
      <w:pPr>
        <w:ind w:left="5454" w:hanging="180"/>
      </w:pPr>
    </w:lvl>
    <w:lvl w:ilvl="6" w:tplc="100C000F" w:tentative="1">
      <w:start w:val="1"/>
      <w:numFmt w:val="decimal"/>
      <w:lvlText w:val="%7."/>
      <w:lvlJc w:val="left"/>
      <w:pPr>
        <w:ind w:left="6174" w:hanging="360"/>
      </w:pPr>
    </w:lvl>
    <w:lvl w:ilvl="7" w:tplc="100C0019" w:tentative="1">
      <w:start w:val="1"/>
      <w:numFmt w:val="lowerLetter"/>
      <w:lvlText w:val="%8."/>
      <w:lvlJc w:val="left"/>
      <w:pPr>
        <w:ind w:left="6894" w:hanging="360"/>
      </w:pPr>
    </w:lvl>
    <w:lvl w:ilvl="8" w:tplc="10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402C26BA"/>
    <w:multiLevelType w:val="hybridMultilevel"/>
    <w:tmpl w:val="F6584A9E"/>
    <w:lvl w:ilvl="0" w:tplc="56AED5AE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2060013529">
    <w:abstractNumId w:val="14"/>
  </w:num>
  <w:num w:numId="2" w16cid:durableId="1114902616">
    <w:abstractNumId w:val="12"/>
  </w:num>
  <w:num w:numId="3" w16cid:durableId="133135459">
    <w:abstractNumId w:val="10"/>
  </w:num>
  <w:num w:numId="4" w16cid:durableId="717819788">
    <w:abstractNumId w:val="8"/>
  </w:num>
  <w:num w:numId="5" w16cid:durableId="151482417">
    <w:abstractNumId w:val="3"/>
  </w:num>
  <w:num w:numId="6" w16cid:durableId="400912217">
    <w:abstractNumId w:val="2"/>
  </w:num>
  <w:num w:numId="7" w16cid:durableId="735317577">
    <w:abstractNumId w:val="1"/>
  </w:num>
  <w:num w:numId="8" w16cid:durableId="275253965">
    <w:abstractNumId w:val="0"/>
  </w:num>
  <w:num w:numId="9" w16cid:durableId="1943222268">
    <w:abstractNumId w:val="9"/>
  </w:num>
  <w:num w:numId="10" w16cid:durableId="295991628">
    <w:abstractNumId w:val="7"/>
  </w:num>
  <w:num w:numId="11" w16cid:durableId="1199926346">
    <w:abstractNumId w:val="6"/>
  </w:num>
  <w:num w:numId="12" w16cid:durableId="1382948125">
    <w:abstractNumId w:val="5"/>
  </w:num>
  <w:num w:numId="13" w16cid:durableId="1026176340">
    <w:abstractNumId w:val="4"/>
  </w:num>
  <w:num w:numId="14" w16cid:durableId="1868832976">
    <w:abstractNumId w:val="14"/>
  </w:num>
  <w:num w:numId="15" w16cid:durableId="34816704">
    <w:abstractNumId w:val="12"/>
  </w:num>
  <w:num w:numId="16" w16cid:durableId="1495026505">
    <w:abstractNumId w:val="10"/>
  </w:num>
  <w:num w:numId="17" w16cid:durableId="1463383111">
    <w:abstractNumId w:val="11"/>
  </w:num>
  <w:num w:numId="18" w16cid:durableId="11920625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EC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640AC"/>
    <w:rsid w:val="003916DE"/>
    <w:rsid w:val="00421996"/>
    <w:rsid w:val="00435F8D"/>
    <w:rsid w:val="00441C3B"/>
    <w:rsid w:val="00446FE5"/>
    <w:rsid w:val="00447C96"/>
    <w:rsid w:val="00452396"/>
    <w:rsid w:val="004649EF"/>
    <w:rsid w:val="00477EB2"/>
    <w:rsid w:val="004837D8"/>
    <w:rsid w:val="004C0EB1"/>
    <w:rsid w:val="004E2EED"/>
    <w:rsid w:val="004E468C"/>
    <w:rsid w:val="005505B7"/>
    <w:rsid w:val="00573BE5"/>
    <w:rsid w:val="00586ED3"/>
    <w:rsid w:val="0058785D"/>
    <w:rsid w:val="00596AA9"/>
    <w:rsid w:val="005B726F"/>
    <w:rsid w:val="00646BF5"/>
    <w:rsid w:val="00683DA8"/>
    <w:rsid w:val="0071601D"/>
    <w:rsid w:val="00720314"/>
    <w:rsid w:val="007840D6"/>
    <w:rsid w:val="007A62E6"/>
    <w:rsid w:val="007D45EF"/>
    <w:rsid w:val="007F20FA"/>
    <w:rsid w:val="0080684C"/>
    <w:rsid w:val="00856C81"/>
    <w:rsid w:val="00871C75"/>
    <w:rsid w:val="008776DC"/>
    <w:rsid w:val="008D5EF9"/>
    <w:rsid w:val="00932474"/>
    <w:rsid w:val="009446C0"/>
    <w:rsid w:val="009705C8"/>
    <w:rsid w:val="00977F5E"/>
    <w:rsid w:val="009839EC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E4EFA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C24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3AC3D"/>
  <w15:docId w15:val="{D02BDF3F-6A6D-4A89-8426-85F44D10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,4_GR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5_GR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semiHidden/>
    <w:qFormat/>
    <w:rsid w:val="003640AC"/>
    <w:pPr>
      <w:kinsoku/>
      <w:overflowPunct/>
      <w:autoSpaceDE/>
      <w:autoSpaceDN/>
      <w:adjustRightInd/>
      <w:snapToGrid/>
      <w:ind w:left="720"/>
      <w:contextualSpacing/>
    </w:pPr>
    <w:rPr>
      <w:rFonts w:eastAsia="Times New Roman"/>
      <w:lang w:val="en-GB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464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410</Words>
  <Characters>2243</Characters>
  <Application>Microsoft Office Word</Application>
  <DocSecurity>0</DocSecurity>
  <Lines>52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ECE/TRANS/WP.15/AC.1/2023/29</vt:lpstr>
      <vt:lpstr/>
    </vt:vector>
  </TitlesOfParts>
  <Company>DCM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ECE/TRANS/WP.15/AC.1/2023/29</dc:title>
  <dc:subject/>
  <dc:creator>Luisa PENA-MONTERO</dc:creator>
  <cp:keywords/>
  <cp:lastModifiedBy>Luisa PENA-MONTERO</cp:lastModifiedBy>
  <cp:revision>3</cp:revision>
  <cp:lastPrinted>2023-07-24T07:54:00Z</cp:lastPrinted>
  <dcterms:created xsi:type="dcterms:W3CDTF">2023-07-24T07:54:00Z</dcterms:created>
  <dcterms:modified xsi:type="dcterms:W3CDTF">2023-07-24T07:54:00Z</dcterms:modified>
</cp:coreProperties>
</file>