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CD3F5B" w14:paraId="198B3085" w14:textId="77777777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2C51EA1C" w14:textId="77777777" w:rsidR="00F35BAF" w:rsidRPr="00CD3F5B" w:rsidRDefault="00F35BAF" w:rsidP="000B621D">
            <w:pPr>
              <w:rPr>
                <w:lang w:val="fr-FR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D8EF941" w14:textId="77777777" w:rsidR="00F35BAF" w:rsidRPr="00CD3F5B" w:rsidRDefault="00F35BAF" w:rsidP="00C97039">
            <w:pPr>
              <w:spacing w:after="80" w:line="300" w:lineRule="exact"/>
              <w:rPr>
                <w:sz w:val="28"/>
                <w:lang w:val="fr-FR"/>
              </w:rPr>
            </w:pPr>
            <w:r w:rsidRPr="00CD3F5B">
              <w:rPr>
                <w:sz w:val="28"/>
                <w:lang w:val="fr-FR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0FD1E96" w14:textId="2CE40549" w:rsidR="00F35BAF" w:rsidRPr="00CD3F5B" w:rsidRDefault="000B621D" w:rsidP="000B621D">
            <w:pPr>
              <w:jc w:val="right"/>
              <w:rPr>
                <w:lang w:val="fr-FR"/>
              </w:rPr>
            </w:pPr>
            <w:r w:rsidRPr="00CD3F5B">
              <w:rPr>
                <w:sz w:val="40"/>
                <w:lang w:val="fr-FR"/>
              </w:rPr>
              <w:t>ECE</w:t>
            </w:r>
            <w:r w:rsidRPr="00CD3F5B">
              <w:rPr>
                <w:lang w:val="fr-FR"/>
              </w:rPr>
              <w:t>/TRANS/WP.11/2023/14</w:t>
            </w:r>
          </w:p>
        </w:tc>
      </w:tr>
      <w:tr w:rsidR="00F35BAF" w:rsidRPr="00CD3F5B" w14:paraId="0848EBD5" w14:textId="77777777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0BD1117F" w14:textId="77777777" w:rsidR="00F35BAF" w:rsidRPr="00CD3F5B" w:rsidRDefault="00F35BAF" w:rsidP="00C97039">
            <w:pPr>
              <w:spacing w:before="120"/>
              <w:jc w:val="center"/>
              <w:rPr>
                <w:lang w:val="fr-FR"/>
              </w:rPr>
            </w:pPr>
            <w:r w:rsidRPr="00CD3F5B">
              <w:rPr>
                <w:noProof/>
                <w:lang w:val="fr-FR" w:eastAsia="fr-CH"/>
              </w:rPr>
              <w:drawing>
                <wp:inline distT="0" distB="0" distL="0" distR="0" wp14:anchorId="1CC2BBF1" wp14:editId="75B0C02C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E98EAEF" w14:textId="77777777" w:rsidR="00F35BAF" w:rsidRPr="00CD3F5B" w:rsidRDefault="00F35BAF" w:rsidP="00C97039">
            <w:pPr>
              <w:spacing w:before="120" w:line="420" w:lineRule="exact"/>
              <w:rPr>
                <w:b/>
                <w:sz w:val="40"/>
                <w:szCs w:val="40"/>
                <w:lang w:val="fr-FR"/>
              </w:rPr>
            </w:pPr>
            <w:r w:rsidRPr="00CD3F5B">
              <w:rPr>
                <w:b/>
                <w:sz w:val="40"/>
                <w:szCs w:val="40"/>
                <w:lang w:val="fr-FR"/>
              </w:rPr>
              <w:t>Conseil économique 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7AFB644D" w14:textId="77777777" w:rsidR="00F35BAF" w:rsidRPr="00CD3F5B" w:rsidRDefault="000B621D" w:rsidP="00C97039">
            <w:pPr>
              <w:spacing w:before="240"/>
              <w:rPr>
                <w:lang w:val="fr-FR"/>
              </w:rPr>
            </w:pPr>
            <w:r w:rsidRPr="00CD3F5B">
              <w:rPr>
                <w:lang w:val="fr-FR"/>
              </w:rPr>
              <w:t>Distr. générale</w:t>
            </w:r>
          </w:p>
          <w:p w14:paraId="28E0C0FC" w14:textId="77777777" w:rsidR="000B621D" w:rsidRPr="00CD3F5B" w:rsidRDefault="000B621D" w:rsidP="000B621D">
            <w:pPr>
              <w:spacing w:line="240" w:lineRule="exact"/>
              <w:rPr>
                <w:lang w:val="fr-FR"/>
              </w:rPr>
            </w:pPr>
            <w:r w:rsidRPr="00CD3F5B">
              <w:rPr>
                <w:lang w:val="fr-FR"/>
              </w:rPr>
              <w:t>10 août 2023</w:t>
            </w:r>
          </w:p>
          <w:p w14:paraId="48FE6B16" w14:textId="77777777" w:rsidR="000B621D" w:rsidRPr="00CD3F5B" w:rsidRDefault="000B621D" w:rsidP="000B621D">
            <w:pPr>
              <w:spacing w:line="240" w:lineRule="exact"/>
              <w:rPr>
                <w:lang w:val="fr-FR"/>
              </w:rPr>
            </w:pPr>
            <w:r w:rsidRPr="00CD3F5B">
              <w:rPr>
                <w:lang w:val="fr-FR"/>
              </w:rPr>
              <w:t>Français</w:t>
            </w:r>
          </w:p>
          <w:p w14:paraId="7B79BCB2" w14:textId="1794D9C6" w:rsidR="000B621D" w:rsidRPr="00CD3F5B" w:rsidRDefault="000B621D" w:rsidP="000B621D">
            <w:pPr>
              <w:spacing w:line="240" w:lineRule="exact"/>
              <w:rPr>
                <w:lang w:val="fr-FR"/>
              </w:rPr>
            </w:pPr>
            <w:r w:rsidRPr="00CD3F5B">
              <w:rPr>
                <w:lang w:val="fr-FR"/>
              </w:rPr>
              <w:t>Original</w:t>
            </w:r>
            <w:r w:rsidR="00631FCF" w:rsidRPr="00CD3F5B">
              <w:rPr>
                <w:lang w:val="fr-FR"/>
              </w:rPr>
              <w:t> :</w:t>
            </w:r>
            <w:r w:rsidRPr="00CD3F5B">
              <w:rPr>
                <w:lang w:val="fr-FR"/>
              </w:rPr>
              <w:t xml:space="preserve"> anglais</w:t>
            </w:r>
          </w:p>
        </w:tc>
      </w:tr>
    </w:tbl>
    <w:p w14:paraId="708C04E5" w14:textId="2FD97B43" w:rsidR="007F20FA" w:rsidRPr="00CD3F5B" w:rsidRDefault="007F20FA" w:rsidP="007F20FA">
      <w:pPr>
        <w:spacing w:before="120"/>
        <w:rPr>
          <w:b/>
          <w:sz w:val="28"/>
          <w:szCs w:val="28"/>
          <w:lang w:val="fr-FR"/>
        </w:rPr>
      </w:pPr>
      <w:r w:rsidRPr="00CD3F5B">
        <w:rPr>
          <w:b/>
          <w:sz w:val="28"/>
          <w:szCs w:val="28"/>
          <w:lang w:val="fr-FR"/>
        </w:rPr>
        <w:t>Commission économique pour l</w:t>
      </w:r>
      <w:r w:rsidR="00631FCF" w:rsidRPr="00CD3F5B">
        <w:rPr>
          <w:b/>
          <w:sz w:val="28"/>
          <w:szCs w:val="28"/>
          <w:lang w:val="fr-FR"/>
        </w:rPr>
        <w:t>’</w:t>
      </w:r>
      <w:r w:rsidRPr="00CD3F5B">
        <w:rPr>
          <w:b/>
          <w:sz w:val="28"/>
          <w:szCs w:val="28"/>
          <w:lang w:val="fr-FR"/>
        </w:rPr>
        <w:t>Europe</w:t>
      </w:r>
    </w:p>
    <w:p w14:paraId="46A4C013" w14:textId="77777777" w:rsidR="007F20FA" w:rsidRPr="00CD3F5B" w:rsidRDefault="007F20FA" w:rsidP="007F20FA">
      <w:pPr>
        <w:spacing w:before="120"/>
        <w:rPr>
          <w:sz w:val="28"/>
          <w:szCs w:val="28"/>
          <w:lang w:val="fr-FR"/>
        </w:rPr>
      </w:pPr>
      <w:r w:rsidRPr="00CD3F5B">
        <w:rPr>
          <w:sz w:val="28"/>
          <w:szCs w:val="28"/>
          <w:lang w:val="fr-FR"/>
        </w:rPr>
        <w:t>Comité des transports intérieurs</w:t>
      </w:r>
    </w:p>
    <w:p w14:paraId="3FECBBAA" w14:textId="77777777" w:rsidR="000B621D" w:rsidRPr="00CD3F5B" w:rsidRDefault="000B621D" w:rsidP="000B621D">
      <w:pPr>
        <w:spacing w:before="120" w:after="120"/>
        <w:rPr>
          <w:b/>
          <w:sz w:val="24"/>
          <w:szCs w:val="24"/>
          <w:lang w:val="fr-FR"/>
        </w:rPr>
      </w:pPr>
      <w:r w:rsidRPr="00CD3F5B">
        <w:rPr>
          <w:b/>
          <w:bCs/>
          <w:sz w:val="24"/>
          <w:szCs w:val="24"/>
          <w:lang w:val="fr-FR"/>
        </w:rPr>
        <w:t>Groupe de travail du transport des denrées périssables</w:t>
      </w:r>
    </w:p>
    <w:p w14:paraId="77E84D4F" w14:textId="77777777" w:rsidR="000B621D" w:rsidRPr="00CD3F5B" w:rsidRDefault="000B621D" w:rsidP="000B621D">
      <w:pPr>
        <w:rPr>
          <w:b/>
          <w:lang w:val="fr-FR"/>
        </w:rPr>
      </w:pPr>
      <w:r w:rsidRPr="00CD3F5B">
        <w:rPr>
          <w:b/>
          <w:bCs/>
          <w:lang w:val="fr-FR"/>
        </w:rPr>
        <w:t>Quatre-vingtième session</w:t>
      </w:r>
    </w:p>
    <w:p w14:paraId="25EAC6C3" w14:textId="77777777" w:rsidR="000B621D" w:rsidRPr="00CD3F5B" w:rsidRDefault="000B621D" w:rsidP="000B621D">
      <w:pPr>
        <w:rPr>
          <w:lang w:val="fr-FR"/>
        </w:rPr>
      </w:pPr>
      <w:r w:rsidRPr="00CD3F5B">
        <w:rPr>
          <w:lang w:val="fr-FR"/>
        </w:rPr>
        <w:t>Genève, 24-27 octobre 2023</w:t>
      </w:r>
    </w:p>
    <w:p w14:paraId="3AD7F271" w14:textId="3ECFFD41" w:rsidR="000B621D" w:rsidRPr="00CD3F5B" w:rsidRDefault="000B621D" w:rsidP="000B621D">
      <w:pPr>
        <w:rPr>
          <w:lang w:val="fr-FR"/>
        </w:rPr>
      </w:pPr>
      <w:r w:rsidRPr="00CD3F5B">
        <w:rPr>
          <w:lang w:val="fr-FR"/>
        </w:rPr>
        <w:t>Point 5 b) de l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ordre du jour provisoire</w:t>
      </w:r>
    </w:p>
    <w:p w14:paraId="097CBD75" w14:textId="15EA2636" w:rsidR="000B621D" w:rsidRPr="00CD3F5B" w:rsidRDefault="000B621D" w:rsidP="000B621D">
      <w:pPr>
        <w:ind w:right="5669"/>
        <w:rPr>
          <w:b/>
          <w:bCs/>
          <w:lang w:val="fr-FR"/>
        </w:rPr>
      </w:pPr>
      <w:r w:rsidRPr="00CD3F5B">
        <w:rPr>
          <w:b/>
          <w:bCs/>
          <w:lang w:val="fr-FR"/>
        </w:rPr>
        <w:t>Propositions d</w:t>
      </w:r>
      <w:r w:rsidR="00631FCF" w:rsidRPr="00CD3F5B">
        <w:rPr>
          <w:b/>
          <w:bCs/>
          <w:lang w:val="fr-FR"/>
        </w:rPr>
        <w:t>’</w:t>
      </w:r>
      <w:r w:rsidRPr="00CD3F5B">
        <w:rPr>
          <w:b/>
          <w:bCs/>
          <w:lang w:val="fr-FR"/>
        </w:rPr>
        <w:t>amendements à l</w:t>
      </w:r>
      <w:r w:rsidR="00631FCF" w:rsidRPr="00CD3F5B">
        <w:rPr>
          <w:b/>
          <w:bCs/>
          <w:lang w:val="fr-FR"/>
        </w:rPr>
        <w:t>’</w:t>
      </w:r>
      <w:r w:rsidRPr="00CD3F5B">
        <w:rPr>
          <w:b/>
          <w:bCs/>
          <w:lang w:val="fr-FR"/>
        </w:rPr>
        <w:t>ATP</w:t>
      </w:r>
      <w:r w:rsidR="00631FCF" w:rsidRPr="00CD3F5B">
        <w:rPr>
          <w:b/>
          <w:bCs/>
          <w:lang w:val="fr-FR"/>
        </w:rPr>
        <w:t> :</w:t>
      </w:r>
      <w:r w:rsidRPr="00CD3F5B">
        <w:rPr>
          <w:b/>
          <w:bCs/>
          <w:lang w:val="fr-FR"/>
        </w:rPr>
        <w:t xml:space="preserve"> Nouvelles propositions</w:t>
      </w:r>
    </w:p>
    <w:p w14:paraId="117CF445" w14:textId="3DD91F1A" w:rsidR="000B621D" w:rsidRPr="00CD3F5B" w:rsidRDefault="000B621D" w:rsidP="000B621D">
      <w:pPr>
        <w:pStyle w:val="HChG"/>
        <w:rPr>
          <w:lang w:val="fr-FR"/>
        </w:rPr>
      </w:pPr>
      <w:r w:rsidRPr="00CD3F5B">
        <w:rPr>
          <w:lang w:val="fr-FR"/>
        </w:rPr>
        <w:tab/>
      </w:r>
      <w:r w:rsidRPr="00CD3F5B">
        <w:rPr>
          <w:lang w:val="fr-FR"/>
        </w:rPr>
        <w:tab/>
        <w:t>Propositions d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amendements</w:t>
      </w:r>
    </w:p>
    <w:p w14:paraId="01B3A87A" w14:textId="77777777" w:rsidR="000B621D" w:rsidRPr="00CD3F5B" w:rsidRDefault="000B621D" w:rsidP="000B621D">
      <w:pPr>
        <w:pStyle w:val="H1G"/>
        <w:rPr>
          <w:lang w:val="fr-FR"/>
        </w:rPr>
      </w:pPr>
      <w:r w:rsidRPr="00CD3F5B">
        <w:rPr>
          <w:lang w:val="fr-FR"/>
        </w:rPr>
        <w:tab/>
      </w:r>
      <w:r w:rsidRPr="00CD3F5B">
        <w:rPr>
          <w:lang w:val="fr-FR"/>
        </w:rPr>
        <w:tab/>
        <w:t>Communication du Gouvernement néerlandais</w:t>
      </w:r>
    </w:p>
    <w:tbl>
      <w:tblPr>
        <w:tblStyle w:val="TableGrid"/>
        <w:tblW w:w="0" w:type="auto"/>
        <w:jc w:val="center"/>
        <w:tblBorders>
          <w:insideH w:val="none" w:sz="0" w:space="0" w:color="auto"/>
        </w:tblBorders>
        <w:tblLook w:val="05E0" w:firstRow="1" w:lastRow="1" w:firstColumn="1" w:lastColumn="1" w:noHBand="0" w:noVBand="1"/>
      </w:tblPr>
      <w:tblGrid>
        <w:gridCol w:w="9628"/>
      </w:tblGrid>
      <w:tr w:rsidR="000B621D" w:rsidRPr="00CD3F5B" w14:paraId="78EC5EAE" w14:textId="77777777" w:rsidTr="00036D6B">
        <w:trPr>
          <w:jc w:val="center"/>
        </w:trPr>
        <w:tc>
          <w:tcPr>
            <w:tcW w:w="9628" w:type="dxa"/>
            <w:shd w:val="clear" w:color="auto" w:fill="auto"/>
          </w:tcPr>
          <w:p w14:paraId="342E8D38" w14:textId="77777777" w:rsidR="000B621D" w:rsidRPr="00CD3F5B" w:rsidRDefault="000B621D" w:rsidP="00036D6B">
            <w:pPr>
              <w:spacing w:before="240" w:after="120"/>
              <w:ind w:left="255"/>
              <w:rPr>
                <w:i/>
                <w:sz w:val="24"/>
                <w:lang w:val="fr-FR"/>
              </w:rPr>
            </w:pPr>
            <w:r w:rsidRPr="00CD3F5B">
              <w:rPr>
                <w:i/>
                <w:sz w:val="24"/>
                <w:lang w:val="fr-FR"/>
              </w:rPr>
              <w:t>Résumé</w:t>
            </w:r>
          </w:p>
        </w:tc>
      </w:tr>
      <w:tr w:rsidR="000B621D" w:rsidRPr="00CD3F5B" w14:paraId="5988D54C" w14:textId="77777777" w:rsidTr="00036D6B">
        <w:trPr>
          <w:jc w:val="center"/>
        </w:trPr>
        <w:tc>
          <w:tcPr>
            <w:tcW w:w="9628" w:type="dxa"/>
            <w:shd w:val="clear" w:color="auto" w:fill="auto"/>
          </w:tcPr>
          <w:p w14:paraId="1EF9220A" w14:textId="74F0BC06" w:rsidR="000B621D" w:rsidRPr="00CD3F5B" w:rsidRDefault="000B621D" w:rsidP="00036D6B">
            <w:pPr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spacing w:after="120"/>
              <w:ind w:left="3402" w:right="1134" w:hanging="2268"/>
              <w:jc w:val="both"/>
              <w:rPr>
                <w:rFonts w:eastAsia="Times New Roman"/>
                <w:b/>
                <w:iCs/>
                <w:lang w:val="fr-FR" w:eastAsia="zh-CN"/>
              </w:rPr>
            </w:pPr>
            <w:r w:rsidRPr="00CD3F5B">
              <w:rPr>
                <w:rFonts w:eastAsia="Times New Roman"/>
                <w:b/>
                <w:iCs/>
                <w:lang w:val="fr-FR" w:eastAsia="zh-CN"/>
              </w:rPr>
              <w:t>Résumé analytique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 :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ab/>
              <w:t>Le présent document contient deux propositions visant à faciliter la lecture de l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’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>ATP.</w:t>
            </w:r>
          </w:p>
          <w:p w14:paraId="569B919A" w14:textId="64785DD4" w:rsidR="000B621D" w:rsidRPr="00CD3F5B" w:rsidRDefault="000B621D" w:rsidP="00036D6B">
            <w:pPr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spacing w:after="120"/>
              <w:ind w:left="3402" w:right="1134" w:hanging="2268"/>
              <w:jc w:val="both"/>
              <w:rPr>
                <w:rFonts w:eastAsia="Times New Roman"/>
                <w:bCs/>
                <w:iCs/>
                <w:lang w:val="fr-FR" w:eastAsia="zh-CN"/>
              </w:rPr>
            </w:pPr>
            <w:r w:rsidRPr="00CD3F5B">
              <w:rPr>
                <w:rFonts w:eastAsia="Times New Roman"/>
                <w:b/>
                <w:iCs/>
                <w:lang w:val="fr-FR" w:eastAsia="zh-CN"/>
              </w:rPr>
              <w:t>Mesures à prendre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 :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ab/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ab/>
              <w:t>Ajouter un titre au paragraphe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 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>6.2.3 de l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’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>appendice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 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>2 de l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’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>annexe 1 et supprimer les mesures transitoires obsolètes relatives aux attestations de conformité dans la partie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 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>A de l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’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>appendice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 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>3 de l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’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>annexe 1.</w:t>
            </w:r>
          </w:p>
          <w:p w14:paraId="292DB516" w14:textId="407885AF" w:rsidR="000B621D" w:rsidRPr="00CD3F5B" w:rsidRDefault="000B621D" w:rsidP="00036D6B">
            <w:pPr>
              <w:tabs>
                <w:tab w:val="left" w:pos="1701"/>
                <w:tab w:val="left" w:pos="2268"/>
                <w:tab w:val="left" w:pos="2835"/>
              </w:tabs>
              <w:kinsoku/>
              <w:overflowPunct/>
              <w:autoSpaceDE/>
              <w:autoSpaceDN/>
              <w:adjustRightInd/>
              <w:snapToGrid/>
              <w:spacing w:after="120"/>
              <w:ind w:left="3402" w:right="1134" w:hanging="2268"/>
              <w:jc w:val="both"/>
              <w:rPr>
                <w:b/>
                <w:bCs/>
                <w:lang w:val="fr-FR"/>
              </w:rPr>
            </w:pPr>
            <w:r w:rsidRPr="00CD3F5B">
              <w:rPr>
                <w:rFonts w:eastAsia="Times New Roman"/>
                <w:b/>
                <w:iCs/>
                <w:lang w:val="fr-FR" w:eastAsia="zh-CN"/>
              </w:rPr>
              <w:t>Documents connexes</w:t>
            </w:r>
            <w:r w:rsidR="00631FCF" w:rsidRPr="00CD3F5B">
              <w:rPr>
                <w:rFonts w:eastAsia="Times New Roman"/>
                <w:bCs/>
                <w:iCs/>
                <w:lang w:val="fr-FR" w:eastAsia="zh-CN"/>
              </w:rPr>
              <w:t> :</w:t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ab/>
            </w:r>
            <w:r w:rsidRPr="00CD3F5B">
              <w:rPr>
                <w:rFonts w:eastAsia="Times New Roman"/>
                <w:bCs/>
                <w:iCs/>
                <w:lang w:val="fr-FR" w:eastAsia="zh-CN"/>
              </w:rPr>
              <w:tab/>
              <w:t>Sans objet.</w:t>
            </w:r>
          </w:p>
        </w:tc>
      </w:tr>
      <w:tr w:rsidR="000B621D" w:rsidRPr="00CD3F5B" w14:paraId="4A4B40B2" w14:textId="77777777" w:rsidTr="00036D6B">
        <w:trPr>
          <w:jc w:val="center"/>
        </w:trPr>
        <w:tc>
          <w:tcPr>
            <w:tcW w:w="9628" w:type="dxa"/>
            <w:shd w:val="clear" w:color="auto" w:fill="auto"/>
          </w:tcPr>
          <w:p w14:paraId="716BA94F" w14:textId="77777777" w:rsidR="000B621D" w:rsidRPr="00CD3F5B" w:rsidRDefault="000B621D" w:rsidP="00036D6B">
            <w:pPr>
              <w:rPr>
                <w:lang w:val="fr-FR"/>
              </w:rPr>
            </w:pPr>
          </w:p>
        </w:tc>
      </w:tr>
    </w:tbl>
    <w:p w14:paraId="42B981F9" w14:textId="77777777" w:rsidR="000B621D" w:rsidRPr="00CD3F5B" w:rsidRDefault="000B621D" w:rsidP="000B621D">
      <w:pPr>
        <w:pStyle w:val="HChG"/>
        <w:rPr>
          <w:lang w:val="fr-FR"/>
        </w:rPr>
      </w:pPr>
      <w:r w:rsidRPr="00CD3F5B">
        <w:rPr>
          <w:lang w:val="fr-FR"/>
        </w:rPr>
        <w:tab/>
      </w:r>
      <w:r w:rsidRPr="00CD3F5B">
        <w:rPr>
          <w:lang w:val="fr-FR"/>
        </w:rPr>
        <w:tab/>
        <w:t>Introduction</w:t>
      </w:r>
    </w:p>
    <w:p w14:paraId="61BC07E5" w14:textId="08A94D75" w:rsidR="000B621D" w:rsidRPr="00CD3F5B" w:rsidRDefault="000B621D" w:rsidP="000B621D">
      <w:pPr>
        <w:pStyle w:val="SingleTxtG"/>
        <w:rPr>
          <w:lang w:val="fr-FR"/>
        </w:rPr>
      </w:pPr>
      <w:r w:rsidRPr="00CD3F5B">
        <w:rPr>
          <w:lang w:val="fr-FR"/>
        </w:rPr>
        <w:t>1.</w:t>
      </w:r>
      <w:r w:rsidRPr="00CD3F5B">
        <w:rPr>
          <w:lang w:val="fr-FR"/>
        </w:rPr>
        <w:tab/>
        <w:t>Pour que l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Accord relatif aux transports internationaux de denrées périssables et aux engins spéciaux à utiliser pour ces transports (ATP) reste lisible, il est proposé d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y apporter des modifications à deux endroits.</w:t>
      </w:r>
    </w:p>
    <w:p w14:paraId="0587BF40" w14:textId="77777777" w:rsidR="000B621D" w:rsidRPr="00CD3F5B" w:rsidRDefault="000B621D" w:rsidP="000B621D">
      <w:pPr>
        <w:pStyle w:val="HChG"/>
        <w:rPr>
          <w:lang w:val="fr-FR"/>
        </w:rPr>
      </w:pPr>
      <w:r w:rsidRPr="00CD3F5B">
        <w:rPr>
          <w:lang w:val="fr-FR"/>
        </w:rPr>
        <w:tab/>
        <w:t>I.</w:t>
      </w:r>
      <w:r w:rsidRPr="00CD3F5B">
        <w:rPr>
          <w:lang w:val="fr-FR"/>
        </w:rPr>
        <w:tab/>
        <w:t>Proposition 1</w:t>
      </w:r>
    </w:p>
    <w:p w14:paraId="43C0B2AC" w14:textId="433ABE68" w:rsidR="000B621D" w:rsidRPr="00CD3F5B" w:rsidRDefault="000B621D" w:rsidP="000B621D">
      <w:pPr>
        <w:pStyle w:val="SingleTxtG"/>
        <w:rPr>
          <w:rFonts w:eastAsia="Calibri"/>
          <w:sz w:val="22"/>
          <w:szCs w:val="23"/>
          <w:lang w:val="fr-FR"/>
        </w:rPr>
      </w:pPr>
      <w:r w:rsidRPr="00CD3F5B">
        <w:rPr>
          <w:lang w:val="fr-FR"/>
        </w:rPr>
        <w:t>2.</w:t>
      </w:r>
      <w:r w:rsidRPr="00CD3F5B">
        <w:rPr>
          <w:lang w:val="fr-FR"/>
        </w:rPr>
        <w:tab/>
        <w:t>Ajouter un nouveau titre au paragraphe</w:t>
      </w:r>
      <w:r w:rsidR="00631FCF" w:rsidRPr="00CD3F5B">
        <w:rPr>
          <w:lang w:val="fr-FR"/>
        </w:rPr>
        <w:t> </w:t>
      </w:r>
      <w:r w:rsidRPr="00CD3F5B">
        <w:rPr>
          <w:lang w:val="fr-FR"/>
        </w:rPr>
        <w:t>6.2.3 de l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appendice</w:t>
      </w:r>
      <w:r w:rsidR="00631FCF" w:rsidRPr="00CD3F5B">
        <w:rPr>
          <w:lang w:val="fr-FR"/>
        </w:rPr>
        <w:t> </w:t>
      </w:r>
      <w:r w:rsidRPr="00CD3F5B">
        <w:rPr>
          <w:lang w:val="fr-FR"/>
        </w:rPr>
        <w:t>2 de l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annexe</w:t>
      </w:r>
      <w:r w:rsidR="00631FCF" w:rsidRPr="00CD3F5B">
        <w:rPr>
          <w:lang w:val="fr-FR"/>
        </w:rPr>
        <w:t> </w:t>
      </w:r>
      <w:r w:rsidRPr="00CD3F5B">
        <w:rPr>
          <w:lang w:val="fr-FR"/>
        </w:rPr>
        <w:t>1 (le texte nouveau est souligné)</w:t>
      </w:r>
      <w:r w:rsidR="00631FCF" w:rsidRPr="00CD3F5B">
        <w:rPr>
          <w:lang w:val="fr-FR"/>
        </w:rPr>
        <w:t> :</w:t>
      </w:r>
    </w:p>
    <w:p w14:paraId="529341B5" w14:textId="77777777" w:rsidR="000B621D" w:rsidRPr="00CD3F5B" w:rsidRDefault="000B621D" w:rsidP="000B621D">
      <w:pPr>
        <w:pStyle w:val="SingleTxtG"/>
        <w:tabs>
          <w:tab w:val="left" w:pos="284"/>
          <w:tab w:val="left" w:pos="2410"/>
        </w:tabs>
        <w:ind w:firstLine="567"/>
        <w:rPr>
          <w:rFonts w:eastAsia="Calibri"/>
          <w:lang w:val="fr-FR"/>
        </w:rPr>
      </w:pPr>
      <w:r w:rsidRPr="00CD3F5B">
        <w:rPr>
          <w:lang w:val="fr-FR"/>
        </w:rPr>
        <w:t>« 6.2.3</w:t>
      </w:r>
      <w:r w:rsidRPr="00CD3F5B">
        <w:rPr>
          <w:lang w:val="fr-FR"/>
        </w:rPr>
        <w:tab/>
      </w:r>
      <w:r w:rsidRPr="00CD3F5B">
        <w:rPr>
          <w:b/>
          <w:bCs/>
          <w:i/>
          <w:iCs/>
          <w:u w:val="single"/>
          <w:lang w:val="fr-FR"/>
        </w:rPr>
        <w:t>Remplacement du fluide frigorigène</w:t>
      </w:r>
    </w:p>
    <w:p w14:paraId="764C92B2" w14:textId="3FA780C9" w:rsidR="000B621D" w:rsidRPr="00CD3F5B" w:rsidRDefault="000B621D" w:rsidP="000B621D">
      <w:pPr>
        <w:pStyle w:val="SingleTxtG"/>
        <w:ind w:left="1701"/>
        <w:rPr>
          <w:lang w:val="fr-FR"/>
        </w:rPr>
      </w:pPr>
      <w:r w:rsidRPr="00CD3F5B">
        <w:rPr>
          <w:lang w:val="fr-FR"/>
        </w:rPr>
        <w:t>À la demande du fabricant, le remplacement du fluide frigorigène d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origine d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un engin frigorifique en service est autorisé pour les fluides frigorigènes indiqués... pour le fluide de substitution. »</w:t>
      </w:r>
    </w:p>
    <w:p w14:paraId="72A49D9D" w14:textId="77777777" w:rsidR="000B621D" w:rsidRPr="00CD3F5B" w:rsidRDefault="000B621D" w:rsidP="000B621D">
      <w:pPr>
        <w:pStyle w:val="HChG"/>
        <w:rPr>
          <w:lang w:val="fr-FR"/>
        </w:rPr>
      </w:pPr>
      <w:r w:rsidRPr="00CD3F5B">
        <w:rPr>
          <w:lang w:val="fr-FR"/>
        </w:rPr>
        <w:lastRenderedPageBreak/>
        <w:tab/>
        <w:t>II.</w:t>
      </w:r>
      <w:r w:rsidRPr="00CD3F5B">
        <w:rPr>
          <w:lang w:val="fr-FR"/>
        </w:rPr>
        <w:tab/>
        <w:t>Justification de la proposition 1</w:t>
      </w:r>
    </w:p>
    <w:p w14:paraId="303F800E" w14:textId="15886688" w:rsidR="000B621D" w:rsidRPr="00CD3F5B" w:rsidRDefault="000B621D" w:rsidP="000B621D">
      <w:pPr>
        <w:pStyle w:val="SingleTxtG"/>
        <w:rPr>
          <w:rFonts w:eastAsia="Calibri"/>
          <w:b/>
          <w:bCs/>
          <w:sz w:val="28"/>
          <w:szCs w:val="28"/>
          <w:lang w:val="fr-FR"/>
        </w:rPr>
      </w:pPr>
      <w:r w:rsidRPr="00CD3F5B">
        <w:rPr>
          <w:lang w:val="fr-FR"/>
        </w:rPr>
        <w:t>3.</w:t>
      </w:r>
      <w:r w:rsidRPr="00CD3F5B">
        <w:rPr>
          <w:lang w:val="fr-FR"/>
        </w:rPr>
        <w:tab/>
        <w:t>En l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absence de titre, on pourrait interpréter, à tort, que le paragraphe</w:t>
      </w:r>
      <w:r w:rsidR="00CD3F5B" w:rsidRPr="00CD3F5B">
        <w:rPr>
          <w:lang w:val="fr-FR"/>
        </w:rPr>
        <w:t> </w:t>
      </w:r>
      <w:r w:rsidRPr="00CD3F5B">
        <w:rPr>
          <w:lang w:val="fr-FR"/>
        </w:rPr>
        <w:t>6.2.3 ne s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applique qu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aux engins non autonomes.</w:t>
      </w:r>
    </w:p>
    <w:p w14:paraId="0F2061D8" w14:textId="77777777" w:rsidR="000B621D" w:rsidRPr="00CD3F5B" w:rsidRDefault="000B621D" w:rsidP="000B621D">
      <w:pPr>
        <w:pStyle w:val="HChG"/>
        <w:rPr>
          <w:rFonts w:eastAsia="Calibri"/>
          <w:lang w:val="fr-FR"/>
        </w:rPr>
      </w:pPr>
      <w:r w:rsidRPr="00CD3F5B">
        <w:rPr>
          <w:lang w:val="fr-FR"/>
        </w:rPr>
        <w:tab/>
        <w:t>III.</w:t>
      </w:r>
      <w:r w:rsidRPr="00CD3F5B">
        <w:rPr>
          <w:lang w:val="fr-FR"/>
        </w:rPr>
        <w:tab/>
        <w:t>Proposition 2</w:t>
      </w:r>
    </w:p>
    <w:p w14:paraId="68565D41" w14:textId="36B3B81E" w:rsidR="000B621D" w:rsidRPr="00CD3F5B" w:rsidRDefault="000B621D" w:rsidP="000B621D">
      <w:pPr>
        <w:pStyle w:val="SingleTxtG"/>
        <w:rPr>
          <w:lang w:val="fr-FR"/>
        </w:rPr>
      </w:pPr>
      <w:r w:rsidRPr="00CD3F5B">
        <w:rPr>
          <w:lang w:val="fr-FR"/>
        </w:rPr>
        <w:t>4.</w:t>
      </w:r>
      <w:r w:rsidRPr="00CD3F5B">
        <w:rPr>
          <w:lang w:val="fr-FR"/>
        </w:rPr>
        <w:tab/>
        <w:t>Supprimer les deux mesures transitoires qui figurent après le titre de la partie</w:t>
      </w:r>
      <w:r w:rsidR="00CD3F5B" w:rsidRPr="00CD3F5B">
        <w:rPr>
          <w:lang w:val="fr-FR"/>
        </w:rPr>
        <w:t> </w:t>
      </w:r>
      <w:r w:rsidRPr="00CD3F5B">
        <w:rPr>
          <w:lang w:val="fr-FR"/>
        </w:rPr>
        <w:t>A de l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appendice</w:t>
      </w:r>
      <w:r w:rsidR="00CD3F5B" w:rsidRPr="00CD3F5B">
        <w:rPr>
          <w:lang w:val="fr-FR"/>
        </w:rPr>
        <w:t> </w:t>
      </w:r>
      <w:r w:rsidRPr="00CD3F5B">
        <w:rPr>
          <w:lang w:val="fr-FR"/>
        </w:rPr>
        <w:t>3 de l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annexe</w:t>
      </w:r>
      <w:r w:rsidR="00CD3F5B" w:rsidRPr="00CD3F5B">
        <w:rPr>
          <w:lang w:val="fr-FR"/>
        </w:rPr>
        <w:t> </w:t>
      </w:r>
      <w:r w:rsidRPr="00CD3F5B">
        <w:rPr>
          <w:lang w:val="fr-FR"/>
        </w:rPr>
        <w:t>1 (le texte supprimé est biffé)</w:t>
      </w:r>
      <w:r w:rsidR="00631FCF" w:rsidRPr="00CD3F5B">
        <w:rPr>
          <w:lang w:val="fr-FR"/>
        </w:rPr>
        <w:t> :</w:t>
      </w:r>
    </w:p>
    <w:p w14:paraId="544472E2" w14:textId="39DAE61A" w:rsidR="000B621D" w:rsidRPr="00CD3F5B" w:rsidRDefault="000B621D" w:rsidP="000B621D">
      <w:pPr>
        <w:pStyle w:val="SingleTxtG"/>
        <w:ind w:left="1701"/>
        <w:rPr>
          <w:rFonts w:eastAsia="Calibri"/>
          <w:strike/>
          <w:szCs w:val="23"/>
          <w:lang w:val="fr-FR"/>
        </w:rPr>
      </w:pPr>
      <w:r w:rsidRPr="00CD3F5B">
        <w:rPr>
          <w:strike/>
          <w:lang w:val="fr-FR"/>
        </w:rPr>
        <w:t>« Les attestations de conformité des engins, délivrées avant le 2</w:t>
      </w:r>
      <w:r w:rsidR="00CD3F5B" w:rsidRPr="00CD3F5B">
        <w:rPr>
          <w:strike/>
          <w:lang w:val="fr-FR"/>
        </w:rPr>
        <w:t> </w:t>
      </w:r>
      <w:r w:rsidRPr="00CD3F5B">
        <w:rPr>
          <w:strike/>
          <w:lang w:val="fr-FR"/>
        </w:rPr>
        <w:t>janvier 2011 conformément aux prescriptions relatives au modèle d</w:t>
      </w:r>
      <w:r w:rsidR="00631FCF" w:rsidRPr="00CD3F5B">
        <w:rPr>
          <w:strike/>
          <w:lang w:val="fr-FR"/>
        </w:rPr>
        <w:t>’</w:t>
      </w:r>
      <w:r w:rsidRPr="00CD3F5B">
        <w:rPr>
          <w:strike/>
          <w:lang w:val="fr-FR"/>
        </w:rPr>
        <w:t>attestation à l</w:t>
      </w:r>
      <w:r w:rsidR="00631FCF" w:rsidRPr="00CD3F5B">
        <w:rPr>
          <w:strike/>
          <w:lang w:val="fr-FR"/>
        </w:rPr>
        <w:t>’</w:t>
      </w:r>
      <w:r w:rsidRPr="00CD3F5B">
        <w:rPr>
          <w:strike/>
          <w:lang w:val="fr-FR"/>
        </w:rPr>
        <w:t>appendice</w:t>
      </w:r>
      <w:r w:rsidR="00CD3F5B" w:rsidRPr="00CD3F5B">
        <w:rPr>
          <w:strike/>
          <w:lang w:val="fr-FR"/>
        </w:rPr>
        <w:t> </w:t>
      </w:r>
      <w:r w:rsidRPr="00CD3F5B">
        <w:rPr>
          <w:strike/>
          <w:lang w:val="fr-FR"/>
        </w:rPr>
        <w:t>3 de l</w:t>
      </w:r>
      <w:r w:rsidR="00631FCF" w:rsidRPr="00CD3F5B">
        <w:rPr>
          <w:strike/>
          <w:lang w:val="fr-FR"/>
        </w:rPr>
        <w:t>’</w:t>
      </w:r>
      <w:r w:rsidRPr="00CD3F5B">
        <w:rPr>
          <w:strike/>
          <w:lang w:val="fr-FR"/>
        </w:rPr>
        <w:t>annexe</w:t>
      </w:r>
      <w:r w:rsidR="00CD3F5B" w:rsidRPr="00CD3F5B">
        <w:rPr>
          <w:strike/>
          <w:lang w:val="fr-FR"/>
        </w:rPr>
        <w:t> </w:t>
      </w:r>
      <w:r w:rsidRPr="00CD3F5B">
        <w:rPr>
          <w:strike/>
          <w:lang w:val="fr-FR"/>
        </w:rPr>
        <w:t>1, en vigueur jusqu</w:t>
      </w:r>
      <w:r w:rsidR="00631FCF" w:rsidRPr="00CD3F5B">
        <w:rPr>
          <w:strike/>
          <w:lang w:val="fr-FR"/>
        </w:rPr>
        <w:t>’</w:t>
      </w:r>
      <w:r w:rsidRPr="00CD3F5B">
        <w:rPr>
          <w:strike/>
          <w:lang w:val="fr-FR"/>
        </w:rPr>
        <w:t xml:space="preserve">au </w:t>
      </w:r>
      <w:r w:rsidR="00631FCF" w:rsidRPr="00CD3F5B">
        <w:rPr>
          <w:strike/>
          <w:lang w:val="fr-FR"/>
        </w:rPr>
        <w:t>1</w:t>
      </w:r>
      <w:r w:rsidR="00631FCF" w:rsidRPr="00CD3F5B">
        <w:rPr>
          <w:strike/>
          <w:vertAlign w:val="superscript"/>
          <w:lang w:val="fr-FR"/>
        </w:rPr>
        <w:t>er</w:t>
      </w:r>
      <w:r w:rsidR="00CD3F5B" w:rsidRPr="00CD3F5B">
        <w:rPr>
          <w:strike/>
          <w:lang w:val="fr-FR"/>
        </w:rPr>
        <w:t> </w:t>
      </w:r>
      <w:r w:rsidRPr="00CD3F5B">
        <w:rPr>
          <w:strike/>
          <w:lang w:val="fr-FR"/>
        </w:rPr>
        <w:t>janvier 2011, resteront valables jusqu</w:t>
      </w:r>
      <w:r w:rsidR="00631FCF" w:rsidRPr="00CD3F5B">
        <w:rPr>
          <w:strike/>
          <w:lang w:val="fr-FR"/>
        </w:rPr>
        <w:t>’</w:t>
      </w:r>
      <w:r w:rsidRPr="00CD3F5B">
        <w:rPr>
          <w:strike/>
          <w:lang w:val="fr-FR"/>
        </w:rPr>
        <w:t>à la date d</w:t>
      </w:r>
      <w:r w:rsidR="00631FCF" w:rsidRPr="00CD3F5B">
        <w:rPr>
          <w:strike/>
          <w:lang w:val="fr-FR"/>
        </w:rPr>
        <w:t>’</w:t>
      </w:r>
      <w:r w:rsidRPr="00CD3F5B">
        <w:rPr>
          <w:strike/>
          <w:lang w:val="fr-FR"/>
        </w:rPr>
        <w:t>expiration initialement prévue.</w:t>
      </w:r>
    </w:p>
    <w:p w14:paraId="60F833FF" w14:textId="5949B351" w:rsidR="000B621D" w:rsidRPr="00CD3F5B" w:rsidRDefault="000B621D" w:rsidP="000B621D">
      <w:pPr>
        <w:pStyle w:val="SingleTxtG"/>
        <w:ind w:left="1701"/>
        <w:rPr>
          <w:rFonts w:eastAsia="Calibri"/>
          <w:strike/>
          <w:szCs w:val="23"/>
          <w:lang w:val="fr-FR"/>
        </w:rPr>
      </w:pPr>
      <w:r w:rsidRPr="00CD3F5B">
        <w:rPr>
          <w:strike/>
          <w:lang w:val="fr-FR"/>
        </w:rPr>
        <w:t>Les attestations de conformité des engins, délivrées avant la date de l</w:t>
      </w:r>
      <w:r w:rsidR="00631FCF" w:rsidRPr="00CD3F5B">
        <w:rPr>
          <w:strike/>
          <w:lang w:val="fr-FR"/>
        </w:rPr>
        <w:t>’</w:t>
      </w:r>
      <w:r w:rsidRPr="00CD3F5B">
        <w:rPr>
          <w:strike/>
          <w:lang w:val="fr-FR"/>
        </w:rPr>
        <w:t>entrée en vigueur de la modification au point</w:t>
      </w:r>
      <w:r w:rsidR="00CD3F5B" w:rsidRPr="00CD3F5B">
        <w:rPr>
          <w:strike/>
          <w:lang w:val="fr-FR"/>
        </w:rPr>
        <w:t> </w:t>
      </w:r>
      <w:r w:rsidRPr="00CD3F5B">
        <w:rPr>
          <w:strike/>
          <w:lang w:val="fr-FR"/>
        </w:rPr>
        <w:t>3 du modèle d</w:t>
      </w:r>
      <w:r w:rsidR="00631FCF" w:rsidRPr="00CD3F5B">
        <w:rPr>
          <w:strike/>
          <w:lang w:val="fr-FR"/>
        </w:rPr>
        <w:t>’</w:t>
      </w:r>
      <w:r w:rsidRPr="00CD3F5B">
        <w:rPr>
          <w:strike/>
          <w:lang w:val="fr-FR"/>
        </w:rPr>
        <w:t>attestation (30</w:t>
      </w:r>
      <w:r w:rsidR="00CD3F5B" w:rsidRPr="00CD3F5B">
        <w:rPr>
          <w:strike/>
          <w:lang w:val="fr-FR"/>
        </w:rPr>
        <w:t> </w:t>
      </w:r>
      <w:r w:rsidRPr="00CD3F5B">
        <w:rPr>
          <w:strike/>
          <w:lang w:val="fr-FR"/>
        </w:rPr>
        <w:t>septembre 2015), resteront valables jusqu</w:t>
      </w:r>
      <w:r w:rsidR="00631FCF" w:rsidRPr="00CD3F5B">
        <w:rPr>
          <w:strike/>
          <w:lang w:val="fr-FR"/>
        </w:rPr>
        <w:t>’</w:t>
      </w:r>
      <w:r w:rsidRPr="00CD3F5B">
        <w:rPr>
          <w:strike/>
          <w:lang w:val="fr-FR"/>
        </w:rPr>
        <w:t>à la date d</w:t>
      </w:r>
      <w:r w:rsidR="00631FCF" w:rsidRPr="00CD3F5B">
        <w:rPr>
          <w:strike/>
          <w:lang w:val="fr-FR"/>
        </w:rPr>
        <w:t>’</w:t>
      </w:r>
      <w:r w:rsidRPr="00CD3F5B">
        <w:rPr>
          <w:strike/>
          <w:lang w:val="fr-FR"/>
        </w:rPr>
        <w:t>expiration initialement prévue. ».</w:t>
      </w:r>
    </w:p>
    <w:p w14:paraId="2CEFAD0E" w14:textId="77777777" w:rsidR="000B621D" w:rsidRPr="00CD3F5B" w:rsidRDefault="000B621D" w:rsidP="000B621D">
      <w:pPr>
        <w:pStyle w:val="HChG"/>
        <w:rPr>
          <w:rFonts w:eastAsia="Calibri"/>
          <w:lang w:val="fr-FR"/>
        </w:rPr>
      </w:pPr>
      <w:r w:rsidRPr="00CD3F5B">
        <w:rPr>
          <w:lang w:val="fr-FR"/>
        </w:rPr>
        <w:tab/>
        <w:t>IV.</w:t>
      </w:r>
      <w:r w:rsidRPr="00CD3F5B">
        <w:rPr>
          <w:lang w:val="fr-FR"/>
        </w:rPr>
        <w:tab/>
        <w:t>Justification de la proposition 2</w:t>
      </w:r>
    </w:p>
    <w:p w14:paraId="01CECFC0" w14:textId="10825023" w:rsidR="000B621D" w:rsidRPr="00CD3F5B" w:rsidRDefault="000B621D" w:rsidP="000B621D">
      <w:pPr>
        <w:pStyle w:val="SingleTxtG"/>
        <w:rPr>
          <w:lang w:val="fr-FR"/>
        </w:rPr>
      </w:pPr>
      <w:r w:rsidRPr="00CD3F5B">
        <w:rPr>
          <w:lang w:val="fr-FR"/>
        </w:rPr>
        <w:t>5.</w:t>
      </w:r>
      <w:r w:rsidRPr="00CD3F5B">
        <w:rPr>
          <w:lang w:val="fr-FR"/>
        </w:rPr>
        <w:tab/>
        <w:t>Étant donné que la durée de validité des attestations de conformité à l</w:t>
      </w:r>
      <w:r w:rsidR="00631FCF" w:rsidRPr="00CD3F5B">
        <w:rPr>
          <w:lang w:val="fr-FR"/>
        </w:rPr>
        <w:t>’</w:t>
      </w:r>
      <w:r w:rsidRPr="00CD3F5B">
        <w:rPr>
          <w:lang w:val="fr-FR"/>
        </w:rPr>
        <w:t>ATP est de six ans au maximum, toutes les attestations actuellement valables doivent être conformes, donc les mesures transitoires sont obsolètes.</w:t>
      </w:r>
    </w:p>
    <w:p w14:paraId="7604AE2C" w14:textId="77777777" w:rsidR="000B621D" w:rsidRPr="00CD3F5B" w:rsidRDefault="000B621D" w:rsidP="000B621D">
      <w:pPr>
        <w:pStyle w:val="HChG"/>
        <w:rPr>
          <w:lang w:val="fr-FR"/>
        </w:rPr>
      </w:pPr>
      <w:r w:rsidRPr="00CD3F5B">
        <w:rPr>
          <w:lang w:val="fr-FR"/>
        </w:rPr>
        <w:tab/>
        <w:t>V.</w:t>
      </w:r>
      <w:r w:rsidRPr="00CD3F5B">
        <w:rPr>
          <w:lang w:val="fr-FR"/>
        </w:rPr>
        <w:tab/>
        <w:t>Justification</w:t>
      </w:r>
    </w:p>
    <w:tbl>
      <w:tblPr>
        <w:tblW w:w="7513" w:type="dxa"/>
        <w:tblInd w:w="11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0"/>
        <w:gridCol w:w="5953"/>
      </w:tblGrid>
      <w:tr w:rsidR="000B621D" w:rsidRPr="00CD3F5B" w14:paraId="4FD5662C" w14:textId="77777777" w:rsidTr="00036D6B">
        <w:tc>
          <w:tcPr>
            <w:tcW w:w="1560" w:type="dxa"/>
            <w:vAlign w:val="bottom"/>
          </w:tcPr>
          <w:p w14:paraId="2C9ABB62" w14:textId="59D1E3DD" w:rsidR="000B621D" w:rsidRPr="00CD3F5B" w:rsidRDefault="000B621D" w:rsidP="00036D6B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/>
              <w:jc w:val="both"/>
              <w:rPr>
                <w:rFonts w:eastAsia="Times New Roman"/>
                <w:sz w:val="22"/>
                <w:szCs w:val="22"/>
                <w:lang w:val="fr-FR" w:eastAsia="zh-CN"/>
              </w:rPr>
            </w:pPr>
            <w:r w:rsidRPr="00CD3F5B">
              <w:rPr>
                <w:lang w:val="fr-FR"/>
              </w:rPr>
              <w:t>Coût</w:t>
            </w:r>
            <w:r w:rsidR="00631FCF" w:rsidRPr="00CD3F5B">
              <w:rPr>
                <w:lang w:val="fr-FR"/>
              </w:rPr>
              <w:t> :</w:t>
            </w:r>
          </w:p>
        </w:tc>
        <w:tc>
          <w:tcPr>
            <w:tcW w:w="5953" w:type="dxa"/>
            <w:vAlign w:val="bottom"/>
          </w:tcPr>
          <w:p w14:paraId="471370A6" w14:textId="77777777" w:rsidR="000B621D" w:rsidRPr="00CD3F5B" w:rsidRDefault="000B621D" w:rsidP="00036D6B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/>
              <w:ind w:right="1134"/>
              <w:jc w:val="both"/>
              <w:rPr>
                <w:rFonts w:eastAsia="Times New Roman"/>
                <w:sz w:val="22"/>
                <w:szCs w:val="22"/>
                <w:lang w:val="fr-FR" w:eastAsia="zh-CN"/>
              </w:rPr>
            </w:pPr>
            <w:r w:rsidRPr="00CD3F5B">
              <w:rPr>
                <w:lang w:val="fr-FR"/>
              </w:rPr>
              <w:t>Aucun coût</w:t>
            </w:r>
          </w:p>
        </w:tc>
      </w:tr>
      <w:tr w:rsidR="000B621D" w:rsidRPr="00CD3F5B" w14:paraId="29F79B94" w14:textId="77777777" w:rsidTr="00036D6B">
        <w:tc>
          <w:tcPr>
            <w:tcW w:w="1560" w:type="dxa"/>
          </w:tcPr>
          <w:p w14:paraId="48BD85F8" w14:textId="294F5E40" w:rsidR="000B621D" w:rsidRPr="00CD3F5B" w:rsidRDefault="000B621D" w:rsidP="00036D6B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/>
              <w:ind w:right="3"/>
              <w:jc w:val="both"/>
              <w:rPr>
                <w:rFonts w:eastAsia="Times New Roman"/>
                <w:sz w:val="22"/>
                <w:szCs w:val="22"/>
                <w:lang w:val="fr-FR" w:eastAsia="zh-CN"/>
              </w:rPr>
            </w:pPr>
            <w:r w:rsidRPr="00CD3F5B">
              <w:rPr>
                <w:lang w:val="fr-FR"/>
              </w:rPr>
              <w:t>Faisabilité</w:t>
            </w:r>
            <w:r w:rsidR="00631FCF" w:rsidRPr="00CD3F5B">
              <w:rPr>
                <w:lang w:val="fr-FR"/>
              </w:rPr>
              <w:t> :</w:t>
            </w:r>
          </w:p>
        </w:tc>
        <w:tc>
          <w:tcPr>
            <w:tcW w:w="5953" w:type="dxa"/>
          </w:tcPr>
          <w:p w14:paraId="29C948B9" w14:textId="77777777" w:rsidR="000B621D" w:rsidRPr="00CD3F5B" w:rsidRDefault="000B621D" w:rsidP="00036D6B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/>
              <w:ind w:right="1134"/>
              <w:jc w:val="both"/>
              <w:rPr>
                <w:rFonts w:eastAsia="Times New Roman"/>
                <w:sz w:val="22"/>
                <w:szCs w:val="22"/>
                <w:lang w:val="fr-FR" w:eastAsia="zh-CN"/>
              </w:rPr>
            </w:pPr>
            <w:r w:rsidRPr="00CD3F5B">
              <w:rPr>
                <w:lang w:val="fr-FR"/>
              </w:rPr>
              <w:t>Aucun problème à prévoir</w:t>
            </w:r>
          </w:p>
        </w:tc>
      </w:tr>
      <w:tr w:rsidR="000B621D" w:rsidRPr="00CD3F5B" w14:paraId="03D5ADAD" w14:textId="77777777" w:rsidTr="00036D6B">
        <w:tc>
          <w:tcPr>
            <w:tcW w:w="1560" w:type="dxa"/>
          </w:tcPr>
          <w:p w14:paraId="1B18435A" w14:textId="6D58A5B1" w:rsidR="000B621D" w:rsidRPr="00CD3F5B" w:rsidRDefault="000B621D" w:rsidP="00036D6B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/>
              <w:jc w:val="both"/>
              <w:rPr>
                <w:rFonts w:eastAsia="Times New Roman"/>
                <w:sz w:val="22"/>
                <w:szCs w:val="22"/>
                <w:lang w:val="fr-FR" w:eastAsia="zh-CN"/>
              </w:rPr>
            </w:pPr>
            <w:r w:rsidRPr="00CD3F5B">
              <w:rPr>
                <w:lang w:val="fr-FR"/>
              </w:rPr>
              <w:t>Résultats</w:t>
            </w:r>
            <w:r w:rsidR="00631FCF" w:rsidRPr="00CD3F5B">
              <w:rPr>
                <w:lang w:val="fr-FR"/>
              </w:rPr>
              <w:t> :</w:t>
            </w:r>
          </w:p>
        </w:tc>
        <w:tc>
          <w:tcPr>
            <w:tcW w:w="5953" w:type="dxa"/>
          </w:tcPr>
          <w:p w14:paraId="0CDC8B38" w14:textId="786F863E" w:rsidR="000B621D" w:rsidRPr="00CD3F5B" w:rsidRDefault="000B621D" w:rsidP="00036D6B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/>
              <w:jc w:val="both"/>
              <w:rPr>
                <w:rFonts w:eastAsia="Times New Roman"/>
                <w:sz w:val="22"/>
                <w:szCs w:val="22"/>
                <w:lang w:val="fr-FR" w:eastAsia="zh-CN"/>
              </w:rPr>
            </w:pPr>
            <w:r w:rsidRPr="00CD3F5B">
              <w:rPr>
                <w:lang w:val="fr-FR"/>
              </w:rPr>
              <w:t>Aucune incidence sur la consommation de combustible ni sur l</w:t>
            </w:r>
            <w:r w:rsidR="00631FCF" w:rsidRPr="00CD3F5B">
              <w:rPr>
                <w:lang w:val="fr-FR"/>
              </w:rPr>
              <w:t>’</w:t>
            </w:r>
            <w:r w:rsidRPr="00CD3F5B">
              <w:rPr>
                <w:lang w:val="fr-FR"/>
              </w:rPr>
              <w:t>isothermie</w:t>
            </w:r>
          </w:p>
        </w:tc>
      </w:tr>
      <w:tr w:rsidR="000B621D" w:rsidRPr="00CD3F5B" w14:paraId="5C2ECB8B" w14:textId="77777777" w:rsidTr="00036D6B">
        <w:tc>
          <w:tcPr>
            <w:tcW w:w="1560" w:type="dxa"/>
          </w:tcPr>
          <w:p w14:paraId="37748084" w14:textId="3E687A93" w:rsidR="000B621D" w:rsidRPr="00CD3F5B" w:rsidRDefault="000B621D" w:rsidP="00036D6B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/>
              <w:jc w:val="both"/>
              <w:rPr>
                <w:lang w:val="fr-FR"/>
              </w:rPr>
            </w:pPr>
            <w:r w:rsidRPr="00CD3F5B">
              <w:rPr>
                <w:lang w:val="fr-FR"/>
              </w:rPr>
              <w:t>Applicabilité</w:t>
            </w:r>
            <w:r w:rsidR="00631FCF" w:rsidRPr="00CD3F5B">
              <w:rPr>
                <w:lang w:val="fr-FR"/>
              </w:rPr>
              <w:t> :</w:t>
            </w:r>
          </w:p>
        </w:tc>
        <w:tc>
          <w:tcPr>
            <w:tcW w:w="5953" w:type="dxa"/>
          </w:tcPr>
          <w:p w14:paraId="0B732A6A" w14:textId="77777777" w:rsidR="000B621D" w:rsidRPr="00CD3F5B" w:rsidRDefault="000B621D" w:rsidP="00036D6B">
            <w:pPr>
              <w:tabs>
                <w:tab w:val="left" w:pos="1701"/>
                <w:tab w:val="left" w:pos="2268"/>
                <w:tab w:val="left" w:pos="2835"/>
              </w:tabs>
              <w:suppressAutoHyphens w:val="0"/>
              <w:kinsoku/>
              <w:overflowPunct/>
              <w:autoSpaceDE/>
              <w:autoSpaceDN/>
              <w:adjustRightInd/>
              <w:snapToGrid/>
              <w:spacing w:before="40" w:after="120"/>
              <w:jc w:val="both"/>
              <w:rPr>
                <w:rFonts w:eastAsia="Times New Roman"/>
                <w:sz w:val="22"/>
                <w:szCs w:val="22"/>
                <w:lang w:val="fr-FR" w:eastAsia="zh-CN"/>
              </w:rPr>
            </w:pPr>
            <w:r w:rsidRPr="00CD3F5B">
              <w:rPr>
                <w:lang w:val="fr-FR"/>
              </w:rPr>
              <w:t>Aucun problème à prévoir</w:t>
            </w:r>
          </w:p>
        </w:tc>
      </w:tr>
    </w:tbl>
    <w:p w14:paraId="6840C2B4" w14:textId="20E8BF5A" w:rsidR="00F9573C" w:rsidRPr="00CD3F5B" w:rsidRDefault="000B621D" w:rsidP="000B621D">
      <w:pPr>
        <w:pStyle w:val="SingleTxtG"/>
        <w:spacing w:before="240" w:after="0"/>
        <w:jc w:val="center"/>
        <w:rPr>
          <w:u w:val="single"/>
          <w:lang w:val="fr-FR"/>
        </w:rPr>
      </w:pPr>
      <w:r w:rsidRPr="00CD3F5B">
        <w:rPr>
          <w:u w:val="single"/>
          <w:lang w:val="fr-FR"/>
        </w:rPr>
        <w:tab/>
      </w:r>
      <w:r w:rsidRPr="00CD3F5B">
        <w:rPr>
          <w:u w:val="single"/>
          <w:lang w:val="fr-FR"/>
        </w:rPr>
        <w:tab/>
      </w:r>
      <w:r w:rsidRPr="00CD3F5B">
        <w:rPr>
          <w:u w:val="single"/>
          <w:lang w:val="fr-FR"/>
        </w:rPr>
        <w:tab/>
      </w:r>
      <w:r w:rsidRPr="00CD3F5B">
        <w:rPr>
          <w:u w:val="single"/>
          <w:lang w:val="fr-FR"/>
        </w:rPr>
        <w:tab/>
      </w:r>
    </w:p>
    <w:sectPr w:rsidR="00F9573C" w:rsidRPr="00CD3F5B" w:rsidSect="000B621D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0DBE8" w14:textId="77777777" w:rsidR="003D5A35" w:rsidRDefault="003D5A35" w:rsidP="00F95C08">
      <w:pPr>
        <w:spacing w:line="240" w:lineRule="auto"/>
      </w:pPr>
    </w:p>
  </w:endnote>
  <w:endnote w:type="continuationSeparator" w:id="0">
    <w:p w14:paraId="1A9CC9EF" w14:textId="77777777" w:rsidR="003D5A35" w:rsidRPr="00AC3823" w:rsidRDefault="003D5A35" w:rsidP="00AC3823">
      <w:pPr>
        <w:pStyle w:val="Footer"/>
      </w:pPr>
    </w:p>
  </w:endnote>
  <w:endnote w:type="continuationNotice" w:id="1">
    <w:p w14:paraId="4F9D94CD" w14:textId="77777777" w:rsidR="003D5A35" w:rsidRDefault="003D5A3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41BDA" w14:textId="5175B83F" w:rsidR="000B621D" w:rsidRPr="000B621D" w:rsidRDefault="000B621D" w:rsidP="000B621D">
    <w:pPr>
      <w:pStyle w:val="Footer"/>
      <w:tabs>
        <w:tab w:val="right" w:pos="9638"/>
      </w:tabs>
    </w:pPr>
    <w:r w:rsidRPr="000B621D">
      <w:rPr>
        <w:b/>
        <w:sz w:val="18"/>
      </w:rPr>
      <w:fldChar w:fldCharType="begin"/>
    </w:r>
    <w:r w:rsidRPr="000B621D">
      <w:rPr>
        <w:b/>
        <w:sz w:val="18"/>
      </w:rPr>
      <w:instrText xml:space="preserve"> PAGE  \* MERGEFORMAT </w:instrText>
    </w:r>
    <w:r w:rsidRPr="000B621D">
      <w:rPr>
        <w:b/>
        <w:sz w:val="18"/>
      </w:rPr>
      <w:fldChar w:fldCharType="separate"/>
    </w:r>
    <w:r w:rsidRPr="000B621D">
      <w:rPr>
        <w:b/>
        <w:noProof/>
        <w:sz w:val="18"/>
      </w:rPr>
      <w:t>2</w:t>
    </w:r>
    <w:r w:rsidRPr="000B621D">
      <w:rPr>
        <w:b/>
        <w:sz w:val="18"/>
      </w:rPr>
      <w:fldChar w:fldCharType="end"/>
    </w:r>
    <w:r>
      <w:rPr>
        <w:b/>
        <w:sz w:val="18"/>
      </w:rPr>
      <w:tab/>
    </w:r>
    <w:r>
      <w:t>GE.23-15569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D73D" w14:textId="2757FBE2" w:rsidR="000B621D" w:rsidRPr="000B621D" w:rsidRDefault="000B621D" w:rsidP="000B621D">
    <w:pPr>
      <w:pStyle w:val="Footer"/>
      <w:tabs>
        <w:tab w:val="right" w:pos="9638"/>
      </w:tabs>
      <w:rPr>
        <w:b/>
        <w:sz w:val="18"/>
      </w:rPr>
    </w:pPr>
    <w:r>
      <w:t>GE.23-15569</w:t>
    </w:r>
    <w:r>
      <w:tab/>
    </w:r>
    <w:r w:rsidRPr="000B621D">
      <w:rPr>
        <w:b/>
        <w:sz w:val="18"/>
      </w:rPr>
      <w:fldChar w:fldCharType="begin"/>
    </w:r>
    <w:r w:rsidRPr="000B621D">
      <w:rPr>
        <w:b/>
        <w:sz w:val="18"/>
      </w:rPr>
      <w:instrText xml:space="preserve"> PAGE  \* MERGEFORMAT </w:instrText>
    </w:r>
    <w:r w:rsidRPr="000B621D">
      <w:rPr>
        <w:b/>
        <w:sz w:val="18"/>
      </w:rPr>
      <w:fldChar w:fldCharType="separate"/>
    </w:r>
    <w:r w:rsidRPr="000B621D">
      <w:rPr>
        <w:b/>
        <w:noProof/>
        <w:sz w:val="18"/>
      </w:rPr>
      <w:t>3</w:t>
    </w:r>
    <w:r w:rsidRPr="000B621D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46D8" w14:textId="319D3D62" w:rsidR="007F20FA" w:rsidRPr="000B621D" w:rsidRDefault="000B621D" w:rsidP="000B621D">
    <w:pPr>
      <w:pStyle w:val="Footer"/>
      <w:spacing w:before="120"/>
      <w:rPr>
        <w:sz w:val="20"/>
      </w:rPr>
    </w:pPr>
    <w:r>
      <w:rPr>
        <w:sz w:val="20"/>
      </w:rPr>
      <w:t>GE.</w:t>
    </w:r>
    <w:r w:rsidR="007F20FA"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52B3DF2A" wp14:editId="3FEE1A29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23-15569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6CBAF4AB" wp14:editId="11CCA632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62145366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D3F5B">
      <w:rPr>
        <w:sz w:val="20"/>
      </w:rPr>
      <w:t xml:space="preserve">    170823    180823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95DF5" w14:textId="77777777" w:rsidR="003D5A35" w:rsidRPr="00AC3823" w:rsidRDefault="003D5A3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9041424" w14:textId="77777777" w:rsidR="003D5A35" w:rsidRPr="00AC3823" w:rsidRDefault="003D5A35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7B9173AE" w14:textId="77777777" w:rsidR="003D5A35" w:rsidRPr="00AC3823" w:rsidRDefault="003D5A35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65C7F" w14:textId="15BA7E56" w:rsidR="000B621D" w:rsidRPr="000B621D" w:rsidRDefault="000B621D">
    <w:pPr>
      <w:pStyle w:val="Header"/>
    </w:pPr>
    <w:fldSimple w:instr=" TITLE  \* MERGEFORMAT ">
      <w:r w:rsidR="0076106F">
        <w:t>ECE/TRANS/WP.11/2023/14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BE69D" w14:textId="00C60989" w:rsidR="000B621D" w:rsidRPr="000B621D" w:rsidRDefault="000B621D" w:rsidP="000B621D">
    <w:pPr>
      <w:pStyle w:val="Header"/>
      <w:jc w:val="right"/>
    </w:pPr>
    <w:fldSimple w:instr=" TITLE  \* MERGEFORMAT ">
      <w:r w:rsidR="0076106F">
        <w:t>ECE/TRANS/WP.11/2023/14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1589656056">
    <w:abstractNumId w:val="12"/>
  </w:num>
  <w:num w:numId="2" w16cid:durableId="1179850055">
    <w:abstractNumId w:val="11"/>
  </w:num>
  <w:num w:numId="3" w16cid:durableId="115568054">
    <w:abstractNumId w:val="10"/>
  </w:num>
  <w:num w:numId="4" w16cid:durableId="1544635711">
    <w:abstractNumId w:val="8"/>
  </w:num>
  <w:num w:numId="5" w16cid:durableId="237904528">
    <w:abstractNumId w:val="3"/>
  </w:num>
  <w:num w:numId="6" w16cid:durableId="98262069">
    <w:abstractNumId w:val="2"/>
  </w:num>
  <w:num w:numId="7" w16cid:durableId="1693460049">
    <w:abstractNumId w:val="1"/>
  </w:num>
  <w:num w:numId="8" w16cid:durableId="1863548106">
    <w:abstractNumId w:val="0"/>
  </w:num>
  <w:num w:numId="9" w16cid:durableId="1275749046">
    <w:abstractNumId w:val="9"/>
  </w:num>
  <w:num w:numId="10" w16cid:durableId="812260129">
    <w:abstractNumId w:val="7"/>
  </w:num>
  <w:num w:numId="11" w16cid:durableId="2130467139">
    <w:abstractNumId w:val="6"/>
  </w:num>
  <w:num w:numId="12" w16cid:durableId="20282466">
    <w:abstractNumId w:val="5"/>
  </w:num>
  <w:num w:numId="13" w16cid:durableId="1432510286">
    <w:abstractNumId w:val="4"/>
  </w:num>
  <w:num w:numId="14" w16cid:durableId="1096711945">
    <w:abstractNumId w:val="12"/>
  </w:num>
  <w:num w:numId="15" w16cid:durableId="215162766">
    <w:abstractNumId w:val="11"/>
  </w:num>
  <w:num w:numId="16" w16cid:durableId="63506419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revisionView w:inkAnnotations="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A35"/>
    <w:rsid w:val="00017F94"/>
    <w:rsid w:val="00023842"/>
    <w:rsid w:val="000334F9"/>
    <w:rsid w:val="00045FEB"/>
    <w:rsid w:val="0007796D"/>
    <w:rsid w:val="000B621D"/>
    <w:rsid w:val="000B7790"/>
    <w:rsid w:val="00111F2F"/>
    <w:rsid w:val="0014365E"/>
    <w:rsid w:val="00143C66"/>
    <w:rsid w:val="00176178"/>
    <w:rsid w:val="001F525A"/>
    <w:rsid w:val="00201148"/>
    <w:rsid w:val="00223272"/>
    <w:rsid w:val="0024779E"/>
    <w:rsid w:val="00257168"/>
    <w:rsid w:val="002744B8"/>
    <w:rsid w:val="002832AC"/>
    <w:rsid w:val="002D7C93"/>
    <w:rsid w:val="00305801"/>
    <w:rsid w:val="003916DE"/>
    <w:rsid w:val="003D5A35"/>
    <w:rsid w:val="00421996"/>
    <w:rsid w:val="00441C3B"/>
    <w:rsid w:val="00446FE5"/>
    <w:rsid w:val="00452396"/>
    <w:rsid w:val="00477EB2"/>
    <w:rsid w:val="004837D8"/>
    <w:rsid w:val="004E2EED"/>
    <w:rsid w:val="004E468C"/>
    <w:rsid w:val="005505B7"/>
    <w:rsid w:val="00573BE5"/>
    <w:rsid w:val="00586ED3"/>
    <w:rsid w:val="00596AA9"/>
    <w:rsid w:val="00631FCF"/>
    <w:rsid w:val="00643CB7"/>
    <w:rsid w:val="0071601D"/>
    <w:rsid w:val="0076106F"/>
    <w:rsid w:val="007A62E6"/>
    <w:rsid w:val="007F20FA"/>
    <w:rsid w:val="0080684C"/>
    <w:rsid w:val="00871C75"/>
    <w:rsid w:val="008776DC"/>
    <w:rsid w:val="008D5EF9"/>
    <w:rsid w:val="009446C0"/>
    <w:rsid w:val="009705C8"/>
    <w:rsid w:val="009C1CF4"/>
    <w:rsid w:val="009F6B74"/>
    <w:rsid w:val="00A3029F"/>
    <w:rsid w:val="00A30353"/>
    <w:rsid w:val="00AC3823"/>
    <w:rsid w:val="00AE323C"/>
    <w:rsid w:val="00AF0CB5"/>
    <w:rsid w:val="00B00181"/>
    <w:rsid w:val="00B00B0D"/>
    <w:rsid w:val="00B45F2E"/>
    <w:rsid w:val="00B765F7"/>
    <w:rsid w:val="00B77993"/>
    <w:rsid w:val="00B9076F"/>
    <w:rsid w:val="00BA0CA9"/>
    <w:rsid w:val="00C02897"/>
    <w:rsid w:val="00C97039"/>
    <w:rsid w:val="00CD3F5B"/>
    <w:rsid w:val="00D3439C"/>
    <w:rsid w:val="00D7622E"/>
    <w:rsid w:val="00DB1831"/>
    <w:rsid w:val="00DD3BFD"/>
    <w:rsid w:val="00DF6678"/>
    <w:rsid w:val="00E0299A"/>
    <w:rsid w:val="00E85C74"/>
    <w:rsid w:val="00EA6547"/>
    <w:rsid w:val="00ED723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DA29A4"/>
  <w15:docId w15:val="{9BCFB47A-3701-4FE8-84D0-E787D659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E0299A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B77993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B77993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"/>
    <w:basedOn w:val="DefaultParagraphFon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E0299A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E0299A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E0299A"/>
  </w:style>
  <w:style w:type="character" w:customStyle="1" w:styleId="EndnoteTextChar">
    <w:name w:val="Endnote Text Char"/>
    <w:aliases w:val="2_G Char"/>
    <w:basedOn w:val="DefaultParagraphFont"/>
    <w:link w:val="EndnoteText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0B621D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10</TotalTime>
  <Pages>2</Pages>
  <Words>411</Words>
  <Characters>2347</Characters>
  <Application>Microsoft Office Word</Application>
  <DocSecurity>0</DocSecurity>
  <Lines>66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ECE/TRANS/WP.11/2023/14</vt:lpstr>
      <vt:lpstr/>
    </vt:vector>
  </TitlesOfParts>
  <Company>DCM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ECE/TRANS/WP.11/2023/14</dc:title>
  <dc:subject/>
  <dc:creator>Luisa PENA-MONTERO</dc:creator>
  <cp:keywords/>
  <cp:lastModifiedBy>Luisa PENA-MONTERO</cp:lastModifiedBy>
  <cp:revision>3</cp:revision>
  <cp:lastPrinted>2023-08-18T07:20:00Z</cp:lastPrinted>
  <dcterms:created xsi:type="dcterms:W3CDTF">2023-08-18T07:20:00Z</dcterms:created>
  <dcterms:modified xsi:type="dcterms:W3CDTF">2023-08-18T07:21:00Z</dcterms:modified>
</cp:coreProperties>
</file>