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7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F1AB4" w:rsidRPr="00525E6C" w14:paraId="69422C9F" w14:textId="77777777" w:rsidTr="003F1AB4">
        <w:trPr>
          <w:cantSplit/>
          <w:trHeight w:hRule="exact" w:val="851"/>
        </w:trPr>
        <w:tc>
          <w:tcPr>
            <w:tcW w:w="1276" w:type="dxa"/>
            <w:tcBorders>
              <w:bottom w:val="single" w:sz="4" w:space="0" w:color="auto"/>
            </w:tcBorders>
            <w:shd w:val="clear" w:color="auto" w:fill="auto"/>
            <w:vAlign w:val="bottom"/>
          </w:tcPr>
          <w:p w14:paraId="3E1C842F" w14:textId="77777777" w:rsidR="003F1AB4" w:rsidRPr="00525E6C" w:rsidRDefault="003F1AB4" w:rsidP="003F1AB4">
            <w:pPr>
              <w:spacing w:after="80"/>
            </w:pPr>
            <w:r w:rsidRPr="00525E6C">
              <w:t xml:space="preserve">  </w:t>
            </w:r>
          </w:p>
        </w:tc>
        <w:tc>
          <w:tcPr>
            <w:tcW w:w="2268" w:type="dxa"/>
            <w:tcBorders>
              <w:bottom w:val="single" w:sz="4" w:space="0" w:color="auto"/>
            </w:tcBorders>
            <w:shd w:val="clear" w:color="auto" w:fill="auto"/>
            <w:vAlign w:val="bottom"/>
          </w:tcPr>
          <w:p w14:paraId="6707C714" w14:textId="77777777" w:rsidR="003F1AB4" w:rsidRPr="00525E6C" w:rsidRDefault="003F1AB4" w:rsidP="003F1AB4">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306D3976" w14:textId="02A2086F" w:rsidR="003F1AB4" w:rsidRPr="003E26D5" w:rsidRDefault="003F1AB4" w:rsidP="003F1AB4">
            <w:pPr>
              <w:jc w:val="right"/>
            </w:pPr>
            <w:r w:rsidRPr="003E26D5">
              <w:rPr>
                <w:sz w:val="40"/>
              </w:rPr>
              <w:t>ECE</w:t>
            </w:r>
            <w:r w:rsidRPr="003E26D5">
              <w:t>/TRANS/WP.29/GRE/202</w:t>
            </w:r>
            <w:r w:rsidR="00723A10" w:rsidRPr="003E26D5">
              <w:t>3</w:t>
            </w:r>
            <w:r w:rsidRPr="003E26D5">
              <w:t>/</w:t>
            </w:r>
            <w:r w:rsidR="003E26D5" w:rsidRPr="003E26D5">
              <w:t>15</w:t>
            </w:r>
          </w:p>
        </w:tc>
      </w:tr>
      <w:tr w:rsidR="003F1AB4" w:rsidRPr="00525E6C" w14:paraId="6AF415C9" w14:textId="77777777" w:rsidTr="003F1AB4">
        <w:trPr>
          <w:cantSplit/>
          <w:trHeight w:hRule="exact" w:val="2835"/>
        </w:trPr>
        <w:tc>
          <w:tcPr>
            <w:tcW w:w="1276" w:type="dxa"/>
            <w:tcBorders>
              <w:top w:val="single" w:sz="4" w:space="0" w:color="auto"/>
              <w:bottom w:val="single" w:sz="12" w:space="0" w:color="auto"/>
            </w:tcBorders>
            <w:shd w:val="clear" w:color="auto" w:fill="auto"/>
          </w:tcPr>
          <w:p w14:paraId="2AB6B7EA" w14:textId="77777777" w:rsidR="003F1AB4" w:rsidRPr="00525E6C" w:rsidRDefault="003F1AB4" w:rsidP="003F1AB4">
            <w:pPr>
              <w:spacing w:before="120"/>
            </w:pPr>
            <w:r w:rsidRPr="00525E6C">
              <w:rPr>
                <w:noProof/>
                <w:lang w:val="en-US" w:eastAsia="zh-CN"/>
              </w:rPr>
              <w:drawing>
                <wp:inline distT="0" distB="0" distL="0" distR="0" wp14:anchorId="30F4A15A" wp14:editId="33DED1BD">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EBA51EB" w14:textId="77777777" w:rsidR="003F1AB4" w:rsidRPr="00525E6C" w:rsidRDefault="003F1AB4" w:rsidP="003F1AB4">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0CE569E8" w14:textId="77777777" w:rsidR="003F1AB4" w:rsidRPr="003E26D5" w:rsidRDefault="003F1AB4" w:rsidP="003F1AB4">
            <w:pPr>
              <w:spacing w:before="240" w:line="240" w:lineRule="exact"/>
            </w:pPr>
            <w:r w:rsidRPr="003E26D5">
              <w:t>Distr.: General</w:t>
            </w:r>
          </w:p>
          <w:p w14:paraId="581CB256" w14:textId="3C3CD472" w:rsidR="003F1AB4" w:rsidRPr="003E26D5" w:rsidRDefault="0032084C" w:rsidP="003F1AB4">
            <w:pPr>
              <w:spacing w:line="240" w:lineRule="exact"/>
            </w:pPr>
            <w:r>
              <w:rPr>
                <w:lang w:val="en-US"/>
              </w:rPr>
              <w:t>7</w:t>
            </w:r>
            <w:r w:rsidR="002C1939" w:rsidRPr="003E26D5">
              <w:rPr>
                <w:lang w:val="en-US"/>
              </w:rPr>
              <w:t xml:space="preserve"> </w:t>
            </w:r>
            <w:r w:rsidR="00F3615B" w:rsidRPr="003E26D5">
              <w:rPr>
                <w:lang w:val="en-US"/>
              </w:rPr>
              <w:t>August</w:t>
            </w:r>
            <w:r w:rsidR="002C1939" w:rsidRPr="003E26D5">
              <w:rPr>
                <w:lang w:val="en-US"/>
              </w:rPr>
              <w:t xml:space="preserve"> </w:t>
            </w:r>
            <w:r w:rsidR="003F1AB4" w:rsidRPr="003E26D5">
              <w:rPr>
                <w:lang w:val="en-US"/>
              </w:rPr>
              <w:t>202</w:t>
            </w:r>
            <w:r w:rsidR="00723A10" w:rsidRPr="003E26D5">
              <w:rPr>
                <w:lang w:val="en-US"/>
              </w:rPr>
              <w:t>3</w:t>
            </w:r>
          </w:p>
          <w:p w14:paraId="5FF26AE7" w14:textId="77777777" w:rsidR="003F1AB4" w:rsidRPr="003E26D5" w:rsidRDefault="003F1AB4" w:rsidP="003F1AB4">
            <w:pPr>
              <w:spacing w:line="240" w:lineRule="exact"/>
            </w:pPr>
          </w:p>
          <w:p w14:paraId="71FBFBB4" w14:textId="77777777" w:rsidR="003F1AB4" w:rsidRPr="003E26D5" w:rsidRDefault="003F1AB4" w:rsidP="003F1AB4">
            <w:pPr>
              <w:spacing w:line="240" w:lineRule="exact"/>
            </w:pPr>
            <w:r w:rsidRPr="003E26D5">
              <w:t>Original: English</w:t>
            </w:r>
          </w:p>
        </w:tc>
      </w:tr>
    </w:tbl>
    <w:p w14:paraId="32D3E06F" w14:textId="02D961C5" w:rsidR="00732AD2" w:rsidRPr="00525E6C" w:rsidRDefault="00732AD2" w:rsidP="00732AD2">
      <w:pPr>
        <w:spacing w:before="120"/>
        <w:rPr>
          <w:b/>
          <w:sz w:val="28"/>
          <w:szCs w:val="28"/>
        </w:rPr>
      </w:pPr>
      <w:r w:rsidRPr="00525E6C">
        <w:rPr>
          <w:b/>
          <w:sz w:val="28"/>
          <w:szCs w:val="28"/>
        </w:rPr>
        <w:t>Economic Commission for Europe</w:t>
      </w:r>
    </w:p>
    <w:p w14:paraId="0555DAE5" w14:textId="77777777" w:rsidR="00732AD2" w:rsidRPr="00525E6C" w:rsidRDefault="00732AD2" w:rsidP="00732AD2">
      <w:pPr>
        <w:spacing w:before="120"/>
        <w:rPr>
          <w:sz w:val="28"/>
          <w:szCs w:val="28"/>
        </w:rPr>
      </w:pPr>
      <w:r w:rsidRPr="00525E6C">
        <w:rPr>
          <w:sz w:val="28"/>
          <w:szCs w:val="28"/>
        </w:rPr>
        <w:t>Inland Transport Committee</w:t>
      </w:r>
    </w:p>
    <w:p w14:paraId="49BB2B21"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2C7263B6" w14:textId="77777777" w:rsidR="00732AD2" w:rsidRPr="00525E6C" w:rsidRDefault="00732AD2" w:rsidP="00732AD2">
      <w:pPr>
        <w:spacing w:before="120" w:after="120"/>
        <w:rPr>
          <w:b/>
          <w:bCs/>
        </w:rPr>
      </w:pPr>
      <w:r w:rsidRPr="00525E6C">
        <w:rPr>
          <w:b/>
          <w:bCs/>
        </w:rPr>
        <w:t>Working Party on Lighting and Light-Signalling</w:t>
      </w:r>
    </w:p>
    <w:p w14:paraId="66E7E7D6" w14:textId="77777777" w:rsidR="00723A10" w:rsidRPr="00F61414" w:rsidRDefault="00723A10" w:rsidP="00723A10">
      <w:pPr>
        <w:ind w:right="1134"/>
        <w:rPr>
          <w:b/>
        </w:rPr>
      </w:pPr>
      <w:r w:rsidRPr="00F61414">
        <w:rPr>
          <w:b/>
        </w:rPr>
        <w:t>Eighty-</w:t>
      </w:r>
      <w:r>
        <w:rPr>
          <w:b/>
        </w:rPr>
        <w:t>ninth</w:t>
      </w:r>
      <w:r w:rsidRPr="00F61414">
        <w:rPr>
          <w:b/>
        </w:rPr>
        <w:t xml:space="preserve"> session</w:t>
      </w:r>
    </w:p>
    <w:p w14:paraId="69B5D8C0" w14:textId="77777777" w:rsidR="00723A10" w:rsidRPr="00F61414" w:rsidRDefault="00723A10" w:rsidP="00723A10">
      <w:pPr>
        <w:ind w:right="1134"/>
      </w:pPr>
      <w:r w:rsidRPr="00F61414">
        <w:t xml:space="preserve">Geneva, </w:t>
      </w:r>
      <w:r>
        <w:t xml:space="preserve">24-27 October </w:t>
      </w:r>
      <w:r w:rsidRPr="00F61414">
        <w:t>202</w:t>
      </w:r>
      <w:r>
        <w:t>3</w:t>
      </w:r>
    </w:p>
    <w:p w14:paraId="0049400E" w14:textId="7EC0171C" w:rsidR="00723A10" w:rsidRPr="00F61414" w:rsidRDefault="00723A10" w:rsidP="00723A10">
      <w:pPr>
        <w:ind w:right="1134"/>
        <w:rPr>
          <w:bCs/>
        </w:rPr>
      </w:pPr>
      <w:r w:rsidRPr="00DF7AE2">
        <w:rPr>
          <w:bCs/>
        </w:rPr>
        <w:t>Item</w:t>
      </w:r>
      <w:r w:rsidR="003E26D5" w:rsidRPr="00DF7AE2">
        <w:rPr>
          <w:bCs/>
        </w:rPr>
        <w:t xml:space="preserve"> 4</w:t>
      </w:r>
      <w:r w:rsidRPr="00DF7AE2">
        <w:rPr>
          <w:bCs/>
        </w:rPr>
        <w:t xml:space="preserve"> of</w:t>
      </w:r>
      <w:r w:rsidRPr="00D56693">
        <w:rPr>
          <w:bCs/>
        </w:rPr>
        <w:t xml:space="preserve"> the provisional agenda</w:t>
      </w:r>
    </w:p>
    <w:p w14:paraId="0B5CC20D" w14:textId="7EB4D20B" w:rsidR="003F1AB4" w:rsidRDefault="00DA725B" w:rsidP="00DA725B">
      <w:pPr>
        <w:ind w:right="1467"/>
        <w:jc w:val="both"/>
        <w:rPr>
          <w:b/>
          <w:bCs/>
        </w:rPr>
      </w:pPr>
      <w:r w:rsidRPr="00DA725B">
        <w:rPr>
          <w:b/>
          <w:bCs/>
        </w:rPr>
        <w:t xml:space="preserve">Simplification of lighting and light-signalling </w:t>
      </w:r>
      <w:r w:rsidR="007E2B5F">
        <w:rPr>
          <w:b/>
          <w:bCs/>
        </w:rPr>
        <w:t xml:space="preserve">UN </w:t>
      </w:r>
      <w:r w:rsidRPr="00DA725B">
        <w:rPr>
          <w:b/>
          <w:bCs/>
        </w:rPr>
        <w:t>Regulations</w:t>
      </w:r>
    </w:p>
    <w:p w14:paraId="1BE1B729" w14:textId="692A53E1" w:rsidR="00732AD2" w:rsidRPr="00525E6C" w:rsidRDefault="00732AD2" w:rsidP="003F1AB4">
      <w:pPr>
        <w:pStyle w:val="HChG"/>
      </w:pPr>
      <w:r w:rsidRPr="00525E6C">
        <w:tab/>
      </w:r>
      <w:r w:rsidRPr="00525E6C">
        <w:tab/>
      </w:r>
      <w:r w:rsidR="00723A10">
        <w:t xml:space="preserve">Proposal for a Supplement to the </w:t>
      </w:r>
      <w:r w:rsidR="008E25E5">
        <w:t xml:space="preserve">00 and </w:t>
      </w:r>
      <w:r w:rsidR="00165420">
        <w:t>0</w:t>
      </w:r>
      <w:r w:rsidR="00F1313A">
        <w:t xml:space="preserve">1 </w:t>
      </w:r>
      <w:r w:rsidR="00723A10">
        <w:t>series of amendments to UN Regulation No. </w:t>
      </w:r>
      <w:r w:rsidR="00F1313A">
        <w:t>1</w:t>
      </w:r>
      <w:r w:rsidR="00723A10">
        <w:t>4</w:t>
      </w:r>
      <w:r w:rsidR="008E25E5">
        <w:t>9</w:t>
      </w:r>
    </w:p>
    <w:p w14:paraId="51369146" w14:textId="5E130A3A" w:rsidR="00E317C2" w:rsidRPr="00525E6C" w:rsidRDefault="00E317C2" w:rsidP="00E317C2">
      <w:pPr>
        <w:pStyle w:val="H1G"/>
        <w:rPr>
          <w:szCs w:val="24"/>
        </w:rPr>
      </w:pPr>
      <w:r>
        <w:tab/>
      </w:r>
      <w:r>
        <w:tab/>
      </w:r>
      <w:r w:rsidRPr="00233C38">
        <w:t>Submitted by the Informal Working Group on Simplification of Lighting and Light-Signalling Regulations</w:t>
      </w:r>
      <w:r w:rsidRPr="00DE7053">
        <w:footnoteReference w:customMarkFollows="1" w:id="2"/>
        <w:t>*</w:t>
      </w:r>
      <w:r w:rsidRPr="00525E6C">
        <w:rPr>
          <w:szCs w:val="24"/>
        </w:rPr>
        <w:t xml:space="preserve"> </w:t>
      </w:r>
    </w:p>
    <w:p w14:paraId="6EDEE3F0" w14:textId="08D62C53" w:rsidR="00723A10" w:rsidRPr="003F1AB4" w:rsidRDefault="00E317C2" w:rsidP="00E317C2">
      <w:pPr>
        <w:pStyle w:val="SingleTxtG"/>
        <w:tabs>
          <w:tab w:val="left" w:pos="8505"/>
        </w:tabs>
        <w:ind w:firstLine="567"/>
        <w:rPr>
          <w:bCs/>
        </w:rPr>
      </w:pPr>
      <w:r w:rsidRPr="00856C69">
        <w:t xml:space="preserve">The text reproduced below was prepared by </w:t>
      </w:r>
      <w:bookmarkStart w:id="0" w:name="_Hlk78276087"/>
      <w:r w:rsidR="003F1AB4">
        <w:t xml:space="preserve">the </w:t>
      </w:r>
      <w:r w:rsidR="003F1AB4" w:rsidRPr="003F1AB4">
        <w:t xml:space="preserve">Informal Working Group on Simplification of Lighting and Light-Signalling Regulations </w:t>
      </w:r>
      <w:r w:rsidR="003F1AB4">
        <w:t>(</w:t>
      </w:r>
      <w:r>
        <w:t>IWG SLR</w:t>
      </w:r>
      <w:r w:rsidR="003F1AB4">
        <w:t>)</w:t>
      </w:r>
      <w:r>
        <w:t xml:space="preserve"> </w:t>
      </w:r>
      <w:bookmarkEnd w:id="0"/>
      <w:r w:rsidRPr="008357CC">
        <w:rPr>
          <w:lang w:val="en-US"/>
        </w:rPr>
        <w:t xml:space="preserve">with the aim </w:t>
      </w:r>
      <w:r w:rsidR="00F1313A">
        <w:rPr>
          <w:lang w:val="en-US"/>
        </w:rPr>
        <w:t xml:space="preserve">to clarify and to correct the text of the </w:t>
      </w:r>
      <w:r w:rsidR="008E25E5">
        <w:rPr>
          <w:lang w:val="en-US"/>
        </w:rPr>
        <w:t xml:space="preserve">00 and </w:t>
      </w:r>
      <w:r w:rsidR="00F1313A">
        <w:rPr>
          <w:lang w:val="en-US"/>
        </w:rPr>
        <w:t xml:space="preserve">01 series of amendments </w:t>
      </w:r>
      <w:r w:rsidR="00F1313A">
        <w:t>to</w:t>
      </w:r>
      <w:r w:rsidR="00F1313A">
        <w:rPr>
          <w:lang w:val="en-US"/>
        </w:rPr>
        <w:t xml:space="preserve"> UN Regulation No.</w:t>
      </w:r>
      <w:r w:rsidR="008E25E5">
        <w:rPr>
          <w:lang w:val="en-US"/>
        </w:rPr>
        <w:t> </w:t>
      </w:r>
      <w:r w:rsidR="00F1313A">
        <w:rPr>
          <w:lang w:val="en-US"/>
        </w:rPr>
        <w:t>14</w:t>
      </w:r>
      <w:r w:rsidR="008E25E5">
        <w:rPr>
          <w:lang w:val="en-US"/>
        </w:rPr>
        <w:t>9</w:t>
      </w:r>
      <w:r w:rsidR="006D181F">
        <w:rPr>
          <w:lang w:val="en-US"/>
        </w:rPr>
        <w:t>.</w:t>
      </w:r>
      <w:r w:rsidR="00F1313A">
        <w:rPr>
          <w:lang w:val="en-US"/>
        </w:rPr>
        <w:t xml:space="preserve"> </w:t>
      </w:r>
      <w:r w:rsidR="00723A10" w:rsidRPr="00AA18F7">
        <w:t>The</w:t>
      </w:r>
      <w:r w:rsidR="00723A10">
        <w:t xml:space="preserve"> proposed</w:t>
      </w:r>
      <w:r w:rsidR="00723A10" w:rsidRPr="00AA18F7">
        <w:t xml:space="preserve"> modifications to the current text of the </w:t>
      </w:r>
      <w:r w:rsidR="00723A10">
        <w:t xml:space="preserve">UN </w:t>
      </w:r>
      <w:r w:rsidR="00723A10" w:rsidRPr="00AA18F7">
        <w:t>Regulation</w:t>
      </w:r>
      <w:r w:rsidR="00723A10">
        <w:t>s</w:t>
      </w:r>
      <w:r w:rsidR="00723A10" w:rsidRPr="00AA18F7">
        <w:t xml:space="preserve"> are marked in bold for new or strikethrough for deleted characters</w:t>
      </w:r>
      <w:r w:rsidR="00723A10">
        <w:t>.</w:t>
      </w:r>
    </w:p>
    <w:p w14:paraId="20CA5035" w14:textId="77777777" w:rsidR="0053129E" w:rsidRPr="00525E6C" w:rsidRDefault="0053129E" w:rsidP="0053129E">
      <w:pPr>
        <w:rPr>
          <w:lang w:val="en-US"/>
        </w:rPr>
        <w:sectPr w:rsidR="0053129E" w:rsidRPr="00525E6C" w:rsidSect="003F1AB4">
          <w:footerReference w:type="even" r:id="rId12"/>
          <w:footerReference w:type="default" r:id="rId13"/>
          <w:footerReference w:type="first" r:id="rId14"/>
          <w:pgSz w:w="11906" w:h="16838" w:code="9"/>
          <w:pgMar w:top="1418" w:right="1134" w:bottom="1134" w:left="1134" w:header="851" w:footer="567" w:gutter="0"/>
          <w:cols w:space="720"/>
          <w:docGrid w:linePitch="272"/>
        </w:sectPr>
      </w:pPr>
    </w:p>
    <w:p w14:paraId="0C73D301" w14:textId="77777777" w:rsidR="00E048CF" w:rsidRDefault="00914CE3" w:rsidP="00AC6294">
      <w:pPr>
        <w:pStyle w:val="HChG"/>
        <w:spacing w:before="240"/>
      </w:pPr>
      <w:r w:rsidRPr="00525E6C">
        <w:lastRenderedPageBreak/>
        <w:tab/>
      </w:r>
      <w:r w:rsidR="00E048CF" w:rsidRPr="00525E6C">
        <w:t>I.</w:t>
      </w:r>
      <w:r w:rsidR="00E048CF" w:rsidRPr="00525E6C">
        <w:tab/>
        <w:t>Proposal</w:t>
      </w:r>
    </w:p>
    <w:p w14:paraId="76036B85" w14:textId="401DFF62" w:rsidR="00164C92" w:rsidRPr="00CB28A9" w:rsidRDefault="00164C92" w:rsidP="00164C92">
      <w:pPr>
        <w:pStyle w:val="H1G"/>
        <w:ind w:hanging="425"/>
        <w:jc w:val="both"/>
      </w:pPr>
      <w:r>
        <w:rPr>
          <w:rFonts w:eastAsia="SimSun"/>
        </w:rPr>
        <w:t>A.</w:t>
      </w:r>
      <w:r>
        <w:rPr>
          <w:rFonts w:eastAsia="SimSun"/>
        </w:rPr>
        <w:tab/>
        <w:t>Proposal for a Supplement to the 00 series of amendments to UN Regulation No. 149</w:t>
      </w:r>
    </w:p>
    <w:p w14:paraId="7C878187" w14:textId="77777777" w:rsidR="00164C92" w:rsidRPr="00D358B2" w:rsidRDefault="00164C92" w:rsidP="00164C92">
      <w:pPr>
        <w:spacing w:after="120"/>
        <w:ind w:left="2268" w:right="1134" w:hanging="1134"/>
      </w:pPr>
      <w:r w:rsidRPr="00164C92">
        <w:rPr>
          <w:i/>
        </w:rPr>
        <w:t>Paragraph</w:t>
      </w:r>
      <w:r w:rsidRPr="00D358B2">
        <w:rPr>
          <w:i/>
          <w:iCs/>
        </w:rPr>
        <w:t xml:space="preserve"> 3.2.2.,</w:t>
      </w:r>
      <w:r w:rsidRPr="00D358B2">
        <w:t xml:space="preserve"> amend to read:</w:t>
      </w:r>
    </w:p>
    <w:p w14:paraId="75810D87" w14:textId="77777777" w:rsidR="00164C92" w:rsidRPr="001D50C4" w:rsidRDefault="00164C92" w:rsidP="00164C92">
      <w:pPr>
        <w:spacing w:after="120"/>
        <w:ind w:left="2268" w:right="1134" w:hanging="1134"/>
        <w:jc w:val="both"/>
        <w:rPr>
          <w:lang w:val="en-US"/>
        </w:rPr>
      </w:pPr>
      <w:r w:rsidRPr="001D50C4">
        <w:rPr>
          <w:lang w:val="en-US"/>
        </w:rPr>
        <w:t>“3.2.2.</w:t>
      </w:r>
      <w:r w:rsidRPr="001D50C4">
        <w:rPr>
          <w:lang w:val="en-US"/>
        </w:rPr>
        <w:tab/>
        <w:t xml:space="preserve">An approval number shall be assigned to each type approved and shall be marked on the device following the requirements of paragraph 3.3. The same Contracting Party shall not assign the same number to another type of device covered by this Regulation </w:t>
      </w:r>
      <w:r w:rsidRPr="001D50C4">
        <w:rPr>
          <w:b/>
          <w:bCs/>
          <w:lang w:val="en-US"/>
        </w:rPr>
        <w:t>except in the case of an extension of the approval to a front fog lamp differing only in the colour of the light emitted</w:t>
      </w:r>
      <w:r>
        <w:rPr>
          <w:b/>
          <w:bCs/>
          <w:lang w:val="en-US"/>
        </w:rPr>
        <w:t xml:space="preserve"> by the lamp</w:t>
      </w:r>
      <w:r w:rsidRPr="001D50C4">
        <w:rPr>
          <w:lang w:val="en-US"/>
        </w:rPr>
        <w:t>.”</w:t>
      </w:r>
    </w:p>
    <w:p w14:paraId="6CA055FB" w14:textId="37E457F6" w:rsidR="00164C92" w:rsidRPr="00CB28A9" w:rsidRDefault="00164C92" w:rsidP="00164C92">
      <w:pPr>
        <w:pStyle w:val="H1G"/>
        <w:ind w:hanging="425"/>
        <w:jc w:val="both"/>
      </w:pPr>
      <w:r>
        <w:rPr>
          <w:rFonts w:eastAsia="SimSun"/>
        </w:rPr>
        <w:t>B.</w:t>
      </w:r>
      <w:r>
        <w:rPr>
          <w:rFonts w:eastAsia="SimSun"/>
        </w:rPr>
        <w:tab/>
        <w:t>Proposal for a Supplement to the 01 series of amendments to UN Regulation No. 149</w:t>
      </w:r>
    </w:p>
    <w:p w14:paraId="2D230C25" w14:textId="77777777" w:rsidR="00164C92" w:rsidRPr="00A03E55" w:rsidRDefault="00164C92" w:rsidP="00164C92">
      <w:pPr>
        <w:spacing w:after="120"/>
        <w:ind w:left="2268" w:right="1134" w:hanging="1134"/>
        <w:rPr>
          <w:lang w:val="en-US"/>
        </w:rPr>
      </w:pPr>
      <w:r w:rsidRPr="00164C92">
        <w:rPr>
          <w:i/>
        </w:rPr>
        <w:t>Paragraph</w:t>
      </w:r>
      <w:r w:rsidRPr="00DB2A15">
        <w:rPr>
          <w:i/>
          <w:iCs/>
          <w:lang w:val="en-US"/>
        </w:rPr>
        <w:t xml:space="preserve"> 3.2.,</w:t>
      </w:r>
      <w:r w:rsidRPr="00DB2A15">
        <w:rPr>
          <w:lang w:val="en-US"/>
        </w:rPr>
        <w:t xml:space="preserve"> amend to read</w:t>
      </w:r>
      <w:r w:rsidRPr="00A03E55">
        <w:rPr>
          <w:i/>
          <w:iCs/>
          <w:lang w:val="en-US"/>
        </w:rPr>
        <w:t>:</w:t>
      </w:r>
    </w:p>
    <w:p w14:paraId="3495B631" w14:textId="77777777" w:rsidR="00164C92" w:rsidRPr="00B313F8" w:rsidRDefault="00164C92" w:rsidP="00164C92">
      <w:pPr>
        <w:pStyle w:val="2para2ndlevel"/>
      </w:pPr>
      <w:r w:rsidRPr="00A03E55">
        <w:rPr>
          <w:lang w:val="en-US"/>
        </w:rPr>
        <w:t>“</w:t>
      </w:r>
      <w:r w:rsidRPr="00B313F8">
        <w:t>3.2.</w:t>
      </w:r>
      <w:r w:rsidRPr="00B313F8">
        <w:tab/>
        <w:t>Approval</w:t>
      </w:r>
    </w:p>
    <w:p w14:paraId="6E7B4BF7" w14:textId="77777777" w:rsidR="00164C92" w:rsidRPr="00B313F8" w:rsidRDefault="00164C92" w:rsidP="00164C92">
      <w:pPr>
        <w:spacing w:after="120"/>
        <w:ind w:left="2268" w:right="1134"/>
        <w:jc w:val="both"/>
      </w:pPr>
      <w:r w:rsidRPr="00B313F8">
        <w:t xml:space="preserve">A separate approval is required for each lamp </w:t>
      </w:r>
      <w:r w:rsidRPr="00B313F8">
        <w:rPr>
          <w:b/>
          <w:bCs/>
          <w:strike/>
        </w:rPr>
        <w:t>(function)</w:t>
      </w:r>
      <w:r w:rsidRPr="00B313F8">
        <w:t xml:space="preserve"> listed in </w:t>
      </w:r>
      <w:r w:rsidRPr="00B313F8">
        <w:rPr>
          <w:b/>
          <w:bCs/>
          <w:strike/>
        </w:rPr>
        <w:t>Table</w:t>
      </w:r>
      <w:r w:rsidRPr="00B313F8">
        <w:rPr>
          <w:b/>
          <w:bCs/>
        </w:rPr>
        <w:t xml:space="preserve"> </w:t>
      </w:r>
      <w:r>
        <w:rPr>
          <w:b/>
          <w:bCs/>
        </w:rPr>
        <w:t xml:space="preserve">paragraph </w:t>
      </w:r>
      <w:r w:rsidRPr="00B313F8">
        <w:t>1.</w:t>
      </w:r>
    </w:p>
    <w:p w14:paraId="0B1E3E97" w14:textId="77777777" w:rsidR="00164C92" w:rsidRPr="00B313F8" w:rsidRDefault="00164C92" w:rsidP="00164C92">
      <w:pPr>
        <w:spacing w:after="120"/>
        <w:ind w:left="2268" w:right="1134"/>
        <w:jc w:val="both"/>
      </w:pPr>
      <w:r w:rsidRPr="00B313F8">
        <w:t xml:space="preserve">When two or more lamps are part of the same assembly of grouped, </w:t>
      </w:r>
      <w:proofErr w:type="gramStart"/>
      <w:r w:rsidRPr="00B313F8">
        <w:t>combined</w:t>
      </w:r>
      <w:proofErr w:type="gramEnd"/>
      <w:r w:rsidRPr="00B313F8">
        <w:t xml:space="preserve"> or reciprocally incorporated lamps, approval is granted only if each of these lamps satisfies the requirements of this Regulation or of another Regulation. Lamps not satisfying any one of those Regulations shall not be part of such an assembly of grouped, </w:t>
      </w:r>
      <w:proofErr w:type="gramStart"/>
      <w:r w:rsidRPr="00B313F8">
        <w:t>combined</w:t>
      </w:r>
      <w:proofErr w:type="gramEnd"/>
      <w:r w:rsidRPr="00B313F8">
        <w:t xml:space="preserve"> or reciprocally incorporated lamps.</w:t>
      </w:r>
      <w:r>
        <w:rPr>
          <w:lang w:val="en-US"/>
        </w:rPr>
        <w:t>”</w:t>
      </w:r>
    </w:p>
    <w:p w14:paraId="2621ACFD" w14:textId="77777777" w:rsidR="00164C92" w:rsidRDefault="00164C92" w:rsidP="00164C92">
      <w:pPr>
        <w:spacing w:after="120"/>
        <w:ind w:left="2268" w:right="1134" w:hanging="1134"/>
      </w:pPr>
      <w:r w:rsidRPr="00164C92">
        <w:rPr>
          <w:i/>
        </w:rPr>
        <w:t>Paragraph</w:t>
      </w:r>
      <w:r>
        <w:rPr>
          <w:i/>
          <w:iCs/>
        </w:rPr>
        <w:t xml:space="preserve"> 5.3.3.4.</w:t>
      </w:r>
      <w:r>
        <w:t>, amend to read:</w:t>
      </w:r>
    </w:p>
    <w:p w14:paraId="215DEF73" w14:textId="77777777" w:rsidR="00164C92" w:rsidRDefault="00164C92" w:rsidP="00164C92">
      <w:pPr>
        <w:pStyle w:val="4Para4thlevel"/>
      </w:pPr>
      <w:r>
        <w:t>“5.3.3.4.</w:t>
      </w:r>
      <w:r>
        <w:tab/>
        <w:t xml:space="preserve">The system shall be so made that the lighting unit(s) of the right side and of the left side each provide at least </w:t>
      </w:r>
      <w:r>
        <w:rPr>
          <w:strike/>
        </w:rPr>
        <w:t>1.62</w:t>
      </w:r>
      <w:r>
        <w:rPr>
          <w:b/>
          <w:bCs/>
        </w:rPr>
        <w:t>1.60</w:t>
      </w:r>
      <w:r>
        <w:t>∙10</w:t>
      </w:r>
      <w:r>
        <w:rPr>
          <w:vertAlign w:val="superscript"/>
        </w:rPr>
        <w:t>4</w:t>
      </w:r>
      <w:r>
        <w:t xml:space="preserve"> cd at the point HV. In case of ADB for vehicles of category L</w:t>
      </w:r>
      <w:r>
        <w:rPr>
          <w:vertAlign w:val="subscript"/>
        </w:rPr>
        <w:t>3</w:t>
      </w:r>
      <w:r>
        <w:t>, each installation unit</w:t>
      </w:r>
      <w:r>
        <w:rPr>
          <w:strike/>
        </w:rPr>
        <w:t>(s)</w:t>
      </w:r>
      <w:r>
        <w:t xml:space="preserve"> shall provide at least </w:t>
      </w:r>
      <w:r>
        <w:rPr>
          <w:strike/>
        </w:rPr>
        <w:t>1.62</w:t>
      </w:r>
      <w:r>
        <w:rPr>
          <w:b/>
          <w:bCs/>
        </w:rPr>
        <w:t>1.60</w:t>
      </w:r>
      <w:r>
        <w:rPr>
          <w:lang w:val="en-US"/>
        </w:rPr>
        <w:t>∙10</w:t>
      </w:r>
      <w:r>
        <w:rPr>
          <w:vertAlign w:val="superscript"/>
          <w:lang w:val="en-US"/>
        </w:rPr>
        <w:t>4</w:t>
      </w:r>
      <w:r>
        <w:t xml:space="preserve"> cd at the point HV.”</w:t>
      </w:r>
    </w:p>
    <w:p w14:paraId="3D1004D1" w14:textId="77777777" w:rsidR="00164C92" w:rsidRDefault="00164C92" w:rsidP="00164C92">
      <w:pPr>
        <w:spacing w:after="120"/>
        <w:ind w:left="2268" w:right="1134" w:hanging="1134"/>
        <w:rPr>
          <w:iCs/>
        </w:rPr>
      </w:pPr>
      <w:r>
        <w:rPr>
          <w:i/>
        </w:rPr>
        <w:t>Table 36, Part B</w:t>
      </w:r>
      <w:r>
        <w:rPr>
          <w:iCs/>
        </w:rPr>
        <w:t>, amend to read:</w:t>
      </w:r>
    </w:p>
    <w:p w14:paraId="2A958937" w14:textId="77777777" w:rsidR="00164C92" w:rsidRDefault="00164C92" w:rsidP="00164C92">
      <w:pPr>
        <w:spacing w:after="120"/>
        <w:ind w:left="2268" w:right="1134" w:hanging="1134"/>
        <w:rPr>
          <w:iCs/>
        </w:rPr>
      </w:pPr>
      <w:r>
        <w:rPr>
          <w:i/>
        </w:rPr>
        <w:t>“…</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6"/>
        <w:gridCol w:w="2823"/>
        <w:gridCol w:w="992"/>
        <w:gridCol w:w="1276"/>
        <w:gridCol w:w="992"/>
        <w:gridCol w:w="942"/>
        <w:gridCol w:w="901"/>
      </w:tblGrid>
      <w:tr w:rsidR="00164C92" w14:paraId="5FACF3E5" w14:textId="77777777" w:rsidTr="004F41B9">
        <w:trPr>
          <w:trHeight w:val="287"/>
          <w:tblHeader/>
        </w:trPr>
        <w:tc>
          <w:tcPr>
            <w:tcW w:w="286" w:type="dxa"/>
            <w:vMerge w:val="restart"/>
            <w:shd w:val="clear" w:color="auto" w:fill="auto"/>
            <w:textDirection w:val="btLr"/>
            <w:vAlign w:val="center"/>
          </w:tcPr>
          <w:p w14:paraId="45BDBACD" w14:textId="77777777" w:rsidR="00164C92" w:rsidRDefault="00164C92" w:rsidP="004F41B9">
            <w:pPr>
              <w:spacing w:before="20" w:after="20" w:line="240" w:lineRule="auto"/>
              <w:ind w:left="113" w:right="113"/>
              <w:jc w:val="center"/>
              <w:rPr>
                <w:sz w:val="18"/>
                <w:szCs w:val="18"/>
              </w:rPr>
            </w:pPr>
            <w:r>
              <w:rPr>
                <w:sz w:val="18"/>
                <w:szCs w:val="18"/>
              </w:rPr>
              <w:t>Part B</w:t>
            </w:r>
          </w:p>
        </w:tc>
        <w:tc>
          <w:tcPr>
            <w:tcW w:w="2823" w:type="dxa"/>
            <w:vMerge w:val="restart"/>
            <w:shd w:val="clear" w:color="auto" w:fill="auto"/>
            <w:vAlign w:val="center"/>
          </w:tcPr>
          <w:p w14:paraId="1AB430AD" w14:textId="77777777" w:rsidR="00164C92" w:rsidRDefault="00164C92" w:rsidP="004F41B9">
            <w:pPr>
              <w:spacing w:before="20" w:after="20" w:line="240" w:lineRule="auto"/>
              <w:jc w:val="center"/>
              <w:rPr>
                <w:b/>
                <w:bCs/>
                <w:i/>
                <w:iCs/>
                <w:sz w:val="16"/>
                <w:szCs w:val="16"/>
                <w:lang w:val="en-US"/>
              </w:rPr>
            </w:pPr>
            <w:r>
              <w:rPr>
                <w:b/>
                <w:bCs/>
                <w:i/>
                <w:iCs/>
                <w:sz w:val="16"/>
                <w:szCs w:val="16"/>
                <w:lang w:val="en-US"/>
              </w:rPr>
              <w:t>Element</w:t>
            </w:r>
            <w:r>
              <w:rPr>
                <w:b/>
                <w:bCs/>
                <w:i/>
                <w:sz w:val="16"/>
                <w:szCs w:val="16"/>
              </w:rPr>
              <w:t xml:space="preserve"> </w:t>
            </w:r>
            <w:r>
              <w:rPr>
                <w:b/>
                <w:bCs/>
                <w:i/>
                <w:sz w:val="16"/>
                <w:szCs w:val="16"/>
                <w:vertAlign w:val="superscript"/>
              </w:rPr>
              <w:t>a</w:t>
            </w:r>
          </w:p>
        </w:tc>
        <w:tc>
          <w:tcPr>
            <w:tcW w:w="2268" w:type="dxa"/>
            <w:gridSpan w:val="2"/>
            <w:vMerge w:val="restart"/>
            <w:vAlign w:val="center"/>
          </w:tcPr>
          <w:p w14:paraId="0DBC2D66" w14:textId="77777777" w:rsidR="00164C92" w:rsidRDefault="00164C92" w:rsidP="004F41B9">
            <w:pPr>
              <w:spacing w:before="20" w:after="20" w:line="240" w:lineRule="auto"/>
              <w:jc w:val="center"/>
              <w:rPr>
                <w:rFonts w:eastAsia="HGSGothicM"/>
                <w:b/>
                <w:bCs/>
                <w:i/>
                <w:sz w:val="16"/>
                <w:szCs w:val="16"/>
                <w:lang w:val="en-US"/>
              </w:rPr>
            </w:pPr>
            <w:r>
              <w:rPr>
                <w:rFonts w:eastAsia="HGSGothicM"/>
                <w:b/>
                <w:bCs/>
                <w:i/>
                <w:sz w:val="16"/>
                <w:szCs w:val="16"/>
                <w:lang w:val="en-US"/>
              </w:rPr>
              <w:t>Angular coordinates</w:t>
            </w:r>
          </w:p>
          <w:p w14:paraId="07265FA6" w14:textId="77777777" w:rsidR="00164C92" w:rsidRDefault="00164C92" w:rsidP="004F41B9">
            <w:pPr>
              <w:spacing w:before="20" w:after="20" w:line="240" w:lineRule="auto"/>
              <w:jc w:val="center"/>
              <w:rPr>
                <w:rFonts w:eastAsia="HGSGothicM"/>
                <w:b/>
                <w:bCs/>
                <w:i/>
                <w:sz w:val="16"/>
                <w:szCs w:val="16"/>
                <w:lang w:val="en-US"/>
              </w:rPr>
            </w:pPr>
            <w:r>
              <w:rPr>
                <w:rFonts w:eastAsia="HGSGothicM"/>
                <w:b/>
                <w:bCs/>
                <w:i/>
                <w:sz w:val="16"/>
                <w:szCs w:val="16"/>
                <w:lang w:val="en-US"/>
              </w:rPr>
              <w:t xml:space="preserve"> in </w:t>
            </w:r>
            <w:r>
              <w:rPr>
                <w:b/>
                <w:bCs/>
                <w:i/>
                <w:sz w:val="16"/>
                <w:szCs w:val="16"/>
              </w:rPr>
              <w:t>deg.</w:t>
            </w:r>
          </w:p>
        </w:tc>
        <w:tc>
          <w:tcPr>
            <w:tcW w:w="2835" w:type="dxa"/>
            <w:gridSpan w:val="3"/>
            <w:shd w:val="clear" w:color="auto" w:fill="auto"/>
            <w:vAlign w:val="center"/>
          </w:tcPr>
          <w:p w14:paraId="6630229E" w14:textId="77777777" w:rsidR="00164C92" w:rsidRDefault="00164C92" w:rsidP="004F41B9">
            <w:pPr>
              <w:spacing w:before="20" w:after="20" w:line="240" w:lineRule="auto"/>
              <w:jc w:val="center"/>
              <w:rPr>
                <w:b/>
                <w:bCs/>
                <w:i/>
                <w:sz w:val="16"/>
                <w:szCs w:val="16"/>
              </w:rPr>
            </w:pPr>
            <w:proofErr w:type="spellStart"/>
            <w:r w:rsidRPr="00A5668D">
              <w:rPr>
                <w:b/>
                <w:bCs/>
                <w:i/>
                <w:strike/>
                <w:sz w:val="16"/>
                <w:szCs w:val="16"/>
              </w:rPr>
              <w:t>Max</w:t>
            </w:r>
            <w:r w:rsidRPr="00A5668D">
              <w:rPr>
                <w:b/>
                <w:bCs/>
                <w:i/>
                <w:sz w:val="16"/>
                <w:szCs w:val="16"/>
              </w:rPr>
              <w:t>.Min</w:t>
            </w:r>
            <w:proofErr w:type="spellEnd"/>
            <w:r w:rsidRPr="00A5668D">
              <w:rPr>
                <w:b/>
                <w:bCs/>
                <w:i/>
                <w:sz w:val="16"/>
                <w:szCs w:val="16"/>
              </w:rPr>
              <w:t>.</w:t>
            </w:r>
            <w:r w:rsidRPr="00295956">
              <w:rPr>
                <w:b/>
                <w:bCs/>
                <w:i/>
                <w:sz w:val="16"/>
                <w:szCs w:val="16"/>
              </w:rPr>
              <w:t xml:space="preserve"> luminous</w:t>
            </w:r>
            <w:r>
              <w:rPr>
                <w:b/>
                <w:bCs/>
                <w:i/>
                <w:sz w:val="16"/>
                <w:szCs w:val="16"/>
              </w:rPr>
              <w:t xml:space="preserve"> intensity </w:t>
            </w:r>
            <w:r>
              <w:rPr>
                <w:b/>
                <w:bCs/>
                <w:i/>
                <w:sz w:val="16"/>
                <w:szCs w:val="16"/>
                <w:vertAlign w:val="superscript"/>
              </w:rPr>
              <w:t>b</w:t>
            </w:r>
            <w:r>
              <w:rPr>
                <w:b/>
                <w:bCs/>
                <w:i/>
                <w:sz w:val="16"/>
                <w:szCs w:val="16"/>
              </w:rPr>
              <w:t xml:space="preserve"> in cd</w:t>
            </w:r>
          </w:p>
        </w:tc>
      </w:tr>
      <w:tr w:rsidR="00164C92" w14:paraId="725FAC42" w14:textId="77777777" w:rsidTr="004F41B9">
        <w:trPr>
          <w:trHeight w:val="270"/>
          <w:tblHeader/>
        </w:trPr>
        <w:tc>
          <w:tcPr>
            <w:tcW w:w="286" w:type="dxa"/>
            <w:vMerge/>
            <w:shd w:val="clear" w:color="auto" w:fill="auto"/>
            <w:textDirection w:val="btLr"/>
            <w:vAlign w:val="center"/>
          </w:tcPr>
          <w:p w14:paraId="091572A2" w14:textId="77777777" w:rsidR="00164C92" w:rsidRDefault="00164C92" w:rsidP="004F41B9">
            <w:pPr>
              <w:spacing w:before="20" w:after="20" w:line="240" w:lineRule="auto"/>
              <w:ind w:left="113" w:right="113"/>
              <w:jc w:val="center"/>
              <w:rPr>
                <w:sz w:val="18"/>
                <w:szCs w:val="18"/>
              </w:rPr>
            </w:pPr>
          </w:p>
        </w:tc>
        <w:tc>
          <w:tcPr>
            <w:tcW w:w="2823" w:type="dxa"/>
            <w:vMerge/>
            <w:shd w:val="clear" w:color="auto" w:fill="auto"/>
            <w:vAlign w:val="center"/>
          </w:tcPr>
          <w:p w14:paraId="16DB6D8C" w14:textId="77777777" w:rsidR="00164C92" w:rsidRDefault="00164C92" w:rsidP="004F41B9">
            <w:pPr>
              <w:spacing w:before="20" w:after="20" w:line="240" w:lineRule="auto"/>
              <w:jc w:val="center"/>
              <w:rPr>
                <w:b/>
                <w:bCs/>
                <w:i/>
                <w:sz w:val="16"/>
                <w:szCs w:val="16"/>
              </w:rPr>
            </w:pPr>
          </w:p>
        </w:tc>
        <w:tc>
          <w:tcPr>
            <w:tcW w:w="2268" w:type="dxa"/>
            <w:gridSpan w:val="2"/>
            <w:vMerge/>
            <w:tcBorders>
              <w:bottom w:val="single" w:sz="4" w:space="0" w:color="auto"/>
            </w:tcBorders>
            <w:vAlign w:val="center"/>
          </w:tcPr>
          <w:p w14:paraId="7B064C47" w14:textId="77777777" w:rsidR="00164C92" w:rsidRDefault="00164C92" w:rsidP="004F41B9">
            <w:pPr>
              <w:spacing w:before="20" w:after="20" w:line="240" w:lineRule="auto"/>
              <w:jc w:val="center"/>
              <w:rPr>
                <w:b/>
                <w:bCs/>
                <w:sz w:val="16"/>
                <w:szCs w:val="16"/>
              </w:rPr>
            </w:pPr>
          </w:p>
        </w:tc>
        <w:tc>
          <w:tcPr>
            <w:tcW w:w="992" w:type="dxa"/>
            <w:shd w:val="clear" w:color="auto" w:fill="auto"/>
            <w:vAlign w:val="center"/>
          </w:tcPr>
          <w:p w14:paraId="3BA93761" w14:textId="77777777" w:rsidR="00164C92" w:rsidRDefault="00164C92" w:rsidP="004F41B9">
            <w:pPr>
              <w:spacing w:before="20" w:after="20" w:line="240" w:lineRule="auto"/>
              <w:jc w:val="center"/>
              <w:rPr>
                <w:b/>
                <w:bCs/>
                <w:i/>
                <w:sz w:val="16"/>
                <w:szCs w:val="16"/>
              </w:rPr>
            </w:pPr>
            <w:r>
              <w:rPr>
                <w:b/>
                <w:bCs/>
                <w:i/>
                <w:sz w:val="16"/>
                <w:szCs w:val="16"/>
              </w:rPr>
              <w:t>Column A</w:t>
            </w:r>
          </w:p>
        </w:tc>
        <w:tc>
          <w:tcPr>
            <w:tcW w:w="942" w:type="dxa"/>
            <w:shd w:val="clear" w:color="auto" w:fill="auto"/>
            <w:vAlign w:val="center"/>
          </w:tcPr>
          <w:p w14:paraId="65BE5A2E" w14:textId="77777777" w:rsidR="00164C92" w:rsidRDefault="00164C92" w:rsidP="004F41B9">
            <w:pPr>
              <w:spacing w:before="20" w:after="20" w:line="240" w:lineRule="auto"/>
              <w:jc w:val="center"/>
              <w:rPr>
                <w:b/>
                <w:bCs/>
                <w:sz w:val="16"/>
                <w:szCs w:val="16"/>
              </w:rPr>
            </w:pPr>
            <w:r>
              <w:rPr>
                <w:b/>
                <w:bCs/>
                <w:i/>
                <w:sz w:val="16"/>
                <w:szCs w:val="16"/>
              </w:rPr>
              <w:t>Column B</w:t>
            </w:r>
          </w:p>
        </w:tc>
        <w:tc>
          <w:tcPr>
            <w:tcW w:w="901" w:type="dxa"/>
            <w:shd w:val="clear" w:color="auto" w:fill="auto"/>
            <w:vAlign w:val="center"/>
          </w:tcPr>
          <w:p w14:paraId="52967DA9" w14:textId="77777777" w:rsidR="00164C92" w:rsidRDefault="00164C92" w:rsidP="004F41B9">
            <w:pPr>
              <w:spacing w:before="20" w:after="20" w:line="240" w:lineRule="auto"/>
              <w:jc w:val="center"/>
              <w:rPr>
                <w:b/>
                <w:bCs/>
                <w:sz w:val="16"/>
                <w:szCs w:val="16"/>
              </w:rPr>
            </w:pPr>
            <w:r>
              <w:rPr>
                <w:b/>
                <w:bCs/>
                <w:i/>
                <w:sz w:val="16"/>
                <w:szCs w:val="16"/>
              </w:rPr>
              <w:t>Column C</w:t>
            </w:r>
          </w:p>
        </w:tc>
      </w:tr>
      <w:tr w:rsidR="00164C92" w14:paraId="7C79A896" w14:textId="77777777" w:rsidTr="004F41B9">
        <w:trPr>
          <w:trHeight w:val="20"/>
          <w:tblHeader/>
        </w:trPr>
        <w:tc>
          <w:tcPr>
            <w:tcW w:w="286" w:type="dxa"/>
            <w:vMerge/>
            <w:shd w:val="clear" w:color="auto" w:fill="auto"/>
          </w:tcPr>
          <w:p w14:paraId="5B606772" w14:textId="77777777" w:rsidR="00164C92" w:rsidRDefault="00164C92" w:rsidP="004F41B9">
            <w:pPr>
              <w:spacing w:before="20" w:after="20" w:line="240" w:lineRule="auto"/>
              <w:rPr>
                <w:sz w:val="18"/>
                <w:szCs w:val="18"/>
              </w:rPr>
            </w:pPr>
          </w:p>
        </w:tc>
        <w:tc>
          <w:tcPr>
            <w:tcW w:w="2823" w:type="dxa"/>
            <w:vMerge/>
            <w:tcBorders>
              <w:bottom w:val="single" w:sz="12" w:space="0" w:color="auto"/>
            </w:tcBorders>
            <w:shd w:val="clear" w:color="auto" w:fill="auto"/>
          </w:tcPr>
          <w:p w14:paraId="1C6D69D7" w14:textId="77777777" w:rsidR="00164C92" w:rsidRDefault="00164C92" w:rsidP="004F41B9">
            <w:pPr>
              <w:spacing w:before="20" w:after="20" w:line="240" w:lineRule="auto"/>
              <w:rPr>
                <w:b/>
                <w:bCs/>
                <w:sz w:val="16"/>
                <w:szCs w:val="16"/>
              </w:rPr>
            </w:pPr>
          </w:p>
        </w:tc>
        <w:tc>
          <w:tcPr>
            <w:tcW w:w="992" w:type="dxa"/>
            <w:tcBorders>
              <w:bottom w:val="single" w:sz="12" w:space="0" w:color="auto"/>
            </w:tcBorders>
            <w:vAlign w:val="center"/>
          </w:tcPr>
          <w:p w14:paraId="2C822663" w14:textId="77777777" w:rsidR="00164C92" w:rsidRDefault="00164C92" w:rsidP="004F41B9">
            <w:pPr>
              <w:spacing w:before="20" w:after="20" w:line="240" w:lineRule="auto"/>
              <w:jc w:val="center"/>
              <w:rPr>
                <w:b/>
                <w:bCs/>
                <w:i/>
                <w:sz w:val="16"/>
                <w:szCs w:val="16"/>
              </w:rPr>
            </w:pPr>
            <w:r>
              <w:rPr>
                <w:b/>
                <w:bCs/>
                <w:i/>
                <w:sz w:val="16"/>
                <w:szCs w:val="16"/>
              </w:rPr>
              <w:t>vertical</w:t>
            </w:r>
          </w:p>
        </w:tc>
        <w:tc>
          <w:tcPr>
            <w:tcW w:w="1276" w:type="dxa"/>
            <w:tcBorders>
              <w:bottom w:val="single" w:sz="12" w:space="0" w:color="auto"/>
            </w:tcBorders>
            <w:shd w:val="clear" w:color="auto" w:fill="auto"/>
            <w:vAlign w:val="center"/>
          </w:tcPr>
          <w:p w14:paraId="1807702B" w14:textId="77777777" w:rsidR="00164C92" w:rsidRDefault="00164C92" w:rsidP="004F41B9">
            <w:pPr>
              <w:spacing w:before="20" w:after="20" w:line="240" w:lineRule="auto"/>
              <w:jc w:val="center"/>
              <w:rPr>
                <w:b/>
                <w:bCs/>
                <w:i/>
                <w:sz w:val="16"/>
                <w:szCs w:val="16"/>
              </w:rPr>
            </w:pPr>
            <w:r>
              <w:rPr>
                <w:b/>
                <w:bCs/>
                <w:i/>
                <w:sz w:val="16"/>
                <w:szCs w:val="16"/>
              </w:rPr>
              <w:t>horizontal</w:t>
            </w:r>
          </w:p>
        </w:tc>
        <w:tc>
          <w:tcPr>
            <w:tcW w:w="992" w:type="dxa"/>
            <w:tcBorders>
              <w:bottom w:val="single" w:sz="12" w:space="0" w:color="auto"/>
            </w:tcBorders>
            <w:shd w:val="clear" w:color="auto" w:fill="auto"/>
            <w:vAlign w:val="center"/>
          </w:tcPr>
          <w:p w14:paraId="7066F10B" w14:textId="77777777" w:rsidR="00164C92" w:rsidRDefault="00164C92" w:rsidP="004F41B9">
            <w:pPr>
              <w:spacing w:before="20" w:after="20" w:line="240" w:lineRule="auto"/>
              <w:jc w:val="center"/>
              <w:rPr>
                <w:b/>
                <w:bCs/>
                <w:i/>
                <w:sz w:val="16"/>
                <w:szCs w:val="16"/>
              </w:rPr>
            </w:pPr>
            <w:r>
              <w:rPr>
                <w:rFonts w:ascii="Cambria Math" w:hAnsi="Cambria Math"/>
                <w:b/>
                <w:bCs/>
                <w:i/>
                <w:sz w:val="16"/>
                <w:szCs w:val="16"/>
              </w:rPr>
              <w:t>≙</w:t>
            </w:r>
            <w:r>
              <w:rPr>
                <w:b/>
                <w:bCs/>
                <w:i/>
                <w:sz w:val="16"/>
                <w:szCs w:val="16"/>
              </w:rPr>
              <w:t xml:space="preserve"> 0% CoP</w:t>
            </w:r>
          </w:p>
        </w:tc>
        <w:tc>
          <w:tcPr>
            <w:tcW w:w="942" w:type="dxa"/>
            <w:tcBorders>
              <w:bottom w:val="single" w:sz="12" w:space="0" w:color="auto"/>
            </w:tcBorders>
            <w:shd w:val="clear" w:color="auto" w:fill="auto"/>
            <w:vAlign w:val="center"/>
          </w:tcPr>
          <w:p w14:paraId="383A2184" w14:textId="77777777" w:rsidR="00164C92" w:rsidRDefault="00164C92" w:rsidP="004F41B9">
            <w:pPr>
              <w:spacing w:before="20" w:after="20" w:line="240" w:lineRule="auto"/>
              <w:jc w:val="center"/>
              <w:rPr>
                <w:b/>
                <w:bCs/>
                <w:i/>
                <w:sz w:val="16"/>
                <w:szCs w:val="16"/>
              </w:rPr>
            </w:pPr>
            <w:r>
              <w:rPr>
                <w:rFonts w:ascii="Cambria Math" w:hAnsi="Cambria Math"/>
                <w:b/>
                <w:bCs/>
                <w:i/>
                <w:sz w:val="16"/>
                <w:szCs w:val="16"/>
              </w:rPr>
              <w:t>≙</w:t>
            </w:r>
            <w:r>
              <w:rPr>
                <w:b/>
                <w:bCs/>
                <w:i/>
                <w:sz w:val="16"/>
                <w:szCs w:val="16"/>
              </w:rPr>
              <w:t xml:space="preserve"> 20% CoP</w:t>
            </w:r>
          </w:p>
        </w:tc>
        <w:tc>
          <w:tcPr>
            <w:tcW w:w="901" w:type="dxa"/>
            <w:tcBorders>
              <w:bottom w:val="single" w:sz="12" w:space="0" w:color="auto"/>
            </w:tcBorders>
            <w:shd w:val="clear" w:color="auto" w:fill="auto"/>
            <w:vAlign w:val="center"/>
          </w:tcPr>
          <w:p w14:paraId="29249BCC" w14:textId="77777777" w:rsidR="00164C92" w:rsidRDefault="00164C92" w:rsidP="004F41B9">
            <w:pPr>
              <w:spacing w:before="20" w:after="20" w:line="240" w:lineRule="auto"/>
              <w:jc w:val="center"/>
              <w:rPr>
                <w:b/>
                <w:bCs/>
                <w:i/>
                <w:sz w:val="16"/>
                <w:szCs w:val="16"/>
              </w:rPr>
            </w:pPr>
            <w:r>
              <w:rPr>
                <w:rFonts w:ascii="Cambria Math" w:hAnsi="Cambria Math"/>
                <w:b/>
                <w:bCs/>
                <w:i/>
                <w:sz w:val="16"/>
                <w:szCs w:val="16"/>
              </w:rPr>
              <w:t>≙</w:t>
            </w:r>
            <w:r>
              <w:rPr>
                <w:b/>
                <w:bCs/>
                <w:i/>
                <w:sz w:val="16"/>
                <w:szCs w:val="16"/>
              </w:rPr>
              <w:t xml:space="preserve"> 30% CoP</w:t>
            </w:r>
          </w:p>
        </w:tc>
      </w:tr>
      <w:tr w:rsidR="00164C92" w14:paraId="5E8DE696" w14:textId="77777777" w:rsidTr="004F41B9">
        <w:trPr>
          <w:trHeight w:val="20"/>
        </w:trPr>
        <w:tc>
          <w:tcPr>
            <w:tcW w:w="286" w:type="dxa"/>
            <w:vMerge/>
            <w:shd w:val="clear" w:color="auto" w:fill="AEAAAA"/>
          </w:tcPr>
          <w:p w14:paraId="62458DA2" w14:textId="77777777" w:rsidR="00164C92" w:rsidRDefault="00164C92" w:rsidP="004F41B9">
            <w:pPr>
              <w:spacing w:before="20" w:after="20" w:line="240" w:lineRule="auto"/>
              <w:rPr>
                <w:sz w:val="18"/>
                <w:szCs w:val="18"/>
              </w:rPr>
            </w:pPr>
          </w:p>
        </w:tc>
        <w:tc>
          <w:tcPr>
            <w:tcW w:w="2823" w:type="dxa"/>
            <w:tcBorders>
              <w:top w:val="single" w:sz="12" w:space="0" w:color="auto"/>
            </w:tcBorders>
            <w:shd w:val="clear" w:color="auto" w:fill="auto"/>
            <w:vAlign w:val="center"/>
          </w:tcPr>
          <w:p w14:paraId="21576588" w14:textId="77777777" w:rsidR="00164C92" w:rsidRDefault="00164C92" w:rsidP="004F41B9">
            <w:pPr>
              <w:spacing w:before="20" w:after="20" w:line="240" w:lineRule="auto"/>
              <w:jc w:val="center"/>
              <w:rPr>
                <w:sz w:val="18"/>
                <w:szCs w:val="18"/>
              </w:rPr>
            </w:pPr>
            <w:r>
              <w:rPr>
                <w:bCs/>
                <w:sz w:val="18"/>
                <w:szCs w:val="18"/>
              </w:rPr>
              <w:t>50L</w:t>
            </w:r>
          </w:p>
        </w:tc>
        <w:tc>
          <w:tcPr>
            <w:tcW w:w="992" w:type="dxa"/>
            <w:tcBorders>
              <w:top w:val="single" w:sz="12" w:space="0" w:color="auto"/>
            </w:tcBorders>
            <w:vAlign w:val="center"/>
          </w:tcPr>
          <w:p w14:paraId="30DED88A" w14:textId="77777777" w:rsidR="00164C92" w:rsidRDefault="00164C92" w:rsidP="004F41B9">
            <w:pPr>
              <w:spacing w:before="20" w:after="20" w:line="240" w:lineRule="auto"/>
              <w:jc w:val="center"/>
              <w:rPr>
                <w:sz w:val="18"/>
                <w:szCs w:val="18"/>
              </w:rPr>
            </w:pPr>
            <w:r>
              <w:rPr>
                <w:snapToGrid w:val="0"/>
                <w:sz w:val="18"/>
                <w:szCs w:val="18"/>
              </w:rPr>
              <w:t>0.86°D</w:t>
            </w:r>
          </w:p>
        </w:tc>
        <w:tc>
          <w:tcPr>
            <w:tcW w:w="1276" w:type="dxa"/>
            <w:tcBorders>
              <w:top w:val="single" w:sz="12" w:space="0" w:color="auto"/>
            </w:tcBorders>
            <w:shd w:val="clear" w:color="auto" w:fill="auto"/>
            <w:vAlign w:val="center"/>
          </w:tcPr>
          <w:p w14:paraId="70260092" w14:textId="77777777" w:rsidR="00164C92" w:rsidRDefault="00164C92" w:rsidP="004F41B9">
            <w:pPr>
              <w:spacing w:before="20" w:after="20" w:line="240" w:lineRule="auto"/>
              <w:jc w:val="center"/>
              <w:rPr>
                <w:sz w:val="18"/>
                <w:szCs w:val="18"/>
              </w:rPr>
            </w:pPr>
            <w:r>
              <w:rPr>
                <w:snapToGrid w:val="0"/>
                <w:sz w:val="18"/>
                <w:szCs w:val="18"/>
              </w:rPr>
              <w:t>3.43°L</w:t>
            </w:r>
          </w:p>
        </w:tc>
        <w:tc>
          <w:tcPr>
            <w:tcW w:w="992" w:type="dxa"/>
            <w:tcBorders>
              <w:top w:val="single" w:sz="12" w:space="0" w:color="auto"/>
            </w:tcBorders>
            <w:shd w:val="clear" w:color="auto" w:fill="auto"/>
            <w:vAlign w:val="center"/>
          </w:tcPr>
          <w:p w14:paraId="7CF0C417" w14:textId="77777777" w:rsidR="00164C92" w:rsidRDefault="00164C92" w:rsidP="004F41B9">
            <w:pPr>
              <w:spacing w:before="20" w:after="20" w:line="240" w:lineRule="auto"/>
              <w:jc w:val="center"/>
              <w:rPr>
                <w:sz w:val="18"/>
                <w:szCs w:val="18"/>
              </w:rPr>
            </w:pPr>
            <w:r>
              <w:rPr>
                <w:bCs/>
                <w:sz w:val="18"/>
                <w:szCs w:val="18"/>
              </w:rPr>
              <w:t>2.55∙10</w:t>
            </w:r>
            <w:r>
              <w:rPr>
                <w:bCs/>
                <w:sz w:val="18"/>
                <w:szCs w:val="18"/>
                <w:vertAlign w:val="superscript"/>
              </w:rPr>
              <w:t>3</w:t>
            </w:r>
          </w:p>
        </w:tc>
        <w:tc>
          <w:tcPr>
            <w:tcW w:w="942" w:type="dxa"/>
            <w:tcBorders>
              <w:top w:val="single" w:sz="12" w:space="0" w:color="auto"/>
            </w:tcBorders>
            <w:shd w:val="clear" w:color="auto" w:fill="auto"/>
            <w:vAlign w:val="center"/>
          </w:tcPr>
          <w:p w14:paraId="3B9FABA7" w14:textId="77777777" w:rsidR="00164C92" w:rsidRDefault="00164C92" w:rsidP="004F41B9">
            <w:pPr>
              <w:spacing w:before="20" w:after="20" w:line="240" w:lineRule="auto"/>
              <w:jc w:val="center"/>
              <w:rPr>
                <w:sz w:val="18"/>
                <w:szCs w:val="18"/>
              </w:rPr>
            </w:pPr>
            <w:r>
              <w:rPr>
                <w:sz w:val="18"/>
                <w:szCs w:val="18"/>
              </w:rPr>
              <w:t>2.04</w:t>
            </w:r>
            <w:r>
              <w:rPr>
                <w:bCs/>
                <w:sz w:val="18"/>
                <w:szCs w:val="18"/>
              </w:rPr>
              <w:t>∙10</w:t>
            </w:r>
            <w:r>
              <w:rPr>
                <w:bCs/>
                <w:sz w:val="18"/>
                <w:szCs w:val="18"/>
                <w:vertAlign w:val="superscript"/>
              </w:rPr>
              <w:t>3</w:t>
            </w:r>
          </w:p>
        </w:tc>
        <w:tc>
          <w:tcPr>
            <w:tcW w:w="901" w:type="dxa"/>
            <w:tcBorders>
              <w:top w:val="single" w:sz="12" w:space="0" w:color="auto"/>
            </w:tcBorders>
            <w:shd w:val="clear" w:color="auto" w:fill="auto"/>
            <w:vAlign w:val="center"/>
          </w:tcPr>
          <w:p w14:paraId="778904E6" w14:textId="77777777" w:rsidR="00164C92" w:rsidRDefault="00164C92" w:rsidP="004F41B9">
            <w:pPr>
              <w:spacing w:before="20" w:after="20" w:line="240" w:lineRule="auto"/>
              <w:jc w:val="center"/>
              <w:rPr>
                <w:sz w:val="18"/>
                <w:szCs w:val="18"/>
              </w:rPr>
            </w:pPr>
            <w:r>
              <w:rPr>
                <w:sz w:val="18"/>
                <w:szCs w:val="18"/>
              </w:rPr>
              <w:t>1.79∙10</w:t>
            </w:r>
            <w:r>
              <w:rPr>
                <w:bCs/>
                <w:sz w:val="18"/>
                <w:szCs w:val="18"/>
                <w:vertAlign w:val="superscript"/>
              </w:rPr>
              <w:t>3</w:t>
            </w:r>
          </w:p>
        </w:tc>
      </w:tr>
      <w:tr w:rsidR="00164C92" w14:paraId="1DBF233B" w14:textId="77777777" w:rsidTr="004F41B9">
        <w:trPr>
          <w:trHeight w:val="20"/>
        </w:trPr>
        <w:tc>
          <w:tcPr>
            <w:tcW w:w="286" w:type="dxa"/>
            <w:vMerge/>
            <w:shd w:val="clear" w:color="auto" w:fill="AEAAAA"/>
          </w:tcPr>
          <w:p w14:paraId="04D3EC3A" w14:textId="77777777" w:rsidR="00164C92" w:rsidRDefault="00164C92" w:rsidP="004F41B9">
            <w:pPr>
              <w:spacing w:before="20" w:after="20" w:line="240" w:lineRule="auto"/>
              <w:rPr>
                <w:sz w:val="18"/>
                <w:szCs w:val="18"/>
              </w:rPr>
            </w:pPr>
          </w:p>
        </w:tc>
        <w:tc>
          <w:tcPr>
            <w:tcW w:w="2823" w:type="dxa"/>
            <w:shd w:val="clear" w:color="auto" w:fill="auto"/>
            <w:vAlign w:val="center"/>
          </w:tcPr>
          <w:p w14:paraId="511A177B" w14:textId="77777777" w:rsidR="00164C92" w:rsidRDefault="00164C92" w:rsidP="004F41B9">
            <w:pPr>
              <w:spacing w:before="20" w:after="20" w:line="240" w:lineRule="auto"/>
              <w:jc w:val="center"/>
              <w:rPr>
                <w:sz w:val="18"/>
                <w:szCs w:val="18"/>
              </w:rPr>
            </w:pPr>
            <w:r>
              <w:rPr>
                <w:bCs/>
                <w:sz w:val="18"/>
                <w:szCs w:val="18"/>
              </w:rPr>
              <w:t>50V</w:t>
            </w:r>
          </w:p>
        </w:tc>
        <w:tc>
          <w:tcPr>
            <w:tcW w:w="992" w:type="dxa"/>
            <w:vAlign w:val="center"/>
          </w:tcPr>
          <w:p w14:paraId="71039C2D" w14:textId="77777777" w:rsidR="00164C92" w:rsidRDefault="00164C92" w:rsidP="004F41B9">
            <w:pPr>
              <w:spacing w:before="20" w:after="20" w:line="240" w:lineRule="auto"/>
              <w:jc w:val="center"/>
              <w:rPr>
                <w:sz w:val="18"/>
                <w:szCs w:val="18"/>
              </w:rPr>
            </w:pPr>
            <w:r>
              <w:rPr>
                <w:snapToGrid w:val="0"/>
                <w:sz w:val="18"/>
                <w:szCs w:val="18"/>
              </w:rPr>
              <w:t>0.86°D</w:t>
            </w:r>
          </w:p>
        </w:tc>
        <w:tc>
          <w:tcPr>
            <w:tcW w:w="1276" w:type="dxa"/>
            <w:shd w:val="clear" w:color="auto" w:fill="auto"/>
            <w:vAlign w:val="center"/>
          </w:tcPr>
          <w:p w14:paraId="328B6A07" w14:textId="77777777" w:rsidR="00164C92" w:rsidRDefault="00164C92" w:rsidP="004F41B9">
            <w:pPr>
              <w:spacing w:before="20" w:after="20" w:line="240" w:lineRule="auto"/>
              <w:jc w:val="center"/>
              <w:rPr>
                <w:sz w:val="18"/>
                <w:szCs w:val="18"/>
              </w:rPr>
            </w:pPr>
            <w:r>
              <w:rPr>
                <w:sz w:val="18"/>
                <w:szCs w:val="18"/>
              </w:rPr>
              <w:t>0°</w:t>
            </w:r>
          </w:p>
        </w:tc>
        <w:tc>
          <w:tcPr>
            <w:tcW w:w="992" w:type="dxa"/>
            <w:shd w:val="clear" w:color="auto" w:fill="auto"/>
            <w:vAlign w:val="center"/>
          </w:tcPr>
          <w:p w14:paraId="296F55CD" w14:textId="77777777" w:rsidR="00164C92" w:rsidRDefault="00164C92" w:rsidP="004F41B9">
            <w:pPr>
              <w:spacing w:before="20" w:after="20" w:line="240" w:lineRule="auto"/>
              <w:jc w:val="center"/>
              <w:rPr>
                <w:sz w:val="18"/>
                <w:szCs w:val="18"/>
              </w:rPr>
            </w:pPr>
            <w:r>
              <w:rPr>
                <w:bCs/>
                <w:sz w:val="18"/>
                <w:szCs w:val="18"/>
              </w:rPr>
              <w:t>5.10∙10</w:t>
            </w:r>
            <w:r>
              <w:rPr>
                <w:bCs/>
                <w:sz w:val="18"/>
                <w:szCs w:val="18"/>
                <w:vertAlign w:val="superscript"/>
              </w:rPr>
              <w:t>3</w:t>
            </w:r>
          </w:p>
        </w:tc>
        <w:tc>
          <w:tcPr>
            <w:tcW w:w="942" w:type="dxa"/>
            <w:shd w:val="clear" w:color="auto" w:fill="auto"/>
            <w:vAlign w:val="center"/>
          </w:tcPr>
          <w:p w14:paraId="2F3B6959" w14:textId="77777777" w:rsidR="00164C92" w:rsidRDefault="00164C92" w:rsidP="004F41B9">
            <w:pPr>
              <w:spacing w:before="20" w:after="20" w:line="240" w:lineRule="auto"/>
              <w:jc w:val="center"/>
              <w:rPr>
                <w:sz w:val="18"/>
                <w:szCs w:val="18"/>
              </w:rPr>
            </w:pPr>
            <w:r>
              <w:rPr>
                <w:sz w:val="18"/>
                <w:szCs w:val="18"/>
              </w:rPr>
              <w:t>4.08</w:t>
            </w:r>
            <w:r>
              <w:rPr>
                <w:bCs/>
                <w:sz w:val="18"/>
                <w:szCs w:val="18"/>
              </w:rPr>
              <w:t>∙10</w:t>
            </w:r>
            <w:r>
              <w:rPr>
                <w:bCs/>
                <w:sz w:val="18"/>
                <w:szCs w:val="18"/>
                <w:vertAlign w:val="superscript"/>
              </w:rPr>
              <w:t>3</w:t>
            </w:r>
          </w:p>
        </w:tc>
        <w:tc>
          <w:tcPr>
            <w:tcW w:w="901" w:type="dxa"/>
            <w:shd w:val="clear" w:color="auto" w:fill="auto"/>
            <w:vAlign w:val="center"/>
          </w:tcPr>
          <w:p w14:paraId="154546F0" w14:textId="77777777" w:rsidR="00164C92" w:rsidRDefault="00164C92" w:rsidP="004F41B9">
            <w:pPr>
              <w:spacing w:before="20" w:after="20" w:line="240" w:lineRule="auto"/>
              <w:jc w:val="center"/>
              <w:rPr>
                <w:sz w:val="18"/>
                <w:szCs w:val="18"/>
              </w:rPr>
            </w:pPr>
            <w:r>
              <w:rPr>
                <w:sz w:val="18"/>
                <w:szCs w:val="18"/>
              </w:rPr>
              <w:t>3.57</w:t>
            </w:r>
            <w:r>
              <w:rPr>
                <w:bCs/>
                <w:sz w:val="18"/>
                <w:szCs w:val="18"/>
              </w:rPr>
              <w:t>∙10</w:t>
            </w:r>
            <w:r>
              <w:rPr>
                <w:bCs/>
                <w:sz w:val="18"/>
                <w:szCs w:val="18"/>
                <w:vertAlign w:val="superscript"/>
              </w:rPr>
              <w:t>3</w:t>
            </w:r>
          </w:p>
        </w:tc>
      </w:tr>
      <w:tr w:rsidR="00164C92" w14:paraId="744D48D4" w14:textId="77777777" w:rsidTr="004F41B9">
        <w:trPr>
          <w:trHeight w:val="20"/>
        </w:trPr>
        <w:tc>
          <w:tcPr>
            <w:tcW w:w="286" w:type="dxa"/>
            <w:vMerge/>
            <w:shd w:val="clear" w:color="auto" w:fill="AEAAAA"/>
          </w:tcPr>
          <w:p w14:paraId="48B75132" w14:textId="77777777" w:rsidR="00164C92" w:rsidRDefault="00164C92" w:rsidP="004F41B9">
            <w:pPr>
              <w:spacing w:before="20" w:after="20" w:line="240" w:lineRule="auto"/>
              <w:rPr>
                <w:sz w:val="18"/>
                <w:szCs w:val="18"/>
              </w:rPr>
            </w:pPr>
          </w:p>
        </w:tc>
        <w:tc>
          <w:tcPr>
            <w:tcW w:w="2823" w:type="dxa"/>
            <w:shd w:val="clear" w:color="auto" w:fill="auto"/>
            <w:vAlign w:val="center"/>
          </w:tcPr>
          <w:p w14:paraId="3BB2BEEF" w14:textId="77777777" w:rsidR="00164C92" w:rsidRDefault="00164C92" w:rsidP="004F41B9">
            <w:pPr>
              <w:spacing w:before="20" w:after="20" w:line="240" w:lineRule="auto"/>
              <w:jc w:val="center"/>
              <w:rPr>
                <w:sz w:val="18"/>
                <w:szCs w:val="18"/>
              </w:rPr>
            </w:pPr>
            <w:r>
              <w:rPr>
                <w:sz w:val="18"/>
                <w:szCs w:val="18"/>
              </w:rPr>
              <w:t>50R</w:t>
            </w:r>
          </w:p>
        </w:tc>
        <w:tc>
          <w:tcPr>
            <w:tcW w:w="992" w:type="dxa"/>
            <w:vAlign w:val="center"/>
          </w:tcPr>
          <w:p w14:paraId="5353B382" w14:textId="77777777" w:rsidR="00164C92" w:rsidRDefault="00164C92" w:rsidP="004F41B9">
            <w:pPr>
              <w:spacing w:before="20" w:after="20" w:line="240" w:lineRule="auto"/>
              <w:jc w:val="center"/>
              <w:rPr>
                <w:sz w:val="18"/>
                <w:szCs w:val="18"/>
              </w:rPr>
            </w:pPr>
            <w:r>
              <w:rPr>
                <w:snapToGrid w:val="0"/>
                <w:sz w:val="18"/>
                <w:szCs w:val="18"/>
              </w:rPr>
              <w:t>0.86°D</w:t>
            </w:r>
          </w:p>
        </w:tc>
        <w:tc>
          <w:tcPr>
            <w:tcW w:w="1276" w:type="dxa"/>
            <w:shd w:val="clear" w:color="auto" w:fill="auto"/>
            <w:vAlign w:val="center"/>
          </w:tcPr>
          <w:p w14:paraId="4D1A7684" w14:textId="77777777" w:rsidR="00164C92" w:rsidRDefault="00164C92" w:rsidP="004F41B9">
            <w:pPr>
              <w:spacing w:before="20" w:after="20" w:line="240" w:lineRule="auto"/>
              <w:jc w:val="center"/>
              <w:rPr>
                <w:sz w:val="18"/>
                <w:szCs w:val="18"/>
              </w:rPr>
            </w:pPr>
            <w:r>
              <w:rPr>
                <w:sz w:val="18"/>
                <w:szCs w:val="18"/>
              </w:rPr>
              <w:t>1.72°R</w:t>
            </w:r>
          </w:p>
        </w:tc>
        <w:tc>
          <w:tcPr>
            <w:tcW w:w="992" w:type="dxa"/>
            <w:shd w:val="clear" w:color="auto" w:fill="auto"/>
            <w:vAlign w:val="center"/>
          </w:tcPr>
          <w:p w14:paraId="0B417C33" w14:textId="77777777" w:rsidR="00164C92" w:rsidRDefault="00164C92" w:rsidP="004F41B9">
            <w:pPr>
              <w:spacing w:before="20" w:after="20" w:line="240" w:lineRule="auto"/>
              <w:jc w:val="center"/>
              <w:rPr>
                <w:sz w:val="18"/>
                <w:szCs w:val="18"/>
              </w:rPr>
            </w:pPr>
            <w:r>
              <w:rPr>
                <w:bCs/>
                <w:sz w:val="18"/>
                <w:szCs w:val="18"/>
              </w:rPr>
              <w:t>5.10∙10</w:t>
            </w:r>
            <w:r>
              <w:rPr>
                <w:bCs/>
                <w:sz w:val="18"/>
                <w:szCs w:val="18"/>
                <w:vertAlign w:val="superscript"/>
              </w:rPr>
              <w:t>3</w:t>
            </w:r>
          </w:p>
        </w:tc>
        <w:tc>
          <w:tcPr>
            <w:tcW w:w="942" w:type="dxa"/>
            <w:shd w:val="clear" w:color="auto" w:fill="auto"/>
            <w:vAlign w:val="center"/>
          </w:tcPr>
          <w:p w14:paraId="6A4666A0" w14:textId="77777777" w:rsidR="00164C92" w:rsidRDefault="00164C92" w:rsidP="004F41B9">
            <w:pPr>
              <w:spacing w:before="20" w:after="20" w:line="240" w:lineRule="auto"/>
              <w:jc w:val="center"/>
              <w:rPr>
                <w:sz w:val="18"/>
                <w:szCs w:val="18"/>
              </w:rPr>
            </w:pPr>
            <w:r>
              <w:rPr>
                <w:sz w:val="18"/>
                <w:szCs w:val="18"/>
              </w:rPr>
              <w:t>4.08</w:t>
            </w:r>
            <w:r>
              <w:rPr>
                <w:bCs/>
                <w:sz w:val="18"/>
                <w:szCs w:val="18"/>
              </w:rPr>
              <w:t>∙10</w:t>
            </w:r>
            <w:r>
              <w:rPr>
                <w:bCs/>
                <w:sz w:val="18"/>
                <w:szCs w:val="18"/>
                <w:vertAlign w:val="superscript"/>
              </w:rPr>
              <w:t>3</w:t>
            </w:r>
          </w:p>
        </w:tc>
        <w:tc>
          <w:tcPr>
            <w:tcW w:w="901" w:type="dxa"/>
            <w:shd w:val="clear" w:color="auto" w:fill="auto"/>
            <w:vAlign w:val="center"/>
          </w:tcPr>
          <w:p w14:paraId="29DBE783" w14:textId="77777777" w:rsidR="00164C92" w:rsidRDefault="00164C92" w:rsidP="004F41B9">
            <w:pPr>
              <w:spacing w:before="20" w:after="20" w:line="240" w:lineRule="auto"/>
              <w:jc w:val="center"/>
              <w:rPr>
                <w:sz w:val="18"/>
                <w:szCs w:val="18"/>
              </w:rPr>
            </w:pPr>
            <w:r>
              <w:rPr>
                <w:sz w:val="18"/>
                <w:szCs w:val="18"/>
              </w:rPr>
              <w:t>3.57</w:t>
            </w:r>
            <w:r>
              <w:rPr>
                <w:bCs/>
                <w:sz w:val="18"/>
                <w:szCs w:val="18"/>
              </w:rPr>
              <w:t>∙10</w:t>
            </w:r>
            <w:r>
              <w:rPr>
                <w:bCs/>
                <w:sz w:val="18"/>
                <w:szCs w:val="18"/>
                <w:vertAlign w:val="superscript"/>
              </w:rPr>
              <w:t>3</w:t>
            </w:r>
          </w:p>
        </w:tc>
      </w:tr>
      <w:tr w:rsidR="00164C92" w14:paraId="33212D9E" w14:textId="77777777" w:rsidTr="004F41B9">
        <w:trPr>
          <w:trHeight w:val="20"/>
        </w:trPr>
        <w:tc>
          <w:tcPr>
            <w:tcW w:w="286" w:type="dxa"/>
            <w:vMerge/>
            <w:shd w:val="clear" w:color="auto" w:fill="AEAAAA"/>
          </w:tcPr>
          <w:p w14:paraId="53EFEEB7" w14:textId="77777777" w:rsidR="00164C92" w:rsidRDefault="00164C92" w:rsidP="004F41B9">
            <w:pPr>
              <w:spacing w:before="20" w:after="20" w:line="240" w:lineRule="auto"/>
              <w:rPr>
                <w:sz w:val="18"/>
                <w:szCs w:val="18"/>
              </w:rPr>
            </w:pPr>
          </w:p>
        </w:tc>
        <w:tc>
          <w:tcPr>
            <w:tcW w:w="2823" w:type="dxa"/>
            <w:shd w:val="clear" w:color="auto" w:fill="auto"/>
            <w:vAlign w:val="center"/>
          </w:tcPr>
          <w:p w14:paraId="36A5CC81" w14:textId="77777777" w:rsidR="00164C92" w:rsidRDefault="00164C92" w:rsidP="004F41B9">
            <w:pPr>
              <w:pageBreakBefore/>
              <w:spacing w:before="20" w:after="20" w:line="240" w:lineRule="auto"/>
              <w:jc w:val="center"/>
              <w:rPr>
                <w:sz w:val="18"/>
                <w:szCs w:val="18"/>
              </w:rPr>
            </w:pPr>
            <w:r>
              <w:rPr>
                <w:bCs/>
                <w:sz w:val="18"/>
                <w:szCs w:val="18"/>
              </w:rPr>
              <w:t>25LL</w:t>
            </w:r>
          </w:p>
        </w:tc>
        <w:tc>
          <w:tcPr>
            <w:tcW w:w="992" w:type="dxa"/>
            <w:vAlign w:val="center"/>
          </w:tcPr>
          <w:p w14:paraId="11A34B88" w14:textId="77777777" w:rsidR="00164C92" w:rsidRDefault="00164C92" w:rsidP="004F41B9">
            <w:pPr>
              <w:pageBreakBefore/>
              <w:spacing w:before="20" w:after="20" w:line="240" w:lineRule="auto"/>
              <w:jc w:val="center"/>
              <w:rPr>
                <w:sz w:val="18"/>
                <w:szCs w:val="18"/>
              </w:rPr>
            </w:pPr>
            <w:r>
              <w:rPr>
                <w:snapToGrid w:val="0"/>
                <w:sz w:val="18"/>
                <w:szCs w:val="18"/>
              </w:rPr>
              <w:t>1.72°D</w:t>
            </w:r>
          </w:p>
        </w:tc>
        <w:tc>
          <w:tcPr>
            <w:tcW w:w="1276" w:type="dxa"/>
            <w:shd w:val="clear" w:color="auto" w:fill="auto"/>
            <w:vAlign w:val="center"/>
          </w:tcPr>
          <w:p w14:paraId="40954BA4" w14:textId="77777777" w:rsidR="00164C92" w:rsidRDefault="00164C92" w:rsidP="004F41B9">
            <w:pPr>
              <w:pageBreakBefore/>
              <w:spacing w:before="20" w:after="20" w:line="240" w:lineRule="auto"/>
              <w:jc w:val="center"/>
              <w:rPr>
                <w:sz w:val="18"/>
                <w:szCs w:val="18"/>
              </w:rPr>
            </w:pPr>
            <w:r>
              <w:rPr>
                <w:snapToGrid w:val="0"/>
                <w:sz w:val="18"/>
                <w:szCs w:val="18"/>
              </w:rPr>
              <w:t>16°L</w:t>
            </w:r>
          </w:p>
        </w:tc>
        <w:tc>
          <w:tcPr>
            <w:tcW w:w="992" w:type="dxa"/>
            <w:shd w:val="clear" w:color="auto" w:fill="auto"/>
            <w:vAlign w:val="center"/>
          </w:tcPr>
          <w:p w14:paraId="3A83A500" w14:textId="77777777" w:rsidR="00164C92" w:rsidRDefault="00164C92" w:rsidP="004F41B9">
            <w:pPr>
              <w:pageBreakBefore/>
              <w:spacing w:before="20" w:after="20" w:line="240" w:lineRule="auto"/>
              <w:jc w:val="center"/>
              <w:rPr>
                <w:sz w:val="18"/>
                <w:szCs w:val="18"/>
              </w:rPr>
            </w:pPr>
            <w:r>
              <w:rPr>
                <w:bCs/>
                <w:sz w:val="18"/>
                <w:szCs w:val="18"/>
              </w:rPr>
              <w:t>1.18∙10</w:t>
            </w:r>
            <w:r>
              <w:rPr>
                <w:bCs/>
                <w:sz w:val="18"/>
                <w:szCs w:val="18"/>
                <w:vertAlign w:val="superscript"/>
              </w:rPr>
              <w:t>3</w:t>
            </w:r>
          </w:p>
        </w:tc>
        <w:tc>
          <w:tcPr>
            <w:tcW w:w="942" w:type="dxa"/>
            <w:shd w:val="clear" w:color="auto" w:fill="auto"/>
            <w:vAlign w:val="center"/>
          </w:tcPr>
          <w:p w14:paraId="675DC358" w14:textId="77777777" w:rsidR="00164C92" w:rsidRDefault="00164C92" w:rsidP="004F41B9">
            <w:pPr>
              <w:pageBreakBefore/>
              <w:spacing w:before="20" w:after="20" w:line="240" w:lineRule="auto"/>
              <w:jc w:val="center"/>
              <w:rPr>
                <w:sz w:val="18"/>
                <w:szCs w:val="18"/>
              </w:rPr>
            </w:pPr>
            <w:r>
              <w:rPr>
                <w:sz w:val="18"/>
                <w:szCs w:val="18"/>
              </w:rPr>
              <w:t>9.44∙10</w:t>
            </w:r>
            <w:r>
              <w:rPr>
                <w:sz w:val="18"/>
                <w:szCs w:val="18"/>
                <w:vertAlign w:val="superscript"/>
              </w:rPr>
              <w:t>2</w:t>
            </w:r>
          </w:p>
        </w:tc>
        <w:tc>
          <w:tcPr>
            <w:tcW w:w="901" w:type="dxa"/>
            <w:shd w:val="clear" w:color="auto" w:fill="auto"/>
            <w:vAlign w:val="center"/>
          </w:tcPr>
          <w:p w14:paraId="131BF8B7" w14:textId="77777777" w:rsidR="00164C92" w:rsidRDefault="00164C92" w:rsidP="004F41B9">
            <w:pPr>
              <w:pageBreakBefore/>
              <w:spacing w:before="20" w:after="20" w:line="240" w:lineRule="auto"/>
              <w:jc w:val="center"/>
              <w:rPr>
                <w:sz w:val="18"/>
                <w:szCs w:val="18"/>
              </w:rPr>
            </w:pPr>
            <w:r>
              <w:rPr>
                <w:sz w:val="18"/>
                <w:szCs w:val="18"/>
              </w:rPr>
              <w:t>8.26∙10</w:t>
            </w:r>
            <w:r>
              <w:rPr>
                <w:sz w:val="18"/>
                <w:szCs w:val="18"/>
                <w:vertAlign w:val="superscript"/>
              </w:rPr>
              <w:t>2</w:t>
            </w:r>
          </w:p>
        </w:tc>
      </w:tr>
      <w:tr w:rsidR="00164C92" w14:paraId="1A3ECD69" w14:textId="77777777" w:rsidTr="004F41B9">
        <w:trPr>
          <w:trHeight w:val="20"/>
        </w:trPr>
        <w:tc>
          <w:tcPr>
            <w:tcW w:w="286" w:type="dxa"/>
            <w:vMerge/>
            <w:shd w:val="clear" w:color="auto" w:fill="AEAAAA"/>
          </w:tcPr>
          <w:p w14:paraId="1ADFD586" w14:textId="77777777" w:rsidR="00164C92" w:rsidRDefault="00164C92" w:rsidP="004F41B9">
            <w:pPr>
              <w:spacing w:before="20" w:after="20" w:line="240" w:lineRule="auto"/>
              <w:rPr>
                <w:sz w:val="18"/>
                <w:szCs w:val="18"/>
              </w:rPr>
            </w:pPr>
          </w:p>
        </w:tc>
        <w:tc>
          <w:tcPr>
            <w:tcW w:w="2823" w:type="dxa"/>
            <w:shd w:val="clear" w:color="auto" w:fill="auto"/>
            <w:vAlign w:val="center"/>
          </w:tcPr>
          <w:p w14:paraId="180F4854" w14:textId="77777777" w:rsidR="00164C92" w:rsidRDefault="00164C92" w:rsidP="004F41B9">
            <w:pPr>
              <w:spacing w:before="20" w:after="20" w:line="240" w:lineRule="auto"/>
              <w:jc w:val="center"/>
              <w:rPr>
                <w:sz w:val="18"/>
                <w:szCs w:val="18"/>
              </w:rPr>
            </w:pPr>
            <w:r>
              <w:rPr>
                <w:bCs/>
                <w:sz w:val="18"/>
                <w:szCs w:val="18"/>
              </w:rPr>
              <w:t>25RR</w:t>
            </w:r>
          </w:p>
        </w:tc>
        <w:tc>
          <w:tcPr>
            <w:tcW w:w="992" w:type="dxa"/>
            <w:vAlign w:val="center"/>
          </w:tcPr>
          <w:p w14:paraId="1D567F68" w14:textId="77777777" w:rsidR="00164C92" w:rsidRDefault="00164C92" w:rsidP="004F41B9">
            <w:pPr>
              <w:spacing w:before="20" w:after="20" w:line="240" w:lineRule="auto"/>
              <w:jc w:val="center"/>
              <w:rPr>
                <w:sz w:val="18"/>
                <w:szCs w:val="18"/>
              </w:rPr>
            </w:pPr>
            <w:r>
              <w:rPr>
                <w:snapToGrid w:val="0"/>
                <w:sz w:val="18"/>
                <w:szCs w:val="18"/>
              </w:rPr>
              <w:t>1.72°D</w:t>
            </w:r>
          </w:p>
        </w:tc>
        <w:tc>
          <w:tcPr>
            <w:tcW w:w="1276" w:type="dxa"/>
            <w:shd w:val="clear" w:color="auto" w:fill="auto"/>
            <w:vAlign w:val="center"/>
          </w:tcPr>
          <w:p w14:paraId="1A6277CC" w14:textId="77777777" w:rsidR="00164C92" w:rsidRDefault="00164C92" w:rsidP="004F41B9">
            <w:pPr>
              <w:spacing w:before="20" w:after="20" w:line="240" w:lineRule="auto"/>
              <w:jc w:val="center"/>
              <w:rPr>
                <w:sz w:val="18"/>
                <w:szCs w:val="18"/>
              </w:rPr>
            </w:pPr>
            <w:r>
              <w:rPr>
                <w:snapToGrid w:val="0"/>
                <w:sz w:val="18"/>
                <w:szCs w:val="18"/>
              </w:rPr>
              <w:t>11°R</w:t>
            </w:r>
          </w:p>
        </w:tc>
        <w:tc>
          <w:tcPr>
            <w:tcW w:w="992" w:type="dxa"/>
            <w:shd w:val="clear" w:color="auto" w:fill="auto"/>
            <w:vAlign w:val="center"/>
          </w:tcPr>
          <w:p w14:paraId="4E9A9DBB" w14:textId="77777777" w:rsidR="00164C92" w:rsidRDefault="00164C92" w:rsidP="004F41B9">
            <w:pPr>
              <w:spacing w:before="20" w:after="20" w:line="240" w:lineRule="auto"/>
              <w:jc w:val="center"/>
              <w:rPr>
                <w:sz w:val="18"/>
                <w:szCs w:val="18"/>
              </w:rPr>
            </w:pPr>
            <w:r>
              <w:rPr>
                <w:bCs/>
                <w:sz w:val="18"/>
                <w:szCs w:val="18"/>
              </w:rPr>
              <w:t>1.18∙10</w:t>
            </w:r>
            <w:r>
              <w:rPr>
                <w:bCs/>
                <w:sz w:val="18"/>
                <w:szCs w:val="18"/>
                <w:vertAlign w:val="superscript"/>
              </w:rPr>
              <w:t>3</w:t>
            </w:r>
          </w:p>
        </w:tc>
        <w:tc>
          <w:tcPr>
            <w:tcW w:w="942" w:type="dxa"/>
            <w:shd w:val="clear" w:color="auto" w:fill="auto"/>
            <w:vAlign w:val="center"/>
          </w:tcPr>
          <w:p w14:paraId="1CA1F9DC" w14:textId="77777777" w:rsidR="00164C92" w:rsidRDefault="00164C92" w:rsidP="004F41B9">
            <w:pPr>
              <w:spacing w:before="20" w:after="20" w:line="240" w:lineRule="auto"/>
              <w:jc w:val="center"/>
              <w:rPr>
                <w:sz w:val="18"/>
                <w:szCs w:val="18"/>
              </w:rPr>
            </w:pPr>
            <w:r>
              <w:rPr>
                <w:sz w:val="18"/>
                <w:szCs w:val="18"/>
              </w:rPr>
              <w:t>9.44∙10</w:t>
            </w:r>
            <w:r>
              <w:rPr>
                <w:sz w:val="18"/>
                <w:szCs w:val="18"/>
                <w:vertAlign w:val="superscript"/>
              </w:rPr>
              <w:t>2</w:t>
            </w:r>
          </w:p>
        </w:tc>
        <w:tc>
          <w:tcPr>
            <w:tcW w:w="901" w:type="dxa"/>
            <w:shd w:val="clear" w:color="auto" w:fill="auto"/>
            <w:vAlign w:val="center"/>
          </w:tcPr>
          <w:p w14:paraId="0CFB281E" w14:textId="77777777" w:rsidR="00164C92" w:rsidRDefault="00164C92" w:rsidP="004F41B9">
            <w:pPr>
              <w:spacing w:before="20" w:after="20" w:line="240" w:lineRule="auto"/>
              <w:jc w:val="center"/>
              <w:rPr>
                <w:sz w:val="18"/>
                <w:szCs w:val="18"/>
              </w:rPr>
            </w:pPr>
            <w:r>
              <w:rPr>
                <w:sz w:val="18"/>
                <w:szCs w:val="18"/>
              </w:rPr>
              <w:t>8.26∙10</w:t>
            </w:r>
            <w:r>
              <w:rPr>
                <w:sz w:val="18"/>
                <w:szCs w:val="18"/>
                <w:vertAlign w:val="superscript"/>
              </w:rPr>
              <w:t>2</w:t>
            </w:r>
          </w:p>
        </w:tc>
      </w:tr>
    </w:tbl>
    <w:p w14:paraId="765AE5B2" w14:textId="77777777" w:rsidR="00164C92" w:rsidRDefault="00164C92" w:rsidP="00164C92">
      <w:pPr>
        <w:spacing w:after="120"/>
        <w:ind w:left="2268" w:right="1134" w:hanging="1134"/>
        <w:rPr>
          <w:iCs/>
        </w:rPr>
      </w:pPr>
      <w:r>
        <w:rPr>
          <w:iCs/>
        </w:rPr>
        <w:t>…”</w:t>
      </w:r>
    </w:p>
    <w:p w14:paraId="3B2DC3F9" w14:textId="77777777" w:rsidR="00164C92" w:rsidRDefault="00164C92" w:rsidP="00164C92">
      <w:pPr>
        <w:spacing w:after="120"/>
        <w:ind w:left="2268" w:right="1134" w:hanging="1134"/>
      </w:pPr>
      <w:r w:rsidRPr="00164C92">
        <w:rPr>
          <w:i/>
        </w:rPr>
        <w:t>Paragraph</w:t>
      </w:r>
      <w:r>
        <w:rPr>
          <w:i/>
          <w:iCs/>
        </w:rPr>
        <w:t xml:space="preserve"> </w:t>
      </w:r>
      <w:r w:rsidRPr="00904AFA">
        <w:rPr>
          <w:i/>
          <w:iCs/>
        </w:rPr>
        <w:t>6.2.1.1.4.4</w:t>
      </w:r>
      <w:r>
        <w:rPr>
          <w:i/>
          <w:iCs/>
        </w:rPr>
        <w:t>.</w:t>
      </w:r>
      <w:r>
        <w:t>, amend to read:</w:t>
      </w:r>
    </w:p>
    <w:p w14:paraId="2A5BBED4" w14:textId="77777777" w:rsidR="00164C92" w:rsidRDefault="00164C92" w:rsidP="00164C92">
      <w:pPr>
        <w:spacing w:after="120"/>
        <w:ind w:left="2268" w:right="1134" w:hanging="1134"/>
        <w:jc w:val="both"/>
        <w:rPr>
          <w:iCs/>
        </w:rPr>
      </w:pPr>
      <w:r>
        <w:rPr>
          <w:iCs/>
        </w:rPr>
        <w:t>“</w:t>
      </w:r>
      <w:r w:rsidRPr="00904AFA">
        <w:rPr>
          <w:iCs/>
        </w:rPr>
        <w:t>6.2.1.1.4.4.</w:t>
      </w:r>
      <w:r>
        <w:rPr>
          <w:iCs/>
        </w:rPr>
        <w:tab/>
      </w:r>
      <w:r w:rsidRPr="00904AFA">
        <w:rPr>
          <w:iCs/>
        </w:rPr>
        <w:t xml:space="preserve">As an alternative to the re-alignment procedure as described in paragraph 4.1. of Annex 5, the intensity requirement of column A, B or C of Tables </w:t>
      </w:r>
      <w:r w:rsidRPr="00904AFA">
        <w:rPr>
          <w:iCs/>
          <w:strike/>
        </w:rPr>
        <w:t>23 to 38</w:t>
      </w:r>
      <w:r w:rsidRPr="00904AFA">
        <w:rPr>
          <w:iCs/>
        </w:rPr>
        <w:t xml:space="preserve"> </w:t>
      </w:r>
      <w:r w:rsidRPr="00904AFA">
        <w:rPr>
          <w:b/>
          <w:bCs/>
          <w:iCs/>
        </w:rPr>
        <w:t>21 to 36</w:t>
      </w:r>
      <w:r>
        <w:rPr>
          <w:iCs/>
        </w:rPr>
        <w:t xml:space="preserve"> </w:t>
      </w:r>
      <w:r w:rsidRPr="00904AFA">
        <w:rPr>
          <w:iCs/>
        </w:rPr>
        <w:t>for a particular direction of observation shall be deemed to be satisfied if that requirement is met in a direction deviating by not more than one-quarter of a degree from the direction of observation.</w:t>
      </w:r>
      <w:r>
        <w:rPr>
          <w:iCs/>
        </w:rPr>
        <w:t>”</w:t>
      </w:r>
    </w:p>
    <w:p w14:paraId="5E4833FC" w14:textId="77777777" w:rsidR="00164C92" w:rsidRDefault="00164C92">
      <w:pPr>
        <w:suppressAutoHyphens w:val="0"/>
        <w:spacing w:line="240" w:lineRule="auto"/>
        <w:rPr>
          <w:i/>
        </w:rPr>
      </w:pPr>
      <w:r>
        <w:rPr>
          <w:i/>
        </w:rPr>
        <w:br w:type="page"/>
      </w:r>
    </w:p>
    <w:p w14:paraId="28D84B84" w14:textId="6037F894" w:rsidR="00164C92" w:rsidRDefault="00164C92" w:rsidP="00164C92">
      <w:pPr>
        <w:spacing w:after="120"/>
        <w:ind w:left="2268" w:right="1134" w:hanging="1134"/>
        <w:rPr>
          <w:iCs/>
        </w:rPr>
      </w:pPr>
      <w:r>
        <w:rPr>
          <w:i/>
        </w:rPr>
        <w:lastRenderedPageBreak/>
        <w:t>Figure A13-III</w:t>
      </w:r>
      <w:r>
        <w:rPr>
          <w:iCs/>
        </w:rPr>
        <w:t xml:space="preserve">, </w:t>
      </w:r>
      <w:r>
        <w:rPr>
          <w:i/>
        </w:rPr>
        <w:t>marking examples 3-a and 3-b</w:t>
      </w:r>
      <w:r>
        <w:rPr>
          <w:iCs/>
        </w:rPr>
        <w:t>, replace examples to read:</w:t>
      </w:r>
    </w:p>
    <w:p w14:paraId="0CD5C718" w14:textId="77777777" w:rsidR="00164C92" w:rsidRDefault="00164C92" w:rsidP="00164C92">
      <w:pPr>
        <w:spacing w:after="120"/>
        <w:ind w:left="2268" w:right="1134" w:hanging="1134"/>
        <w:rPr>
          <w:iCs/>
        </w:rPr>
      </w:pPr>
      <w:r>
        <w:rPr>
          <w:b/>
          <w:bCs/>
          <w:snapToGrid w:val="0"/>
          <w:lang w:val="en-US"/>
        </w:rPr>
        <w:t>“Marking example 3-a</w:t>
      </w:r>
    </w:p>
    <w:p w14:paraId="0043A9C8" w14:textId="77777777" w:rsidR="00164C92" w:rsidRDefault="00164C92" w:rsidP="00164C92">
      <w:pPr>
        <w:spacing w:after="120"/>
        <w:ind w:left="2268" w:right="1134" w:hanging="1134"/>
        <w:rPr>
          <w:iCs/>
        </w:rPr>
      </w:pPr>
      <w:r>
        <w:rPr>
          <w:iCs/>
          <w:noProof/>
          <w:lang w:val="de-DE" w:eastAsia="de-DE"/>
        </w:rPr>
        <w:drawing>
          <wp:inline distT="0" distB="0" distL="0" distR="0" wp14:anchorId="2531D6C5" wp14:editId="04090BA7">
            <wp:extent cx="4695731" cy="1562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23345" cy="1571286"/>
                    </a:xfrm>
                    <a:prstGeom prst="rect">
                      <a:avLst/>
                    </a:prstGeom>
                    <a:noFill/>
                  </pic:spPr>
                </pic:pic>
              </a:graphicData>
            </a:graphic>
          </wp:inline>
        </w:drawing>
      </w:r>
    </w:p>
    <w:p w14:paraId="3ED50AC3" w14:textId="77777777" w:rsidR="00164C92" w:rsidRDefault="00164C92" w:rsidP="00164C92">
      <w:pPr>
        <w:spacing w:after="120"/>
        <w:ind w:left="2268" w:right="1134" w:hanging="1134"/>
        <w:rPr>
          <w:b/>
          <w:bCs/>
          <w:snapToGrid w:val="0"/>
          <w:lang w:val="en-US"/>
        </w:rPr>
      </w:pPr>
      <w:r>
        <w:rPr>
          <w:b/>
          <w:bCs/>
          <w:snapToGrid w:val="0"/>
          <w:lang w:val="en-US"/>
        </w:rPr>
        <w:t>Marking example 3-b</w:t>
      </w:r>
    </w:p>
    <w:p w14:paraId="0E0AC205" w14:textId="77777777" w:rsidR="00164C92" w:rsidRDefault="00164C92" w:rsidP="00164C92">
      <w:pPr>
        <w:spacing w:after="120"/>
        <w:ind w:left="2268" w:right="1134" w:hanging="1134"/>
        <w:rPr>
          <w:iCs/>
        </w:rPr>
      </w:pPr>
      <w:r>
        <w:rPr>
          <w:iCs/>
          <w:noProof/>
          <w:lang w:val="de-DE" w:eastAsia="de-DE"/>
        </w:rPr>
        <w:drawing>
          <wp:inline distT="0" distB="0" distL="0" distR="0" wp14:anchorId="6A10AF1A" wp14:editId="1D1A6372">
            <wp:extent cx="4666434" cy="1390650"/>
            <wp:effectExtent l="0" t="0" r="127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88052" cy="1397092"/>
                    </a:xfrm>
                    <a:prstGeom prst="rect">
                      <a:avLst/>
                    </a:prstGeom>
                    <a:noFill/>
                  </pic:spPr>
                </pic:pic>
              </a:graphicData>
            </a:graphic>
          </wp:inline>
        </w:drawing>
      </w:r>
    </w:p>
    <w:p w14:paraId="4DC20040" w14:textId="77777777" w:rsidR="00164C92" w:rsidRDefault="00164C92" w:rsidP="00164C92">
      <w:pPr>
        <w:spacing w:after="120"/>
        <w:ind w:left="2268" w:right="1134" w:hanging="1134"/>
        <w:rPr>
          <w:iCs/>
        </w:rPr>
      </w:pPr>
      <w:r>
        <w:rPr>
          <w:iCs/>
        </w:rPr>
        <w:t>”</w:t>
      </w:r>
    </w:p>
    <w:p w14:paraId="0CD3E21A" w14:textId="77777777" w:rsidR="00164C92" w:rsidRPr="00DB2AC8" w:rsidRDefault="00164C92" w:rsidP="00AD2BD8">
      <w:pPr>
        <w:spacing w:after="120"/>
        <w:ind w:left="2268" w:right="1134" w:hanging="1134"/>
        <w:rPr>
          <w:iCs/>
        </w:rPr>
      </w:pPr>
      <w:r w:rsidRPr="00DB2AC8">
        <w:rPr>
          <w:i/>
        </w:rPr>
        <w:t>Annex 1, paragraph 9.4.7</w:t>
      </w:r>
      <w:r w:rsidRPr="00DB2AC8">
        <w:rPr>
          <w:iCs/>
        </w:rPr>
        <w:t>., amend to read:</w:t>
      </w:r>
    </w:p>
    <w:p w14:paraId="3795B95E" w14:textId="77777777" w:rsidR="00164C92" w:rsidRPr="00A03E55" w:rsidRDefault="00164C92" w:rsidP="00AD2BD8">
      <w:pPr>
        <w:ind w:left="2268" w:right="1134" w:hanging="1134"/>
        <w:jc w:val="both"/>
        <w:rPr>
          <w:lang w:val="en-US"/>
        </w:rPr>
      </w:pPr>
      <w:r w:rsidRPr="00A03E55">
        <w:rPr>
          <w:lang w:val="en-US"/>
        </w:rPr>
        <w:t>“9.4.7.</w:t>
      </w:r>
      <w:r w:rsidRPr="00A03E55">
        <w:rPr>
          <w:lang w:val="en-US"/>
        </w:rPr>
        <w:tab/>
        <w:t>Luminous flux of the light source (see paragraph 4.5.</w:t>
      </w:r>
      <w:r w:rsidRPr="003E1658">
        <w:rPr>
          <w:lang w:val="en-US"/>
        </w:rPr>
        <w:t>3.</w:t>
      </w:r>
      <w:r w:rsidRPr="003E1658">
        <w:rPr>
          <w:strike/>
          <w:lang w:val="en-US"/>
        </w:rPr>
        <w:t>4</w:t>
      </w:r>
      <w:r w:rsidRPr="003E1658">
        <w:rPr>
          <w:b/>
          <w:bCs/>
          <w:lang w:val="en-US"/>
        </w:rPr>
        <w:t>5</w:t>
      </w:r>
      <w:r w:rsidRPr="003E1658">
        <w:rPr>
          <w:lang w:val="en-US"/>
        </w:rPr>
        <w:t>. of</w:t>
      </w:r>
      <w:r w:rsidRPr="00A03E55">
        <w:rPr>
          <w:lang w:val="en-US"/>
        </w:rPr>
        <w:t xml:space="preserve"> this Regulation)</w:t>
      </w:r>
    </w:p>
    <w:p w14:paraId="7368DCC0" w14:textId="5129095C" w:rsidR="008D42DE" w:rsidRDefault="00164C92" w:rsidP="00AD2BD8">
      <w:pPr>
        <w:spacing w:after="120"/>
        <w:ind w:left="2268" w:right="1134" w:hanging="1134"/>
        <w:jc w:val="both"/>
        <w:rPr>
          <w:lang w:val="en-US"/>
        </w:rPr>
      </w:pPr>
      <w:r w:rsidRPr="00A03E55">
        <w:rPr>
          <w:lang w:val="en-US"/>
        </w:rPr>
        <w:tab/>
        <w:t>greater than 2.00∙10</w:t>
      </w:r>
      <w:r w:rsidRPr="00A03E55">
        <w:rPr>
          <w:vertAlign w:val="superscript"/>
          <w:lang w:val="en-US"/>
        </w:rPr>
        <w:t>3</w:t>
      </w:r>
      <w:r w:rsidRPr="00A03E55">
        <w:rPr>
          <w:lang w:val="en-US"/>
        </w:rPr>
        <w:t xml:space="preserve"> lumens:  yes/no</w:t>
      </w:r>
      <w:proofErr w:type="gramStart"/>
      <w:r w:rsidRPr="00A03E55">
        <w:rPr>
          <w:vertAlign w:val="superscript"/>
          <w:lang w:val="en-US"/>
        </w:rPr>
        <w:t>2</w:t>
      </w:r>
      <w:r w:rsidRPr="00A03E55">
        <w:rPr>
          <w:lang w:val="en-US"/>
        </w:rPr>
        <w:t xml:space="preserve"> </w:t>
      </w:r>
      <w:r>
        <w:rPr>
          <w:lang w:val="en-US"/>
        </w:rPr>
        <w:t>”</w:t>
      </w:r>
      <w:proofErr w:type="gramEnd"/>
    </w:p>
    <w:p w14:paraId="72ED0909" w14:textId="77777777" w:rsidR="00E933B8" w:rsidRDefault="00E933B8" w:rsidP="00E933B8">
      <w:pPr>
        <w:pStyle w:val="HChG"/>
      </w:pPr>
      <w:r w:rsidRPr="00525E6C">
        <w:tab/>
        <w:t>II.</w:t>
      </w:r>
      <w:r w:rsidRPr="00525E6C">
        <w:tab/>
        <w:t>Justification</w:t>
      </w:r>
    </w:p>
    <w:p w14:paraId="74005C78" w14:textId="097B1641" w:rsidR="00DD4D4B" w:rsidRPr="00AD2BD8" w:rsidRDefault="00322F04" w:rsidP="00AD2BD8">
      <w:pPr>
        <w:snapToGrid w:val="0"/>
        <w:spacing w:after="120"/>
        <w:ind w:left="1134" w:right="1134"/>
        <w:jc w:val="both"/>
        <w:rPr>
          <w:rFonts w:asciiTheme="majorBidi" w:hAnsiTheme="majorBidi" w:cstheme="majorBidi"/>
          <w:i/>
          <w:iCs/>
        </w:rPr>
      </w:pPr>
      <w:r w:rsidRPr="00AD2BD8">
        <w:rPr>
          <w:rFonts w:asciiTheme="majorBidi" w:hAnsiTheme="majorBidi" w:cstheme="majorBidi"/>
          <w:i/>
          <w:iCs/>
        </w:rPr>
        <w:t>00 series of amendments</w:t>
      </w:r>
      <w:r w:rsidR="00AD2BD8" w:rsidRPr="00AD2BD8">
        <w:rPr>
          <w:rFonts w:asciiTheme="majorBidi" w:hAnsiTheme="majorBidi" w:cstheme="majorBidi"/>
          <w:i/>
          <w:iCs/>
        </w:rPr>
        <w:t>, p</w:t>
      </w:r>
      <w:r w:rsidR="00DD4D4B" w:rsidRPr="00AD2BD8">
        <w:rPr>
          <w:rFonts w:asciiTheme="majorBidi" w:hAnsiTheme="majorBidi" w:cstheme="majorBidi"/>
          <w:i/>
          <w:iCs/>
        </w:rPr>
        <w:t>ar</w:t>
      </w:r>
      <w:r w:rsidR="00896F42" w:rsidRPr="00AD2BD8">
        <w:rPr>
          <w:rFonts w:asciiTheme="majorBidi" w:hAnsiTheme="majorBidi" w:cstheme="majorBidi"/>
          <w:i/>
          <w:iCs/>
        </w:rPr>
        <w:t>agraph</w:t>
      </w:r>
      <w:r w:rsidR="00DD4D4B" w:rsidRPr="00AD2BD8">
        <w:rPr>
          <w:rFonts w:asciiTheme="majorBidi" w:hAnsiTheme="majorBidi" w:cstheme="majorBidi"/>
          <w:i/>
          <w:iCs/>
        </w:rPr>
        <w:t xml:space="preserve"> 3.2.2.</w:t>
      </w:r>
    </w:p>
    <w:p w14:paraId="635E2049" w14:textId="767298FC" w:rsidR="008D42DE" w:rsidRDefault="00B40FA5" w:rsidP="008D42DE">
      <w:pPr>
        <w:snapToGrid w:val="0"/>
        <w:spacing w:after="120"/>
        <w:ind w:left="1134" w:right="1134"/>
        <w:jc w:val="both"/>
        <w:rPr>
          <w:rFonts w:asciiTheme="majorBidi" w:hAnsiTheme="majorBidi" w:cstheme="majorBidi"/>
        </w:rPr>
      </w:pPr>
      <w:r>
        <w:rPr>
          <w:rFonts w:asciiTheme="majorBidi" w:hAnsiTheme="majorBidi" w:cstheme="majorBidi"/>
        </w:rPr>
        <w:t>1.</w:t>
      </w:r>
      <w:r>
        <w:rPr>
          <w:rFonts w:asciiTheme="majorBidi" w:hAnsiTheme="majorBidi" w:cstheme="majorBidi"/>
        </w:rPr>
        <w:tab/>
      </w:r>
      <w:r w:rsidR="00AE13E2" w:rsidRPr="00AE13E2">
        <w:rPr>
          <w:rFonts w:asciiTheme="majorBidi" w:hAnsiTheme="majorBidi" w:cstheme="majorBidi"/>
        </w:rPr>
        <w:t>During the simplification process of the lighting regulations</w:t>
      </w:r>
      <w:r w:rsidR="00AE13E2">
        <w:rPr>
          <w:rFonts w:asciiTheme="majorBidi" w:hAnsiTheme="majorBidi" w:cstheme="majorBidi"/>
        </w:rPr>
        <w:t>,</w:t>
      </w:r>
      <w:r w:rsidR="00AE13E2" w:rsidRPr="00AE13E2">
        <w:rPr>
          <w:rFonts w:asciiTheme="majorBidi" w:hAnsiTheme="majorBidi" w:cstheme="majorBidi"/>
        </w:rPr>
        <w:t xml:space="preserve"> the introduction of this exemption </w:t>
      </w:r>
      <w:r w:rsidR="00AE13E2">
        <w:rPr>
          <w:rFonts w:asciiTheme="majorBidi" w:hAnsiTheme="majorBidi" w:cstheme="majorBidi"/>
        </w:rPr>
        <w:t>in</w:t>
      </w:r>
      <w:r w:rsidR="00AE13E2" w:rsidRPr="00AE13E2">
        <w:rPr>
          <w:rFonts w:asciiTheme="majorBidi" w:hAnsiTheme="majorBidi" w:cstheme="majorBidi"/>
        </w:rPr>
        <w:t xml:space="preserve"> the new UN Regulation No. 149 was overlooked</w:t>
      </w:r>
      <w:r w:rsidR="00AE13E2">
        <w:rPr>
          <w:rFonts w:asciiTheme="majorBidi" w:hAnsiTheme="majorBidi" w:cstheme="majorBidi"/>
        </w:rPr>
        <w:t>,</w:t>
      </w:r>
      <w:r w:rsidR="00AE13E2" w:rsidRPr="00AE13E2">
        <w:rPr>
          <w:rFonts w:asciiTheme="majorBidi" w:hAnsiTheme="majorBidi" w:cstheme="majorBidi"/>
        </w:rPr>
        <w:t xml:space="preserve"> possibly because this provision is just related to front fog lamps. </w:t>
      </w:r>
      <w:proofErr w:type="gramStart"/>
      <w:r w:rsidR="00AE13E2" w:rsidRPr="00AE13E2">
        <w:rPr>
          <w:rFonts w:asciiTheme="majorBidi" w:hAnsiTheme="majorBidi" w:cstheme="majorBidi"/>
        </w:rPr>
        <w:t>In order to</w:t>
      </w:r>
      <w:proofErr w:type="gramEnd"/>
      <w:r w:rsidR="00AE13E2" w:rsidRPr="00AE13E2">
        <w:rPr>
          <w:rFonts w:asciiTheme="majorBidi" w:hAnsiTheme="majorBidi" w:cstheme="majorBidi"/>
        </w:rPr>
        <w:t xml:space="preserve"> take account of the GRE decision</w:t>
      </w:r>
      <w:r w:rsidR="00AE13E2">
        <w:rPr>
          <w:rFonts w:asciiTheme="majorBidi" w:hAnsiTheme="majorBidi" w:cstheme="majorBidi"/>
        </w:rPr>
        <w:t>,</w:t>
      </w:r>
      <w:r w:rsidR="00AE13E2" w:rsidRPr="00AE13E2">
        <w:rPr>
          <w:rFonts w:asciiTheme="majorBidi" w:hAnsiTheme="majorBidi" w:cstheme="majorBidi"/>
        </w:rPr>
        <w:t xml:space="preserve"> that the 00 series of amendments to the new UN Regulations Nos. 148, 149 and 150 shall reflect the provisions contained in the old </w:t>
      </w:r>
      <w:r w:rsidR="00AE13E2">
        <w:rPr>
          <w:rFonts w:asciiTheme="majorBidi" w:hAnsiTheme="majorBidi" w:cstheme="majorBidi"/>
        </w:rPr>
        <w:t xml:space="preserve">“frozen” </w:t>
      </w:r>
      <w:r w:rsidR="00AE13E2" w:rsidRPr="00AE13E2">
        <w:rPr>
          <w:rFonts w:asciiTheme="majorBidi" w:hAnsiTheme="majorBidi" w:cstheme="majorBidi"/>
        </w:rPr>
        <w:t>lighting and light-signalling regulations in their latest status</w:t>
      </w:r>
      <w:r w:rsidR="00AE13E2">
        <w:rPr>
          <w:rFonts w:asciiTheme="majorBidi" w:hAnsiTheme="majorBidi" w:cstheme="majorBidi"/>
        </w:rPr>
        <w:t>,</w:t>
      </w:r>
      <w:r w:rsidR="00AE13E2" w:rsidRPr="00AE13E2">
        <w:rPr>
          <w:rFonts w:asciiTheme="majorBidi" w:hAnsiTheme="majorBidi" w:cstheme="majorBidi"/>
        </w:rPr>
        <w:t xml:space="preserve"> it is proposed to reinsert this exemption provision for front fog lamps </w:t>
      </w:r>
      <w:r w:rsidR="00AE13E2">
        <w:rPr>
          <w:rFonts w:asciiTheme="majorBidi" w:hAnsiTheme="majorBidi" w:cstheme="majorBidi"/>
        </w:rPr>
        <w:t>in</w:t>
      </w:r>
      <w:r w:rsidR="00AE13E2" w:rsidRPr="00AE13E2">
        <w:rPr>
          <w:rFonts w:asciiTheme="majorBidi" w:hAnsiTheme="majorBidi" w:cstheme="majorBidi"/>
        </w:rPr>
        <w:t xml:space="preserve"> paragraph 3.2.2. of UN Regulation No. 149</w:t>
      </w:r>
      <w:r w:rsidR="008D42DE">
        <w:rPr>
          <w:rFonts w:asciiTheme="majorBidi" w:hAnsiTheme="majorBidi" w:cstheme="majorBidi"/>
        </w:rPr>
        <w:t>.</w:t>
      </w:r>
    </w:p>
    <w:p w14:paraId="1805168D" w14:textId="110CFE42" w:rsidR="00DD4D4B" w:rsidRPr="003D147F" w:rsidRDefault="00322F04" w:rsidP="003D147F">
      <w:pPr>
        <w:snapToGrid w:val="0"/>
        <w:spacing w:after="120"/>
        <w:ind w:left="1134" w:right="1134"/>
        <w:jc w:val="both"/>
        <w:rPr>
          <w:rFonts w:asciiTheme="majorBidi" w:hAnsiTheme="majorBidi" w:cstheme="majorBidi"/>
          <w:i/>
          <w:iCs/>
        </w:rPr>
      </w:pPr>
      <w:r w:rsidRPr="003D147F">
        <w:rPr>
          <w:rFonts w:asciiTheme="majorBidi" w:hAnsiTheme="majorBidi" w:cstheme="majorBidi"/>
          <w:i/>
          <w:iCs/>
        </w:rPr>
        <w:t>01 series of amendments</w:t>
      </w:r>
      <w:r w:rsidR="003D147F" w:rsidRPr="003D147F">
        <w:rPr>
          <w:rFonts w:asciiTheme="majorBidi" w:hAnsiTheme="majorBidi" w:cstheme="majorBidi"/>
          <w:i/>
          <w:iCs/>
        </w:rPr>
        <w:t>, p</w:t>
      </w:r>
      <w:r w:rsidR="00896F42" w:rsidRPr="003D147F">
        <w:rPr>
          <w:rFonts w:asciiTheme="majorBidi" w:hAnsiTheme="majorBidi" w:cstheme="majorBidi"/>
          <w:i/>
          <w:iCs/>
        </w:rPr>
        <w:t>aragraph</w:t>
      </w:r>
      <w:r w:rsidR="00DD4D4B" w:rsidRPr="003D147F">
        <w:rPr>
          <w:rFonts w:asciiTheme="majorBidi" w:hAnsiTheme="majorBidi" w:cstheme="majorBidi"/>
          <w:i/>
          <w:iCs/>
        </w:rPr>
        <w:t xml:space="preserve"> 3.2.</w:t>
      </w:r>
    </w:p>
    <w:p w14:paraId="0D4E62C7" w14:textId="1B925429" w:rsidR="00722D86" w:rsidRDefault="00B40FA5" w:rsidP="00BF310C">
      <w:pPr>
        <w:snapToGrid w:val="0"/>
        <w:spacing w:after="120"/>
        <w:ind w:left="1134" w:right="1134"/>
        <w:jc w:val="both"/>
        <w:rPr>
          <w:rFonts w:asciiTheme="majorBidi" w:hAnsiTheme="majorBidi" w:cstheme="majorBidi"/>
        </w:rPr>
      </w:pPr>
      <w:r>
        <w:rPr>
          <w:rFonts w:asciiTheme="majorBidi" w:hAnsiTheme="majorBidi" w:cstheme="majorBidi"/>
        </w:rPr>
        <w:t>2.</w:t>
      </w:r>
      <w:r>
        <w:rPr>
          <w:rFonts w:asciiTheme="majorBidi" w:hAnsiTheme="majorBidi" w:cstheme="majorBidi"/>
        </w:rPr>
        <w:tab/>
      </w:r>
      <w:r w:rsidR="00AE13E2" w:rsidRPr="00AE13E2">
        <w:rPr>
          <w:rFonts w:asciiTheme="majorBidi" w:hAnsiTheme="majorBidi" w:cstheme="majorBidi"/>
        </w:rPr>
        <w:t xml:space="preserve">The proposed correction is targeting the alignment with the corresponding text in </w:t>
      </w:r>
      <w:r w:rsidR="00AE13E2">
        <w:rPr>
          <w:rFonts w:asciiTheme="majorBidi" w:hAnsiTheme="majorBidi" w:cstheme="majorBidi"/>
        </w:rPr>
        <w:t>para</w:t>
      </w:r>
      <w:r w:rsidR="00745D5C">
        <w:rPr>
          <w:rFonts w:asciiTheme="majorBidi" w:hAnsiTheme="majorBidi" w:cstheme="majorBidi"/>
        </w:rPr>
        <w:t xml:space="preserve">graph </w:t>
      </w:r>
      <w:r w:rsidR="00AE13E2">
        <w:rPr>
          <w:rFonts w:asciiTheme="majorBidi" w:hAnsiTheme="majorBidi" w:cstheme="majorBidi"/>
        </w:rPr>
        <w:t xml:space="preserve">3.2. of </w:t>
      </w:r>
      <w:r w:rsidR="008B34FE">
        <w:rPr>
          <w:rFonts w:asciiTheme="majorBidi" w:hAnsiTheme="majorBidi" w:cstheme="majorBidi"/>
        </w:rPr>
        <w:t xml:space="preserve">the 01 series of amendments to </w:t>
      </w:r>
      <w:r w:rsidR="00AE13E2" w:rsidRPr="00AE13E2">
        <w:rPr>
          <w:rFonts w:asciiTheme="majorBidi" w:hAnsiTheme="majorBidi" w:cstheme="majorBidi"/>
        </w:rPr>
        <w:t xml:space="preserve">UN Regulation No. 148. With this correction the text will allow to grant one single approval for a headlamp with both passing-beam and driving-beam or for an </w:t>
      </w:r>
      <w:r w:rsidR="00931A87">
        <w:rPr>
          <w:rFonts w:asciiTheme="majorBidi" w:hAnsiTheme="majorBidi" w:cstheme="majorBidi"/>
        </w:rPr>
        <w:t xml:space="preserve">adaptive </w:t>
      </w:r>
      <w:r w:rsidR="00C30523">
        <w:rPr>
          <w:rFonts w:asciiTheme="majorBidi" w:hAnsiTheme="majorBidi" w:cstheme="majorBidi"/>
        </w:rPr>
        <w:t>front-lighting system (</w:t>
      </w:r>
      <w:r w:rsidR="00AE13E2" w:rsidRPr="00AE13E2">
        <w:rPr>
          <w:rFonts w:asciiTheme="majorBidi" w:hAnsiTheme="majorBidi" w:cstheme="majorBidi"/>
        </w:rPr>
        <w:t>AFS</w:t>
      </w:r>
      <w:r w:rsidR="00C30523">
        <w:rPr>
          <w:rFonts w:asciiTheme="majorBidi" w:hAnsiTheme="majorBidi" w:cstheme="majorBidi"/>
        </w:rPr>
        <w:t>)</w:t>
      </w:r>
      <w:r w:rsidR="00AE13E2" w:rsidRPr="00AE13E2">
        <w:rPr>
          <w:rFonts w:asciiTheme="majorBidi" w:hAnsiTheme="majorBidi" w:cstheme="majorBidi"/>
        </w:rPr>
        <w:t xml:space="preserve"> with different classes</w:t>
      </w:r>
      <w:r w:rsidR="00DD4D4B">
        <w:rPr>
          <w:rFonts w:asciiTheme="majorBidi" w:hAnsiTheme="majorBidi" w:cstheme="majorBidi"/>
        </w:rPr>
        <w:t>. S</w:t>
      </w:r>
      <w:r w:rsidR="00AE13E2" w:rsidRPr="00AE13E2">
        <w:rPr>
          <w:rFonts w:asciiTheme="majorBidi" w:hAnsiTheme="majorBidi" w:cstheme="majorBidi"/>
        </w:rPr>
        <w:t xml:space="preserve">uch kind of approvals are commonly granted and accepted for road illumination devices according to the old UN Regulations and to </w:t>
      </w:r>
      <w:r w:rsidR="00C30523">
        <w:rPr>
          <w:rFonts w:asciiTheme="majorBidi" w:hAnsiTheme="majorBidi" w:cstheme="majorBidi"/>
        </w:rPr>
        <w:t xml:space="preserve">the 00 series of amendments to </w:t>
      </w:r>
      <w:r w:rsidR="00AE13E2" w:rsidRPr="00AE13E2">
        <w:rPr>
          <w:rFonts w:asciiTheme="majorBidi" w:hAnsiTheme="majorBidi" w:cstheme="majorBidi"/>
        </w:rPr>
        <w:t>UN Regulation No. 149.</w:t>
      </w:r>
    </w:p>
    <w:p w14:paraId="087367A9" w14:textId="321187CB" w:rsidR="00DD4D4B" w:rsidRPr="00F80C9B" w:rsidRDefault="00896F42" w:rsidP="002815B1">
      <w:pPr>
        <w:snapToGrid w:val="0"/>
        <w:spacing w:after="120"/>
        <w:ind w:left="1134" w:right="1134"/>
        <w:jc w:val="both"/>
        <w:rPr>
          <w:rFonts w:asciiTheme="majorBidi" w:hAnsiTheme="majorBidi" w:cstheme="majorBidi"/>
          <w:i/>
          <w:iCs/>
        </w:rPr>
      </w:pPr>
      <w:r w:rsidRPr="00F80C9B">
        <w:rPr>
          <w:rFonts w:asciiTheme="majorBidi" w:hAnsiTheme="majorBidi" w:cstheme="majorBidi"/>
          <w:i/>
          <w:iCs/>
        </w:rPr>
        <w:t>Paragraph</w:t>
      </w:r>
      <w:r w:rsidR="00DD4D4B" w:rsidRPr="00F80C9B">
        <w:rPr>
          <w:rFonts w:asciiTheme="majorBidi" w:hAnsiTheme="majorBidi" w:cstheme="majorBidi"/>
          <w:i/>
          <w:iCs/>
        </w:rPr>
        <w:t xml:space="preserve"> 5.3.3.4.</w:t>
      </w:r>
    </w:p>
    <w:p w14:paraId="5683E9CB" w14:textId="589E7ACE" w:rsidR="00E33811" w:rsidRDefault="00B40FA5" w:rsidP="002815B1">
      <w:pPr>
        <w:snapToGrid w:val="0"/>
        <w:spacing w:after="120"/>
        <w:ind w:left="1134" w:right="1134"/>
        <w:jc w:val="both"/>
        <w:rPr>
          <w:rFonts w:asciiTheme="majorBidi" w:hAnsiTheme="majorBidi" w:cstheme="majorBidi"/>
        </w:rPr>
      </w:pPr>
      <w:r>
        <w:rPr>
          <w:rFonts w:asciiTheme="majorBidi" w:hAnsiTheme="majorBidi" w:cstheme="majorBidi"/>
        </w:rPr>
        <w:t>3.</w:t>
      </w:r>
      <w:r>
        <w:rPr>
          <w:rFonts w:asciiTheme="majorBidi" w:hAnsiTheme="majorBidi" w:cstheme="majorBidi"/>
        </w:rPr>
        <w:tab/>
      </w:r>
      <w:r w:rsidR="00DD4D4B" w:rsidRPr="00DD4D4B">
        <w:rPr>
          <w:rFonts w:asciiTheme="majorBidi" w:hAnsiTheme="majorBidi" w:cstheme="majorBidi"/>
        </w:rPr>
        <w:t>With the transition to scientific notation, for simplicity, the minimum value required for the Class “B” driving-beam has been rounded from 40,500 cd to 4.00∙10</w:t>
      </w:r>
      <w:r w:rsidR="00DD4D4B" w:rsidRPr="00DD4D4B">
        <w:rPr>
          <w:rFonts w:asciiTheme="majorBidi" w:hAnsiTheme="majorBidi" w:cstheme="majorBidi"/>
          <w:vertAlign w:val="superscript"/>
        </w:rPr>
        <w:t>4</w:t>
      </w:r>
      <w:r w:rsidR="00DD4D4B" w:rsidRPr="00DD4D4B">
        <w:rPr>
          <w:rFonts w:asciiTheme="majorBidi" w:hAnsiTheme="majorBidi" w:cstheme="majorBidi"/>
        </w:rPr>
        <w:t xml:space="preserve"> cd (see Table 5). By applying this principle, in paragraph 5.3.3.4. the value which represents 40% of 4.00∙10</w:t>
      </w:r>
      <w:r w:rsidR="00DD4D4B" w:rsidRPr="00DD4D4B">
        <w:rPr>
          <w:rFonts w:asciiTheme="majorBidi" w:hAnsiTheme="majorBidi" w:cstheme="majorBidi"/>
          <w:vertAlign w:val="superscript"/>
        </w:rPr>
        <w:t>4</w:t>
      </w:r>
      <w:r w:rsidR="00DD4D4B" w:rsidRPr="00DD4D4B">
        <w:rPr>
          <w:rFonts w:asciiTheme="majorBidi" w:hAnsiTheme="majorBidi" w:cstheme="majorBidi"/>
        </w:rPr>
        <w:t xml:space="preserve"> should be 1.60∙10</w:t>
      </w:r>
      <w:r w:rsidR="00DD4D4B" w:rsidRPr="00DD4D4B">
        <w:rPr>
          <w:rFonts w:asciiTheme="majorBidi" w:hAnsiTheme="majorBidi" w:cstheme="majorBidi"/>
          <w:vertAlign w:val="superscript"/>
        </w:rPr>
        <w:t>4</w:t>
      </w:r>
      <w:r w:rsidR="00DD4D4B" w:rsidRPr="00DD4D4B">
        <w:rPr>
          <w:rFonts w:asciiTheme="majorBidi" w:hAnsiTheme="majorBidi" w:cstheme="majorBidi"/>
        </w:rPr>
        <w:t xml:space="preserve"> (not 1.62∙10</w:t>
      </w:r>
      <w:r w:rsidR="00DD4D4B" w:rsidRPr="00DD4D4B">
        <w:rPr>
          <w:rFonts w:asciiTheme="majorBidi" w:hAnsiTheme="majorBidi" w:cstheme="majorBidi"/>
          <w:vertAlign w:val="superscript"/>
        </w:rPr>
        <w:t>4</w:t>
      </w:r>
      <w:r w:rsidR="00DD4D4B" w:rsidRPr="00DD4D4B">
        <w:rPr>
          <w:rFonts w:asciiTheme="majorBidi" w:hAnsiTheme="majorBidi" w:cstheme="majorBidi"/>
        </w:rPr>
        <w:t>).</w:t>
      </w:r>
    </w:p>
    <w:p w14:paraId="163A6526" w14:textId="77777777" w:rsidR="00DD4D4B" w:rsidRPr="00F80C9B" w:rsidRDefault="00DD4D4B" w:rsidP="00BF310C">
      <w:pPr>
        <w:snapToGrid w:val="0"/>
        <w:spacing w:after="120"/>
        <w:ind w:left="1134" w:right="1134"/>
        <w:jc w:val="both"/>
        <w:rPr>
          <w:rFonts w:asciiTheme="majorBidi" w:hAnsiTheme="majorBidi" w:cstheme="majorBidi"/>
          <w:i/>
          <w:iCs/>
        </w:rPr>
      </w:pPr>
      <w:r w:rsidRPr="00F80C9B">
        <w:rPr>
          <w:rFonts w:asciiTheme="majorBidi" w:hAnsiTheme="majorBidi" w:cstheme="majorBidi"/>
          <w:i/>
          <w:iCs/>
        </w:rPr>
        <w:t>Table 36, Part B</w:t>
      </w:r>
    </w:p>
    <w:p w14:paraId="23B6298E" w14:textId="37EAE9E8" w:rsidR="002815B1" w:rsidRDefault="00B40FA5" w:rsidP="00BF310C">
      <w:pPr>
        <w:snapToGrid w:val="0"/>
        <w:spacing w:after="120"/>
        <w:ind w:left="1134" w:right="1134"/>
        <w:jc w:val="both"/>
        <w:rPr>
          <w:rFonts w:asciiTheme="majorBidi" w:hAnsiTheme="majorBidi" w:cstheme="majorBidi"/>
        </w:rPr>
      </w:pPr>
      <w:r>
        <w:rPr>
          <w:rFonts w:asciiTheme="majorBidi" w:hAnsiTheme="majorBidi" w:cstheme="majorBidi"/>
        </w:rPr>
        <w:lastRenderedPageBreak/>
        <w:t>4.</w:t>
      </w:r>
      <w:r>
        <w:rPr>
          <w:rFonts w:asciiTheme="majorBidi" w:hAnsiTheme="majorBidi" w:cstheme="majorBidi"/>
        </w:rPr>
        <w:tab/>
      </w:r>
      <w:r w:rsidR="00DD4D4B" w:rsidRPr="00DD4D4B">
        <w:rPr>
          <w:rFonts w:asciiTheme="majorBidi" w:hAnsiTheme="majorBidi" w:cstheme="majorBidi"/>
        </w:rPr>
        <w:t xml:space="preserve">Part B of Table 36 describes </w:t>
      </w:r>
      <w:r w:rsidR="00E64F9C">
        <w:rPr>
          <w:rFonts w:asciiTheme="majorBidi" w:hAnsiTheme="majorBidi" w:cstheme="majorBidi"/>
        </w:rPr>
        <w:t>t</w:t>
      </w:r>
      <w:r w:rsidR="00E64F9C" w:rsidRPr="00E64F9C">
        <w:rPr>
          <w:rFonts w:asciiTheme="majorBidi" w:hAnsiTheme="majorBidi" w:cstheme="majorBidi"/>
        </w:rPr>
        <w:t xml:space="preserve">he conformity of production </w:t>
      </w:r>
      <w:r w:rsidR="00E64F9C">
        <w:rPr>
          <w:rFonts w:asciiTheme="majorBidi" w:hAnsiTheme="majorBidi" w:cstheme="majorBidi"/>
        </w:rPr>
        <w:t>(</w:t>
      </w:r>
      <w:r w:rsidR="00DD4D4B" w:rsidRPr="00DD4D4B">
        <w:rPr>
          <w:rFonts w:asciiTheme="majorBidi" w:hAnsiTheme="majorBidi" w:cstheme="majorBidi"/>
        </w:rPr>
        <w:t>CoP</w:t>
      </w:r>
      <w:r w:rsidR="008B34FE">
        <w:rPr>
          <w:rFonts w:asciiTheme="majorBidi" w:hAnsiTheme="majorBidi" w:cstheme="majorBidi"/>
        </w:rPr>
        <w:t>)</w:t>
      </w:r>
      <w:r w:rsidR="00DD4D4B" w:rsidRPr="00DD4D4B">
        <w:rPr>
          <w:rFonts w:asciiTheme="majorBidi" w:hAnsiTheme="majorBidi" w:cstheme="majorBidi"/>
        </w:rPr>
        <w:t xml:space="preserve"> requirements for</w:t>
      </w:r>
      <w:r w:rsidR="00AC087F">
        <w:rPr>
          <w:rFonts w:asciiTheme="majorBidi" w:hAnsiTheme="majorBidi" w:cstheme="majorBidi"/>
        </w:rPr>
        <w:t xml:space="preserve"> the</w:t>
      </w:r>
      <w:r w:rsidR="00DD4D4B" w:rsidRPr="00DD4D4B">
        <w:rPr>
          <w:rFonts w:asciiTheme="majorBidi" w:hAnsiTheme="majorBidi" w:cstheme="majorBidi"/>
        </w:rPr>
        <w:t xml:space="preserve"> </w:t>
      </w:r>
      <w:proofErr w:type="spellStart"/>
      <w:r w:rsidR="00AC087F">
        <w:rPr>
          <w:rFonts w:asciiTheme="majorBidi" w:hAnsiTheme="majorBidi" w:cstheme="majorBidi"/>
        </w:rPr>
        <w:t>adaprtive</w:t>
      </w:r>
      <w:proofErr w:type="spellEnd"/>
      <w:r w:rsidR="00AC087F">
        <w:rPr>
          <w:rFonts w:asciiTheme="majorBidi" w:hAnsiTheme="majorBidi" w:cstheme="majorBidi"/>
        </w:rPr>
        <w:t xml:space="preserve"> driving beam (</w:t>
      </w:r>
      <w:r w:rsidR="00DD4D4B" w:rsidRPr="00DD4D4B">
        <w:rPr>
          <w:rFonts w:asciiTheme="majorBidi" w:hAnsiTheme="majorBidi" w:cstheme="majorBidi"/>
        </w:rPr>
        <w:t>ADB</w:t>
      </w:r>
      <w:r w:rsidR="00AC087F">
        <w:rPr>
          <w:rFonts w:asciiTheme="majorBidi" w:hAnsiTheme="majorBidi" w:cstheme="majorBidi"/>
        </w:rPr>
        <w:t>)</w:t>
      </w:r>
      <w:r w:rsidR="00DD4D4B" w:rsidRPr="00DD4D4B">
        <w:rPr>
          <w:rFonts w:asciiTheme="majorBidi" w:hAnsiTheme="majorBidi" w:cstheme="majorBidi"/>
        </w:rPr>
        <w:t xml:space="preserve">. It should refer to </w:t>
      </w:r>
      <w:r w:rsidR="008B34FE">
        <w:rPr>
          <w:rFonts w:asciiTheme="majorBidi" w:hAnsiTheme="majorBidi" w:cstheme="majorBidi"/>
        </w:rPr>
        <w:t xml:space="preserve">the </w:t>
      </w:r>
      <w:r w:rsidR="00DD4D4B" w:rsidRPr="00DD4D4B">
        <w:rPr>
          <w:rFonts w:asciiTheme="majorBidi" w:hAnsiTheme="majorBidi" w:cstheme="majorBidi"/>
        </w:rPr>
        <w:t>minimum luminous intensity requirements, as it is done in Part B of Table 13.</w:t>
      </w:r>
    </w:p>
    <w:p w14:paraId="41177396" w14:textId="442F1312" w:rsidR="00DD4D4B" w:rsidRPr="00F80C9B" w:rsidRDefault="00896F42" w:rsidP="00DD4D4B">
      <w:pPr>
        <w:snapToGrid w:val="0"/>
        <w:spacing w:after="120"/>
        <w:ind w:left="1134" w:right="1134"/>
        <w:jc w:val="both"/>
        <w:rPr>
          <w:rFonts w:asciiTheme="majorBidi" w:hAnsiTheme="majorBidi" w:cstheme="majorBidi"/>
          <w:i/>
          <w:iCs/>
        </w:rPr>
      </w:pPr>
      <w:r w:rsidRPr="00F80C9B">
        <w:rPr>
          <w:rFonts w:asciiTheme="majorBidi" w:hAnsiTheme="majorBidi" w:cstheme="majorBidi"/>
          <w:i/>
          <w:iCs/>
        </w:rPr>
        <w:t>Paragraph</w:t>
      </w:r>
      <w:r w:rsidR="00DD4D4B" w:rsidRPr="00F80C9B">
        <w:rPr>
          <w:rFonts w:asciiTheme="majorBidi" w:hAnsiTheme="majorBidi" w:cstheme="majorBidi"/>
          <w:i/>
          <w:iCs/>
        </w:rPr>
        <w:t xml:space="preserve"> 6.2.1.1.4.4.</w:t>
      </w:r>
    </w:p>
    <w:p w14:paraId="38D45AA2" w14:textId="442BAB51" w:rsidR="00DD4D4B" w:rsidRDefault="00B40FA5" w:rsidP="00DD4D4B">
      <w:pPr>
        <w:snapToGrid w:val="0"/>
        <w:spacing w:after="120"/>
        <w:ind w:left="1134" w:right="1134"/>
        <w:jc w:val="both"/>
        <w:rPr>
          <w:rFonts w:asciiTheme="majorBidi" w:hAnsiTheme="majorBidi" w:cstheme="majorBidi"/>
        </w:rPr>
      </w:pPr>
      <w:r>
        <w:rPr>
          <w:rFonts w:asciiTheme="majorBidi" w:hAnsiTheme="majorBidi" w:cstheme="majorBidi"/>
        </w:rPr>
        <w:t>5.</w:t>
      </w:r>
      <w:r>
        <w:rPr>
          <w:rFonts w:asciiTheme="majorBidi" w:hAnsiTheme="majorBidi" w:cstheme="majorBidi"/>
        </w:rPr>
        <w:tab/>
      </w:r>
      <w:r w:rsidR="000A76B2">
        <w:rPr>
          <w:rFonts w:asciiTheme="majorBidi" w:hAnsiTheme="majorBidi" w:cstheme="majorBidi"/>
        </w:rPr>
        <w:t xml:space="preserve">The </w:t>
      </w:r>
      <w:r w:rsidR="00DD4D4B" w:rsidRPr="00DD4D4B">
        <w:rPr>
          <w:rFonts w:asciiTheme="majorBidi" w:hAnsiTheme="majorBidi" w:cstheme="majorBidi"/>
        </w:rPr>
        <w:t>CoP values are provided in Tables 21 to 36</w:t>
      </w:r>
      <w:r w:rsidR="003E1658">
        <w:rPr>
          <w:rFonts w:asciiTheme="majorBidi" w:hAnsiTheme="majorBidi" w:cstheme="majorBidi"/>
        </w:rPr>
        <w:t xml:space="preserve">, </w:t>
      </w:r>
      <w:r w:rsidR="00DD4D4B" w:rsidRPr="00DD4D4B">
        <w:rPr>
          <w:rFonts w:asciiTheme="majorBidi" w:hAnsiTheme="majorBidi" w:cstheme="majorBidi"/>
        </w:rPr>
        <w:t>not 23 to 38.</w:t>
      </w:r>
    </w:p>
    <w:p w14:paraId="6F621964" w14:textId="784861E1" w:rsidR="00896F42" w:rsidRPr="00F80C9B" w:rsidRDefault="00896F42" w:rsidP="00896F42">
      <w:pPr>
        <w:snapToGrid w:val="0"/>
        <w:spacing w:after="120"/>
        <w:ind w:left="1134" w:right="1134"/>
        <w:jc w:val="both"/>
        <w:rPr>
          <w:rFonts w:asciiTheme="majorBidi" w:hAnsiTheme="majorBidi" w:cstheme="majorBidi"/>
          <w:i/>
          <w:iCs/>
        </w:rPr>
      </w:pPr>
      <w:r w:rsidRPr="00F80C9B">
        <w:rPr>
          <w:rFonts w:asciiTheme="majorBidi" w:hAnsiTheme="majorBidi" w:cstheme="majorBidi"/>
          <w:i/>
          <w:iCs/>
        </w:rPr>
        <w:t>Figure A13-III</w:t>
      </w:r>
    </w:p>
    <w:p w14:paraId="452E66AB" w14:textId="63FCFC95" w:rsidR="00896F42" w:rsidRDefault="00B40FA5" w:rsidP="00896F42">
      <w:pPr>
        <w:snapToGrid w:val="0"/>
        <w:spacing w:after="120"/>
        <w:ind w:left="1134" w:right="1134"/>
        <w:jc w:val="both"/>
        <w:rPr>
          <w:rFonts w:asciiTheme="majorBidi" w:hAnsiTheme="majorBidi" w:cstheme="majorBidi"/>
        </w:rPr>
      </w:pPr>
      <w:r>
        <w:rPr>
          <w:rFonts w:asciiTheme="majorBidi" w:hAnsiTheme="majorBidi" w:cstheme="majorBidi"/>
        </w:rPr>
        <w:t>6.</w:t>
      </w:r>
      <w:r>
        <w:rPr>
          <w:rFonts w:asciiTheme="majorBidi" w:hAnsiTheme="majorBidi" w:cstheme="majorBidi"/>
        </w:rPr>
        <w:tab/>
      </w:r>
      <w:r w:rsidR="00896F42" w:rsidRPr="00896F42">
        <w:rPr>
          <w:rFonts w:asciiTheme="majorBidi" w:hAnsiTheme="majorBidi" w:cstheme="majorBidi"/>
        </w:rPr>
        <w:t>In the current marking example 3-a and 3-b there is a double pointed arrow indicating a passing</w:t>
      </w:r>
      <w:r w:rsidR="000A76B2">
        <w:rPr>
          <w:rFonts w:asciiTheme="majorBidi" w:hAnsiTheme="majorBidi" w:cstheme="majorBidi"/>
        </w:rPr>
        <w:t>-</w:t>
      </w:r>
      <w:r w:rsidR="00896F42" w:rsidRPr="00896F42">
        <w:rPr>
          <w:rFonts w:asciiTheme="majorBidi" w:hAnsiTheme="majorBidi" w:cstheme="majorBidi"/>
        </w:rPr>
        <w:t xml:space="preserve">beam approved for both right-hand and left-hand traffic. However, the text below the figure (in the “note (b)”) just refers to “a passing-beam designed for right-hand traffic only”. Since </w:t>
      </w:r>
      <w:r w:rsidR="000A76B2">
        <w:rPr>
          <w:rFonts w:asciiTheme="majorBidi" w:hAnsiTheme="majorBidi" w:cstheme="majorBidi"/>
        </w:rPr>
        <w:t xml:space="preserve">the </w:t>
      </w:r>
      <w:r w:rsidR="00896F42" w:rsidRPr="00896F42">
        <w:rPr>
          <w:rFonts w:asciiTheme="majorBidi" w:hAnsiTheme="majorBidi" w:cstheme="majorBidi"/>
        </w:rPr>
        <w:t>marking example with a double pointed arrow is already provided in Figure A13-I, it is proposed to remove this arrow in both examples 3-a and 3-b of Figure A13-III. The entire “note” below these two examples remains unchanged.</w:t>
      </w:r>
    </w:p>
    <w:p w14:paraId="331327EC" w14:textId="099AF83F" w:rsidR="00896F42" w:rsidRPr="00F80C9B" w:rsidRDefault="00896F42" w:rsidP="00896F42">
      <w:pPr>
        <w:snapToGrid w:val="0"/>
        <w:spacing w:after="120"/>
        <w:ind w:left="1134" w:right="1134"/>
        <w:jc w:val="both"/>
        <w:rPr>
          <w:rFonts w:asciiTheme="majorBidi" w:hAnsiTheme="majorBidi" w:cstheme="majorBidi"/>
          <w:i/>
          <w:iCs/>
        </w:rPr>
      </w:pPr>
      <w:r w:rsidRPr="00F80C9B">
        <w:rPr>
          <w:rFonts w:asciiTheme="majorBidi" w:hAnsiTheme="majorBidi" w:cstheme="majorBidi"/>
          <w:i/>
          <w:iCs/>
        </w:rPr>
        <w:t xml:space="preserve">Annex 1, </w:t>
      </w:r>
      <w:r w:rsidR="006A4A85" w:rsidRPr="00F80C9B">
        <w:rPr>
          <w:rFonts w:asciiTheme="majorBidi" w:hAnsiTheme="majorBidi" w:cstheme="majorBidi"/>
          <w:i/>
          <w:iCs/>
        </w:rPr>
        <w:t>p</w:t>
      </w:r>
      <w:r w:rsidRPr="00F80C9B">
        <w:rPr>
          <w:rFonts w:asciiTheme="majorBidi" w:hAnsiTheme="majorBidi" w:cstheme="majorBidi"/>
          <w:i/>
          <w:iCs/>
        </w:rPr>
        <w:t>ar</w:t>
      </w:r>
      <w:r w:rsidR="006A4A85" w:rsidRPr="00F80C9B">
        <w:rPr>
          <w:rFonts w:asciiTheme="majorBidi" w:hAnsiTheme="majorBidi" w:cstheme="majorBidi"/>
          <w:i/>
          <w:iCs/>
        </w:rPr>
        <w:t>agraph</w:t>
      </w:r>
      <w:r w:rsidRPr="00F80C9B">
        <w:rPr>
          <w:rFonts w:asciiTheme="majorBidi" w:hAnsiTheme="majorBidi" w:cstheme="majorBidi"/>
          <w:i/>
          <w:iCs/>
        </w:rPr>
        <w:t>. 9.4.7.</w:t>
      </w:r>
    </w:p>
    <w:p w14:paraId="0E5D0A4E" w14:textId="6814DDD3" w:rsidR="00BF310C" w:rsidRDefault="00B40FA5" w:rsidP="008B671C">
      <w:pPr>
        <w:snapToGrid w:val="0"/>
        <w:spacing w:after="120"/>
        <w:ind w:left="1134" w:right="1134"/>
        <w:jc w:val="both"/>
        <w:rPr>
          <w:rFonts w:asciiTheme="majorBidi" w:hAnsiTheme="majorBidi" w:cstheme="majorBidi"/>
        </w:rPr>
      </w:pPr>
      <w:r>
        <w:rPr>
          <w:rFonts w:asciiTheme="majorBidi" w:hAnsiTheme="majorBidi" w:cstheme="majorBidi"/>
        </w:rPr>
        <w:t>7.</w:t>
      </w:r>
      <w:r>
        <w:rPr>
          <w:rFonts w:asciiTheme="majorBidi" w:hAnsiTheme="majorBidi" w:cstheme="majorBidi"/>
        </w:rPr>
        <w:tab/>
      </w:r>
      <w:r w:rsidR="00E64F9C">
        <w:rPr>
          <w:rFonts w:asciiTheme="majorBidi" w:hAnsiTheme="majorBidi" w:cstheme="majorBidi"/>
        </w:rPr>
        <w:t xml:space="preserve">A </w:t>
      </w:r>
      <w:r w:rsidR="00896F42" w:rsidRPr="00896F42">
        <w:rPr>
          <w:rFonts w:asciiTheme="majorBidi" w:hAnsiTheme="majorBidi" w:cstheme="majorBidi"/>
        </w:rPr>
        <w:t>wrong paragraph reference number</w:t>
      </w:r>
      <w:r w:rsidR="00E64F9C">
        <w:rPr>
          <w:rFonts w:asciiTheme="majorBidi" w:hAnsiTheme="majorBidi" w:cstheme="majorBidi"/>
        </w:rPr>
        <w:t xml:space="preserve"> has been corrected</w:t>
      </w:r>
      <w:r w:rsidR="00896F42">
        <w:rPr>
          <w:rFonts w:asciiTheme="majorBidi" w:hAnsiTheme="majorBidi" w:cstheme="majorBidi"/>
        </w:rPr>
        <w:t>.</w:t>
      </w:r>
    </w:p>
    <w:p w14:paraId="0800F887" w14:textId="63046E3F" w:rsidR="00E933B8" w:rsidRPr="001F1CB4" w:rsidRDefault="004D0C9D" w:rsidP="001F1CB4">
      <w:pPr>
        <w:spacing w:before="240"/>
        <w:jc w:val="center"/>
        <w:rPr>
          <w:u w:val="single"/>
        </w:rPr>
      </w:pPr>
      <w:r>
        <w:rPr>
          <w:u w:val="single"/>
        </w:rPr>
        <w:tab/>
      </w:r>
      <w:r>
        <w:rPr>
          <w:u w:val="single"/>
        </w:rPr>
        <w:tab/>
      </w:r>
      <w:r>
        <w:rPr>
          <w:u w:val="single"/>
        </w:rPr>
        <w:tab/>
      </w:r>
    </w:p>
    <w:sectPr w:rsidR="00E933B8" w:rsidRPr="001F1CB4" w:rsidSect="003F1AB4">
      <w:headerReference w:type="even" r:id="rId17"/>
      <w:headerReference w:type="default" r:id="rId18"/>
      <w:footerReference w:type="default" r:id="rId19"/>
      <w:headerReference w:type="first" r:id="rId20"/>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06DF5" w14:textId="77777777" w:rsidR="004F6B2B" w:rsidRDefault="004F6B2B"/>
  </w:endnote>
  <w:endnote w:type="continuationSeparator" w:id="0">
    <w:p w14:paraId="2B6045E2" w14:textId="77777777" w:rsidR="004F6B2B" w:rsidRDefault="004F6B2B"/>
  </w:endnote>
  <w:endnote w:type="continuationNotice" w:id="1">
    <w:p w14:paraId="02E6C4C0" w14:textId="77777777" w:rsidR="004F6B2B" w:rsidRDefault="004F6B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etter Gothic">
    <w:charset w:val="00"/>
    <w:family w:val="modern"/>
    <w:pitch w:val="fixed"/>
    <w:sig w:usb0="00000007" w:usb1="00000000" w:usb2="00000000" w:usb3="00000000" w:csb0="00000013" w:csb1="00000000"/>
  </w:font>
  <w:font w:name="TimesNewRomanPS-BoldMT">
    <w:altName w:val="Times New Roman"/>
    <w:panose1 w:val="00000000000000000000"/>
    <w:charset w:val="00"/>
    <w:family w:val="roman"/>
    <w:notTrueType/>
    <w:pitch w:val="default"/>
  </w:font>
  <w:font w:name="HGSGothicM">
    <w:altName w:val="Yu Gothic"/>
    <w:charset w:val="80"/>
    <w:family w:val="modern"/>
    <w:pitch w:val="variable"/>
    <w:sig w:usb0="80000281" w:usb1="28C76CF8"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C8C8" w14:textId="0D9266D0" w:rsidR="00C740F6" w:rsidRDefault="00C740F6">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7A28B8">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5A01" w14:textId="33D4067E" w:rsidR="00B87A5B" w:rsidRDefault="00B87A5B" w:rsidP="00B87A5B">
    <w:pPr>
      <w:pStyle w:val="Footer"/>
    </w:pPr>
    <w:r w:rsidRPr="0027112F">
      <w:rPr>
        <w:noProof/>
        <w:lang w:val="en-US"/>
      </w:rPr>
      <w:drawing>
        <wp:anchor distT="0" distB="0" distL="114300" distR="114300" simplePos="0" relativeHeight="251659264" behindDoc="0" locked="1" layoutInCell="1" allowOverlap="1" wp14:anchorId="43149552" wp14:editId="07B131E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809E39E" w14:textId="26E9738E" w:rsidR="00B87A5B" w:rsidRPr="00B87A5B" w:rsidRDefault="00B87A5B" w:rsidP="00B87A5B">
    <w:pPr>
      <w:pStyle w:val="Footer"/>
      <w:ind w:right="1134"/>
      <w:rPr>
        <w:sz w:val="20"/>
      </w:rPr>
    </w:pPr>
    <w:r>
      <w:rPr>
        <w:sz w:val="20"/>
      </w:rPr>
      <w:t>GE.23-15235(E)</w:t>
    </w:r>
    <w:r>
      <w:rPr>
        <w:noProof/>
        <w:sz w:val="20"/>
      </w:rPr>
      <w:drawing>
        <wp:anchor distT="0" distB="0" distL="114300" distR="114300" simplePos="0" relativeHeight="251660288" behindDoc="0" locked="0" layoutInCell="1" allowOverlap="1" wp14:anchorId="66B23C17" wp14:editId="077582BF">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9F70" w14:textId="77777777" w:rsidR="00C740F6" w:rsidRPr="00003B38" w:rsidRDefault="00C740F6" w:rsidP="00732AD2">
    <w:pPr>
      <w:rPr>
        <w:rFonts w:ascii="Arial" w:hAnsi="Arial" w:cs="Arial"/>
        <w:sz w:val="16"/>
        <w:szCs w:val="16"/>
      </w:rPr>
    </w:pPr>
  </w:p>
  <w:tbl>
    <w:tblPr>
      <w:tblW w:w="0" w:type="auto"/>
      <w:tblLook w:val="04A0" w:firstRow="1" w:lastRow="0" w:firstColumn="1" w:lastColumn="0" w:noHBand="0" w:noVBand="1"/>
    </w:tblPr>
    <w:tblGrid>
      <w:gridCol w:w="3270"/>
      <w:gridCol w:w="3171"/>
      <w:gridCol w:w="3197"/>
    </w:tblGrid>
    <w:tr w:rsidR="00C740F6" w:rsidRPr="002C0FEE" w14:paraId="0264F554" w14:textId="77777777" w:rsidTr="00732AD2">
      <w:tc>
        <w:tcPr>
          <w:tcW w:w="3346" w:type="dxa"/>
        </w:tcPr>
        <w:p w14:paraId="34B87E07" w14:textId="77777777" w:rsidR="00C740F6" w:rsidRPr="00503D4F" w:rsidRDefault="00C740F6" w:rsidP="00732AD2">
          <w:pPr>
            <w:pStyle w:val="Footer"/>
          </w:pPr>
          <w:r>
            <w:rPr>
              <w:noProof/>
              <w:lang w:val="en-US" w:eastAsia="zh-CN"/>
            </w:rPr>
            <w:drawing>
              <wp:inline distT="0" distB="0" distL="0" distR="0" wp14:anchorId="58D914B9" wp14:editId="1AFCED3A">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24C7B394" w14:textId="77777777" w:rsidR="00C740F6" w:rsidRPr="00503D4F" w:rsidRDefault="00C740F6"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1C40F0DC" w14:textId="77777777" w:rsidR="00C740F6" w:rsidRPr="004E78A5" w:rsidRDefault="00C740F6" w:rsidP="00732AD2">
          <w:pPr>
            <w:pStyle w:val="Footer"/>
          </w:pPr>
          <w:r w:rsidRPr="004E78A5">
            <w:rPr>
              <w:rFonts w:ascii="Arial" w:hAnsi="Arial" w:cs="Arial"/>
              <w:sz w:val="20"/>
            </w:rPr>
            <w:t xml:space="preserve">Submitted by: </w:t>
          </w:r>
          <w:r>
            <w:rPr>
              <w:rFonts w:ascii="Arial" w:hAnsi="Arial" w:cs="Arial"/>
              <w:sz w:val="20"/>
            </w:rPr>
            <w:t>Ad de Visser</w:t>
          </w:r>
        </w:p>
      </w:tc>
    </w:tr>
  </w:tbl>
  <w:p w14:paraId="76243CFA" w14:textId="77777777" w:rsidR="00C740F6" w:rsidRDefault="00C740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A473" w14:textId="77777777" w:rsidR="00C740F6" w:rsidRPr="00A330CE" w:rsidRDefault="00C740F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591CC5">
      <w:rPr>
        <w:b/>
        <w:noProof/>
        <w:sz w:val="18"/>
      </w:rPr>
      <w:t>9</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36FE4" w14:textId="77777777" w:rsidR="004F6B2B" w:rsidRPr="000B175B" w:rsidRDefault="004F6B2B" w:rsidP="000B175B">
      <w:pPr>
        <w:tabs>
          <w:tab w:val="right" w:pos="2155"/>
        </w:tabs>
        <w:spacing w:after="80"/>
        <w:ind w:left="680"/>
        <w:rPr>
          <w:u w:val="single"/>
        </w:rPr>
      </w:pPr>
      <w:r>
        <w:rPr>
          <w:u w:val="single"/>
        </w:rPr>
        <w:tab/>
      </w:r>
    </w:p>
  </w:footnote>
  <w:footnote w:type="continuationSeparator" w:id="0">
    <w:p w14:paraId="0BE5542F" w14:textId="77777777" w:rsidR="004F6B2B" w:rsidRPr="00FC68B7" w:rsidRDefault="004F6B2B" w:rsidP="00FC68B7">
      <w:pPr>
        <w:tabs>
          <w:tab w:val="left" w:pos="2155"/>
        </w:tabs>
        <w:spacing w:after="80"/>
        <w:ind w:left="680"/>
        <w:rPr>
          <w:u w:val="single"/>
        </w:rPr>
      </w:pPr>
      <w:r>
        <w:rPr>
          <w:u w:val="single"/>
        </w:rPr>
        <w:tab/>
      </w:r>
    </w:p>
  </w:footnote>
  <w:footnote w:type="continuationNotice" w:id="1">
    <w:p w14:paraId="33389A04" w14:textId="77777777" w:rsidR="004F6B2B" w:rsidRDefault="004F6B2B"/>
  </w:footnote>
  <w:footnote w:id="2">
    <w:p w14:paraId="26469265" w14:textId="506C9088" w:rsidR="00E317C2" w:rsidRPr="004876E3" w:rsidRDefault="00E317C2" w:rsidP="00297676">
      <w:pPr>
        <w:pStyle w:val="FootnoteText"/>
      </w:pPr>
      <w:r w:rsidRPr="00A90EA8">
        <w:tab/>
      </w:r>
      <w:r w:rsidR="006C3F3F" w:rsidRPr="00FA2F4E">
        <w:rPr>
          <w:rStyle w:val="FootnoteReference"/>
          <w:sz w:val="20"/>
          <w:lang w:val="en-US"/>
        </w:rPr>
        <w:t>*</w:t>
      </w:r>
      <w:r w:rsidR="006C3F3F" w:rsidRPr="00FA2F4E">
        <w:rPr>
          <w:sz w:val="20"/>
          <w:lang w:val="en-US"/>
        </w:rPr>
        <w:tab/>
      </w:r>
      <w:r w:rsidR="00723A10" w:rsidRPr="00AB708F">
        <w:rPr>
          <w:szCs w:val="18"/>
          <w:lang w:val="en-US"/>
        </w:rPr>
        <w:t>In accordance with the programme of work of</w:t>
      </w:r>
      <w:r w:rsidR="00723A10">
        <w:rPr>
          <w:szCs w:val="18"/>
          <w:lang w:val="en-US"/>
        </w:rPr>
        <w:t xml:space="preserve"> the</w:t>
      </w:r>
      <w:r w:rsidR="00723A10" w:rsidRPr="00AB708F">
        <w:rPr>
          <w:szCs w:val="18"/>
          <w:lang w:val="en-US"/>
        </w:rPr>
        <w:t xml:space="preserve"> </w:t>
      </w:r>
      <w:r w:rsidR="00723A10" w:rsidRPr="00C14763">
        <w:rPr>
          <w:szCs w:val="18"/>
          <w:lang w:val="en-US"/>
        </w:rPr>
        <w:t>Inland Transport Committee for 202</w:t>
      </w:r>
      <w:r w:rsidR="00723A10">
        <w:rPr>
          <w:szCs w:val="18"/>
          <w:lang w:val="en-US"/>
        </w:rPr>
        <w:t>3</w:t>
      </w:r>
      <w:r w:rsidR="00723A10" w:rsidRPr="00C14763">
        <w:rPr>
          <w:szCs w:val="18"/>
          <w:lang w:val="en-US"/>
        </w:rPr>
        <w:t xml:space="preserve"> as outlined in proposed programme budget for 202</w:t>
      </w:r>
      <w:r w:rsidR="00723A10">
        <w:rPr>
          <w:szCs w:val="18"/>
          <w:lang w:val="en-US"/>
        </w:rPr>
        <w:t>3</w:t>
      </w:r>
      <w:r w:rsidR="00723A10" w:rsidRPr="00C14763">
        <w:rPr>
          <w:szCs w:val="18"/>
          <w:lang w:val="en-US"/>
        </w:rPr>
        <w:t xml:space="preserve"> (</w:t>
      </w:r>
      <w:r w:rsidR="00723A10" w:rsidRPr="00CC1F43">
        <w:rPr>
          <w:szCs w:val="18"/>
          <w:lang w:val="en-US"/>
        </w:rPr>
        <w:t>A/77/6 (Sect. 20), table 20.6</w:t>
      </w:r>
      <w:r w:rsidR="00723A10" w:rsidRPr="00C14763">
        <w:rPr>
          <w:szCs w:val="18"/>
          <w:lang w:val="en-US"/>
        </w:rPr>
        <w:t xml:space="preserve">), </w:t>
      </w:r>
      <w:r w:rsidR="00723A10" w:rsidRPr="00AB708F">
        <w:rPr>
          <w:szCs w:val="18"/>
          <w:lang w:val="en-US"/>
        </w:rPr>
        <w:t xml:space="preserve">the World Forum will develop, </w:t>
      </w:r>
      <w:proofErr w:type="gramStart"/>
      <w:r w:rsidR="00723A10" w:rsidRPr="00AB708F">
        <w:rPr>
          <w:szCs w:val="18"/>
          <w:lang w:val="en-US"/>
        </w:rPr>
        <w:t>harmonize</w:t>
      </w:r>
      <w:proofErr w:type="gramEnd"/>
      <w:r w:rsidR="00723A10" w:rsidRPr="00AB708F">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B1C1" w14:textId="55E5FB29" w:rsidR="00C740F6" w:rsidRPr="006C395D" w:rsidRDefault="00C740F6" w:rsidP="005726B5">
    <w:pPr>
      <w:pStyle w:val="Header"/>
    </w:pPr>
    <w:r w:rsidRPr="00DF7AE2">
      <w:t>ECE/TRANS/WP.29/GRE/20</w:t>
    </w:r>
    <w:r w:rsidR="006D181F" w:rsidRPr="00DF7AE2">
      <w:t>2</w:t>
    </w:r>
    <w:r w:rsidR="00722D86" w:rsidRPr="00DF7AE2">
      <w:t>3</w:t>
    </w:r>
    <w:r w:rsidRPr="00DF7AE2">
      <w:t>/</w:t>
    </w:r>
    <w:r w:rsidR="00DF7AE2" w:rsidRPr="00DF7AE2">
      <w:t>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647F" w14:textId="2274919A" w:rsidR="00C740F6" w:rsidRPr="006C395D" w:rsidRDefault="00C740F6" w:rsidP="00DA725B">
    <w:pPr>
      <w:pStyle w:val="Header"/>
      <w:jc w:val="right"/>
    </w:pPr>
    <w:r w:rsidRPr="00DF7AE2">
      <w:t>ECE/TRANS/WP.29/GRE/20</w:t>
    </w:r>
    <w:r w:rsidR="004223FF" w:rsidRPr="00DF7AE2">
      <w:t>2</w:t>
    </w:r>
    <w:r w:rsidR="00722D86" w:rsidRPr="00DF7AE2">
      <w:t>3</w:t>
    </w:r>
    <w:r w:rsidRPr="00DF7AE2">
      <w:t>/</w:t>
    </w:r>
    <w:r w:rsidR="00DF7AE2" w:rsidRPr="00DF7AE2">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B142" w14:textId="77777777" w:rsidR="00C740F6" w:rsidRPr="007B4C72" w:rsidRDefault="00C740F6"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7B452D6"/>
    <w:multiLevelType w:val="hybridMultilevel"/>
    <w:tmpl w:val="78B8CF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D600203"/>
    <w:multiLevelType w:val="hybridMultilevel"/>
    <w:tmpl w:val="CA14DDA6"/>
    <w:lvl w:ilvl="0" w:tplc="118A5F6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0" w15:restartNumberingAfterBreak="0">
    <w:nsid w:val="428A6772"/>
    <w:multiLevelType w:val="hybridMultilevel"/>
    <w:tmpl w:val="41C22656"/>
    <w:lvl w:ilvl="0" w:tplc="3A7E5B1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2"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EB4B6B"/>
    <w:multiLevelType w:val="hybridMultilevel"/>
    <w:tmpl w:val="10FAA95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7C39582F"/>
    <w:multiLevelType w:val="hybridMultilevel"/>
    <w:tmpl w:val="B8D43B46"/>
    <w:lvl w:ilvl="0" w:tplc="44AA79D0">
      <w:start w:val="3"/>
      <w:numFmt w:val="bullet"/>
      <w:lvlText w:val="-"/>
      <w:lvlJc w:val="left"/>
      <w:pPr>
        <w:ind w:left="1493" w:hanging="360"/>
      </w:pPr>
      <w:rPr>
        <w:rFonts w:ascii="Times New Roman" w:eastAsia="Times New Roman" w:hAnsi="Times New Roman" w:cs="Times New Roman" w:hint="default"/>
      </w:rPr>
    </w:lvl>
    <w:lvl w:ilvl="1" w:tplc="04070003">
      <w:start w:val="1"/>
      <w:numFmt w:val="bullet"/>
      <w:lvlText w:val="o"/>
      <w:lvlJc w:val="left"/>
      <w:pPr>
        <w:ind w:left="2213" w:hanging="360"/>
      </w:pPr>
      <w:rPr>
        <w:rFonts w:ascii="Courier New" w:hAnsi="Courier New" w:cs="Courier New" w:hint="default"/>
      </w:rPr>
    </w:lvl>
    <w:lvl w:ilvl="2" w:tplc="04070005" w:tentative="1">
      <w:start w:val="1"/>
      <w:numFmt w:val="bullet"/>
      <w:lvlText w:val=""/>
      <w:lvlJc w:val="left"/>
      <w:pPr>
        <w:ind w:left="2933" w:hanging="360"/>
      </w:pPr>
      <w:rPr>
        <w:rFonts w:ascii="Wingdings" w:hAnsi="Wingdings" w:hint="default"/>
      </w:rPr>
    </w:lvl>
    <w:lvl w:ilvl="3" w:tplc="04070001" w:tentative="1">
      <w:start w:val="1"/>
      <w:numFmt w:val="bullet"/>
      <w:lvlText w:val=""/>
      <w:lvlJc w:val="left"/>
      <w:pPr>
        <w:ind w:left="3653" w:hanging="360"/>
      </w:pPr>
      <w:rPr>
        <w:rFonts w:ascii="Symbol" w:hAnsi="Symbol" w:hint="default"/>
      </w:rPr>
    </w:lvl>
    <w:lvl w:ilvl="4" w:tplc="04070003" w:tentative="1">
      <w:start w:val="1"/>
      <w:numFmt w:val="bullet"/>
      <w:lvlText w:val="o"/>
      <w:lvlJc w:val="left"/>
      <w:pPr>
        <w:ind w:left="4373" w:hanging="360"/>
      </w:pPr>
      <w:rPr>
        <w:rFonts w:ascii="Courier New" w:hAnsi="Courier New" w:cs="Courier New" w:hint="default"/>
      </w:rPr>
    </w:lvl>
    <w:lvl w:ilvl="5" w:tplc="04070005" w:tentative="1">
      <w:start w:val="1"/>
      <w:numFmt w:val="bullet"/>
      <w:lvlText w:val=""/>
      <w:lvlJc w:val="left"/>
      <w:pPr>
        <w:ind w:left="5093" w:hanging="360"/>
      </w:pPr>
      <w:rPr>
        <w:rFonts w:ascii="Wingdings" w:hAnsi="Wingdings" w:hint="default"/>
      </w:rPr>
    </w:lvl>
    <w:lvl w:ilvl="6" w:tplc="04070001" w:tentative="1">
      <w:start w:val="1"/>
      <w:numFmt w:val="bullet"/>
      <w:lvlText w:val=""/>
      <w:lvlJc w:val="left"/>
      <w:pPr>
        <w:ind w:left="5813" w:hanging="360"/>
      </w:pPr>
      <w:rPr>
        <w:rFonts w:ascii="Symbol" w:hAnsi="Symbol" w:hint="default"/>
      </w:rPr>
    </w:lvl>
    <w:lvl w:ilvl="7" w:tplc="04070003" w:tentative="1">
      <w:start w:val="1"/>
      <w:numFmt w:val="bullet"/>
      <w:lvlText w:val="o"/>
      <w:lvlJc w:val="left"/>
      <w:pPr>
        <w:ind w:left="6533" w:hanging="360"/>
      </w:pPr>
      <w:rPr>
        <w:rFonts w:ascii="Courier New" w:hAnsi="Courier New" w:cs="Courier New" w:hint="default"/>
      </w:rPr>
    </w:lvl>
    <w:lvl w:ilvl="8" w:tplc="04070005" w:tentative="1">
      <w:start w:val="1"/>
      <w:numFmt w:val="bullet"/>
      <w:lvlText w:val=""/>
      <w:lvlJc w:val="left"/>
      <w:pPr>
        <w:ind w:left="7253" w:hanging="360"/>
      </w:pPr>
      <w:rPr>
        <w:rFonts w:ascii="Wingdings" w:hAnsi="Wingdings" w:hint="default"/>
      </w:rPr>
    </w:lvl>
  </w:abstractNum>
  <w:num w:numId="1" w16cid:durableId="178931585">
    <w:abstractNumId w:val="1"/>
  </w:num>
  <w:num w:numId="2" w16cid:durableId="288586057">
    <w:abstractNumId w:val="15"/>
  </w:num>
  <w:num w:numId="3" w16cid:durableId="1109007342">
    <w:abstractNumId w:val="9"/>
  </w:num>
  <w:num w:numId="4" w16cid:durableId="357194575">
    <w:abstractNumId w:val="13"/>
  </w:num>
  <w:num w:numId="5" w16cid:durableId="1849055607">
    <w:abstractNumId w:val="14"/>
  </w:num>
  <w:num w:numId="6" w16cid:durableId="1358772054">
    <w:abstractNumId w:val="3"/>
  </w:num>
  <w:num w:numId="7" w16cid:durableId="536233649">
    <w:abstractNumId w:val="2"/>
  </w:num>
  <w:num w:numId="8" w16cid:durableId="696156073">
    <w:abstractNumId w:val="12"/>
  </w:num>
  <w:num w:numId="9" w16cid:durableId="1897550181">
    <w:abstractNumId w:val="7"/>
  </w:num>
  <w:num w:numId="10" w16cid:durableId="1038047943">
    <w:abstractNumId w:val="8"/>
  </w:num>
  <w:num w:numId="11" w16cid:durableId="1459495399">
    <w:abstractNumId w:val="6"/>
  </w:num>
  <w:num w:numId="12" w16cid:durableId="1889224104">
    <w:abstractNumId w:val="0"/>
  </w:num>
  <w:num w:numId="13" w16cid:durableId="1564099198">
    <w:abstractNumId w:val="16"/>
  </w:num>
  <w:num w:numId="14" w16cid:durableId="2077360162">
    <w:abstractNumId w:val="5"/>
  </w:num>
  <w:num w:numId="15" w16cid:durableId="1272736710">
    <w:abstractNumId w:val="11"/>
  </w:num>
  <w:num w:numId="16" w16cid:durableId="1585844503">
    <w:abstractNumId w:val="4"/>
  </w:num>
  <w:num w:numId="17" w16cid:durableId="1935166618">
    <w:abstractNumId w:val="17"/>
  </w:num>
  <w:num w:numId="18" w16cid:durableId="5983492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H" w:vendorID="64" w:dllVersion="4096" w:nlCheck="1" w:checkStyle="0"/>
  <w:activeWritingStyle w:appName="MSWord" w:lang="fr-CH"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3E9C"/>
    <w:rsid w:val="00014557"/>
    <w:rsid w:val="000159D5"/>
    <w:rsid w:val="00016D6D"/>
    <w:rsid w:val="00017C2C"/>
    <w:rsid w:val="00020B64"/>
    <w:rsid w:val="00020C67"/>
    <w:rsid w:val="000215B9"/>
    <w:rsid w:val="000228F3"/>
    <w:rsid w:val="00023558"/>
    <w:rsid w:val="00023BEE"/>
    <w:rsid w:val="000240E6"/>
    <w:rsid w:val="00024413"/>
    <w:rsid w:val="00024A79"/>
    <w:rsid w:val="00025D05"/>
    <w:rsid w:val="00026D89"/>
    <w:rsid w:val="00027645"/>
    <w:rsid w:val="00030363"/>
    <w:rsid w:val="0003094F"/>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04A"/>
    <w:rsid w:val="0007465C"/>
    <w:rsid w:val="00074DA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5AD2"/>
    <w:rsid w:val="000960D4"/>
    <w:rsid w:val="00096380"/>
    <w:rsid w:val="000977A6"/>
    <w:rsid w:val="000A1CF3"/>
    <w:rsid w:val="000A298B"/>
    <w:rsid w:val="000A418A"/>
    <w:rsid w:val="000A4325"/>
    <w:rsid w:val="000A4AF9"/>
    <w:rsid w:val="000A5209"/>
    <w:rsid w:val="000A556D"/>
    <w:rsid w:val="000A6F83"/>
    <w:rsid w:val="000A6FA7"/>
    <w:rsid w:val="000A764B"/>
    <w:rsid w:val="000A76B2"/>
    <w:rsid w:val="000B1450"/>
    <w:rsid w:val="000B1583"/>
    <w:rsid w:val="000B175B"/>
    <w:rsid w:val="000B1B2F"/>
    <w:rsid w:val="000B1D84"/>
    <w:rsid w:val="000B1F3A"/>
    <w:rsid w:val="000B333F"/>
    <w:rsid w:val="000B3706"/>
    <w:rsid w:val="000B3A0F"/>
    <w:rsid w:val="000B3C62"/>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5D67"/>
    <w:rsid w:val="000C65B0"/>
    <w:rsid w:val="000C6AD7"/>
    <w:rsid w:val="000C6BF7"/>
    <w:rsid w:val="000C7197"/>
    <w:rsid w:val="000D0124"/>
    <w:rsid w:val="000D0D57"/>
    <w:rsid w:val="000D0F39"/>
    <w:rsid w:val="000D19C9"/>
    <w:rsid w:val="000D2557"/>
    <w:rsid w:val="000D2F6B"/>
    <w:rsid w:val="000D30C2"/>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308E"/>
    <w:rsid w:val="000F31FC"/>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177"/>
    <w:rsid w:val="00105554"/>
    <w:rsid w:val="0010567B"/>
    <w:rsid w:val="001064C9"/>
    <w:rsid w:val="00106610"/>
    <w:rsid w:val="001070CF"/>
    <w:rsid w:val="00107F70"/>
    <w:rsid w:val="00107FE0"/>
    <w:rsid w:val="00110185"/>
    <w:rsid w:val="00111143"/>
    <w:rsid w:val="00112DD2"/>
    <w:rsid w:val="00114856"/>
    <w:rsid w:val="001149F1"/>
    <w:rsid w:val="00115C3A"/>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4C92"/>
    <w:rsid w:val="00165286"/>
    <w:rsid w:val="00165420"/>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4753"/>
    <w:rsid w:val="0017505B"/>
    <w:rsid w:val="001753CE"/>
    <w:rsid w:val="00175900"/>
    <w:rsid w:val="00176232"/>
    <w:rsid w:val="001765FC"/>
    <w:rsid w:val="00176C70"/>
    <w:rsid w:val="00176D0B"/>
    <w:rsid w:val="00177573"/>
    <w:rsid w:val="00177F0E"/>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2508"/>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267"/>
    <w:rsid w:val="001D26DF"/>
    <w:rsid w:val="001D374A"/>
    <w:rsid w:val="001D3DF5"/>
    <w:rsid w:val="001D3F85"/>
    <w:rsid w:val="001D4641"/>
    <w:rsid w:val="001D4692"/>
    <w:rsid w:val="001D4841"/>
    <w:rsid w:val="001D532E"/>
    <w:rsid w:val="001D608D"/>
    <w:rsid w:val="001D6545"/>
    <w:rsid w:val="001D76F6"/>
    <w:rsid w:val="001D7D5E"/>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1CB4"/>
    <w:rsid w:val="001F3B63"/>
    <w:rsid w:val="001F4438"/>
    <w:rsid w:val="001F58D3"/>
    <w:rsid w:val="001F71E6"/>
    <w:rsid w:val="001F7234"/>
    <w:rsid w:val="001F7734"/>
    <w:rsid w:val="00200117"/>
    <w:rsid w:val="00200899"/>
    <w:rsid w:val="002008AC"/>
    <w:rsid w:val="002015F7"/>
    <w:rsid w:val="00201A0F"/>
    <w:rsid w:val="00201B69"/>
    <w:rsid w:val="00201D4F"/>
    <w:rsid w:val="00201ED7"/>
    <w:rsid w:val="00203FF4"/>
    <w:rsid w:val="0020498C"/>
    <w:rsid w:val="002052DB"/>
    <w:rsid w:val="00205435"/>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2A1"/>
    <w:rsid w:val="00222772"/>
    <w:rsid w:val="00222D4D"/>
    <w:rsid w:val="0022356E"/>
    <w:rsid w:val="00223D61"/>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045"/>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15B1"/>
    <w:rsid w:val="002825D3"/>
    <w:rsid w:val="00282ABB"/>
    <w:rsid w:val="002832D7"/>
    <w:rsid w:val="00283796"/>
    <w:rsid w:val="00283B14"/>
    <w:rsid w:val="00284380"/>
    <w:rsid w:val="002844A7"/>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76"/>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D13"/>
    <w:rsid w:val="002B236D"/>
    <w:rsid w:val="002B29F2"/>
    <w:rsid w:val="002B2C9E"/>
    <w:rsid w:val="002B2FAD"/>
    <w:rsid w:val="002B3557"/>
    <w:rsid w:val="002B38EA"/>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1939"/>
    <w:rsid w:val="002C27BB"/>
    <w:rsid w:val="002C2C34"/>
    <w:rsid w:val="002C4714"/>
    <w:rsid w:val="002C4A7C"/>
    <w:rsid w:val="002C4CCA"/>
    <w:rsid w:val="002C4DE6"/>
    <w:rsid w:val="002C5735"/>
    <w:rsid w:val="002C5A7A"/>
    <w:rsid w:val="002C5E6D"/>
    <w:rsid w:val="002C6485"/>
    <w:rsid w:val="002C6E1C"/>
    <w:rsid w:val="002C701E"/>
    <w:rsid w:val="002C7DF7"/>
    <w:rsid w:val="002D0292"/>
    <w:rsid w:val="002D1D21"/>
    <w:rsid w:val="002D1FA8"/>
    <w:rsid w:val="002D3223"/>
    <w:rsid w:val="002D329C"/>
    <w:rsid w:val="002D47B4"/>
    <w:rsid w:val="002D5C40"/>
    <w:rsid w:val="002D5FEB"/>
    <w:rsid w:val="002D6390"/>
    <w:rsid w:val="002D6711"/>
    <w:rsid w:val="002D72E7"/>
    <w:rsid w:val="002D7A39"/>
    <w:rsid w:val="002E02E2"/>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6"/>
    <w:rsid w:val="002F4E9C"/>
    <w:rsid w:val="002F5B02"/>
    <w:rsid w:val="002F5BEC"/>
    <w:rsid w:val="002F6CC1"/>
    <w:rsid w:val="002F6D4B"/>
    <w:rsid w:val="002F6D91"/>
    <w:rsid w:val="002F7E48"/>
    <w:rsid w:val="0030014B"/>
    <w:rsid w:val="0030060D"/>
    <w:rsid w:val="00300844"/>
    <w:rsid w:val="00300B29"/>
    <w:rsid w:val="00302537"/>
    <w:rsid w:val="00302BC1"/>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C39"/>
    <w:rsid w:val="00314FF7"/>
    <w:rsid w:val="00315249"/>
    <w:rsid w:val="0031557B"/>
    <w:rsid w:val="003158A2"/>
    <w:rsid w:val="003161FA"/>
    <w:rsid w:val="00316251"/>
    <w:rsid w:val="003164D9"/>
    <w:rsid w:val="0031655D"/>
    <w:rsid w:val="00316AE0"/>
    <w:rsid w:val="003177C5"/>
    <w:rsid w:val="0032084C"/>
    <w:rsid w:val="0032104C"/>
    <w:rsid w:val="00321A70"/>
    <w:rsid w:val="003229D8"/>
    <w:rsid w:val="00322F04"/>
    <w:rsid w:val="0032319B"/>
    <w:rsid w:val="00323377"/>
    <w:rsid w:val="0032447E"/>
    <w:rsid w:val="003245FB"/>
    <w:rsid w:val="003249DE"/>
    <w:rsid w:val="00325C30"/>
    <w:rsid w:val="003260D7"/>
    <w:rsid w:val="003260E4"/>
    <w:rsid w:val="00327545"/>
    <w:rsid w:val="003277B0"/>
    <w:rsid w:val="00330095"/>
    <w:rsid w:val="0033184D"/>
    <w:rsid w:val="0033203B"/>
    <w:rsid w:val="00333363"/>
    <w:rsid w:val="0033433C"/>
    <w:rsid w:val="00335E51"/>
    <w:rsid w:val="00336B93"/>
    <w:rsid w:val="00336C90"/>
    <w:rsid w:val="00336D73"/>
    <w:rsid w:val="00336D9A"/>
    <w:rsid w:val="0033709A"/>
    <w:rsid w:val="0033713D"/>
    <w:rsid w:val="0033745A"/>
    <w:rsid w:val="00340052"/>
    <w:rsid w:val="00340CCD"/>
    <w:rsid w:val="00341E13"/>
    <w:rsid w:val="0034206B"/>
    <w:rsid w:val="0034246C"/>
    <w:rsid w:val="00342D3C"/>
    <w:rsid w:val="00343B8A"/>
    <w:rsid w:val="0034544A"/>
    <w:rsid w:val="00345A98"/>
    <w:rsid w:val="00346885"/>
    <w:rsid w:val="00347100"/>
    <w:rsid w:val="003502CB"/>
    <w:rsid w:val="0035085A"/>
    <w:rsid w:val="00350F87"/>
    <w:rsid w:val="0035448A"/>
    <w:rsid w:val="00354A29"/>
    <w:rsid w:val="00354B00"/>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3117"/>
    <w:rsid w:val="003744EA"/>
    <w:rsid w:val="00374E29"/>
    <w:rsid w:val="00375DF9"/>
    <w:rsid w:val="00375FAF"/>
    <w:rsid w:val="003761B0"/>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A29"/>
    <w:rsid w:val="003C5BEE"/>
    <w:rsid w:val="003C7781"/>
    <w:rsid w:val="003D0263"/>
    <w:rsid w:val="003D05DA"/>
    <w:rsid w:val="003D0844"/>
    <w:rsid w:val="003D0973"/>
    <w:rsid w:val="003D0BC4"/>
    <w:rsid w:val="003D147F"/>
    <w:rsid w:val="003D17CC"/>
    <w:rsid w:val="003D3D20"/>
    <w:rsid w:val="003D3F6A"/>
    <w:rsid w:val="003D3FF4"/>
    <w:rsid w:val="003D4967"/>
    <w:rsid w:val="003D4B23"/>
    <w:rsid w:val="003D57B4"/>
    <w:rsid w:val="003D64F8"/>
    <w:rsid w:val="003D66D5"/>
    <w:rsid w:val="003D7118"/>
    <w:rsid w:val="003D7B3A"/>
    <w:rsid w:val="003E1040"/>
    <w:rsid w:val="003E1349"/>
    <w:rsid w:val="003E1658"/>
    <w:rsid w:val="003E1C5B"/>
    <w:rsid w:val="003E23B7"/>
    <w:rsid w:val="003E26D5"/>
    <w:rsid w:val="003E2B15"/>
    <w:rsid w:val="003E2B30"/>
    <w:rsid w:val="003E36C4"/>
    <w:rsid w:val="003E3710"/>
    <w:rsid w:val="003E563D"/>
    <w:rsid w:val="003E642C"/>
    <w:rsid w:val="003E650C"/>
    <w:rsid w:val="003E6782"/>
    <w:rsid w:val="003E6BCD"/>
    <w:rsid w:val="003E6CB7"/>
    <w:rsid w:val="003E7523"/>
    <w:rsid w:val="003E79A1"/>
    <w:rsid w:val="003E7E3D"/>
    <w:rsid w:val="003E7F49"/>
    <w:rsid w:val="003F0B66"/>
    <w:rsid w:val="003F1933"/>
    <w:rsid w:val="003F1AB4"/>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5E17"/>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EA7"/>
    <w:rsid w:val="004223FF"/>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8A5"/>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251E"/>
    <w:rsid w:val="00483909"/>
    <w:rsid w:val="00485227"/>
    <w:rsid w:val="0048560F"/>
    <w:rsid w:val="00485638"/>
    <w:rsid w:val="0048637F"/>
    <w:rsid w:val="0048638C"/>
    <w:rsid w:val="00486A6B"/>
    <w:rsid w:val="00487E1A"/>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97E08"/>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C2A"/>
    <w:rsid w:val="004C6F51"/>
    <w:rsid w:val="004D04A6"/>
    <w:rsid w:val="004D0B3E"/>
    <w:rsid w:val="004D0C9D"/>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1CFB"/>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1C0A"/>
    <w:rsid w:val="004F20D2"/>
    <w:rsid w:val="004F2416"/>
    <w:rsid w:val="004F2EC3"/>
    <w:rsid w:val="004F3439"/>
    <w:rsid w:val="004F467E"/>
    <w:rsid w:val="004F6B2B"/>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27CAE"/>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A7F"/>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4F80"/>
    <w:rsid w:val="0056522F"/>
    <w:rsid w:val="00566F70"/>
    <w:rsid w:val="005674CA"/>
    <w:rsid w:val="00567552"/>
    <w:rsid w:val="005721F9"/>
    <w:rsid w:val="005724FB"/>
    <w:rsid w:val="0057254A"/>
    <w:rsid w:val="005726B5"/>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1CC5"/>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299B"/>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3A1D"/>
    <w:rsid w:val="006149D9"/>
    <w:rsid w:val="0061542B"/>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1D0"/>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48AA"/>
    <w:rsid w:val="0065545C"/>
    <w:rsid w:val="0065603A"/>
    <w:rsid w:val="006603C0"/>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38C"/>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80D"/>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5C0"/>
    <w:rsid w:val="00696776"/>
    <w:rsid w:val="00697388"/>
    <w:rsid w:val="006976E5"/>
    <w:rsid w:val="006A0231"/>
    <w:rsid w:val="006A0904"/>
    <w:rsid w:val="006A1755"/>
    <w:rsid w:val="006A1F15"/>
    <w:rsid w:val="006A2E7D"/>
    <w:rsid w:val="006A30C5"/>
    <w:rsid w:val="006A35C1"/>
    <w:rsid w:val="006A41B0"/>
    <w:rsid w:val="006A4A29"/>
    <w:rsid w:val="006A4A85"/>
    <w:rsid w:val="006A4E4D"/>
    <w:rsid w:val="006A516A"/>
    <w:rsid w:val="006A5979"/>
    <w:rsid w:val="006A657E"/>
    <w:rsid w:val="006A6ACF"/>
    <w:rsid w:val="006A706E"/>
    <w:rsid w:val="006A7392"/>
    <w:rsid w:val="006B03EA"/>
    <w:rsid w:val="006B09EE"/>
    <w:rsid w:val="006B1DC1"/>
    <w:rsid w:val="006B295C"/>
    <w:rsid w:val="006B3BAA"/>
    <w:rsid w:val="006B3BC0"/>
    <w:rsid w:val="006B3E82"/>
    <w:rsid w:val="006B5A40"/>
    <w:rsid w:val="006B5EB9"/>
    <w:rsid w:val="006B5F39"/>
    <w:rsid w:val="006B6D99"/>
    <w:rsid w:val="006B7036"/>
    <w:rsid w:val="006B709E"/>
    <w:rsid w:val="006B7A22"/>
    <w:rsid w:val="006B7BA0"/>
    <w:rsid w:val="006C0979"/>
    <w:rsid w:val="006C09C2"/>
    <w:rsid w:val="006C17D5"/>
    <w:rsid w:val="006C2466"/>
    <w:rsid w:val="006C2666"/>
    <w:rsid w:val="006C2BCF"/>
    <w:rsid w:val="006C395D"/>
    <w:rsid w:val="006C3F2A"/>
    <w:rsid w:val="006C3F3F"/>
    <w:rsid w:val="006C507B"/>
    <w:rsid w:val="006C5266"/>
    <w:rsid w:val="006C5E27"/>
    <w:rsid w:val="006C63D0"/>
    <w:rsid w:val="006C6B53"/>
    <w:rsid w:val="006C6EC4"/>
    <w:rsid w:val="006C77F5"/>
    <w:rsid w:val="006D181F"/>
    <w:rsid w:val="006D24AD"/>
    <w:rsid w:val="006D2875"/>
    <w:rsid w:val="006D28EE"/>
    <w:rsid w:val="006D2D5B"/>
    <w:rsid w:val="006D332E"/>
    <w:rsid w:val="006D4452"/>
    <w:rsid w:val="006D548F"/>
    <w:rsid w:val="006D55B1"/>
    <w:rsid w:val="006D5C31"/>
    <w:rsid w:val="006D6712"/>
    <w:rsid w:val="006D68C1"/>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4C0"/>
    <w:rsid w:val="006E564B"/>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7424"/>
    <w:rsid w:val="007078E9"/>
    <w:rsid w:val="00707AF1"/>
    <w:rsid w:val="00707C07"/>
    <w:rsid w:val="007100E8"/>
    <w:rsid w:val="0071166F"/>
    <w:rsid w:val="00711E19"/>
    <w:rsid w:val="00711ECB"/>
    <w:rsid w:val="00712F7D"/>
    <w:rsid w:val="00713D87"/>
    <w:rsid w:val="00714A93"/>
    <w:rsid w:val="00714AF6"/>
    <w:rsid w:val="00715486"/>
    <w:rsid w:val="007156D5"/>
    <w:rsid w:val="007159C3"/>
    <w:rsid w:val="0071676A"/>
    <w:rsid w:val="0071696C"/>
    <w:rsid w:val="00717A72"/>
    <w:rsid w:val="00720779"/>
    <w:rsid w:val="0072117C"/>
    <w:rsid w:val="00721521"/>
    <w:rsid w:val="00721608"/>
    <w:rsid w:val="0072178A"/>
    <w:rsid w:val="00721E0A"/>
    <w:rsid w:val="007228B9"/>
    <w:rsid w:val="00722CB8"/>
    <w:rsid w:val="00722D86"/>
    <w:rsid w:val="00723A10"/>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459E"/>
    <w:rsid w:val="00744DDC"/>
    <w:rsid w:val="00745285"/>
    <w:rsid w:val="00745AD0"/>
    <w:rsid w:val="00745D5C"/>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0E7"/>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7279"/>
    <w:rsid w:val="007874E7"/>
    <w:rsid w:val="00787B5A"/>
    <w:rsid w:val="00787B74"/>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8B8"/>
    <w:rsid w:val="007A2D84"/>
    <w:rsid w:val="007A31CE"/>
    <w:rsid w:val="007A3CB8"/>
    <w:rsid w:val="007A3D41"/>
    <w:rsid w:val="007A3F98"/>
    <w:rsid w:val="007A4235"/>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D7912"/>
    <w:rsid w:val="007E0651"/>
    <w:rsid w:val="007E1056"/>
    <w:rsid w:val="007E1267"/>
    <w:rsid w:val="007E13DF"/>
    <w:rsid w:val="007E1680"/>
    <w:rsid w:val="007E1844"/>
    <w:rsid w:val="007E23C0"/>
    <w:rsid w:val="007E277C"/>
    <w:rsid w:val="007E2B5F"/>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84F"/>
    <w:rsid w:val="00813E02"/>
    <w:rsid w:val="00814D5A"/>
    <w:rsid w:val="00815CBB"/>
    <w:rsid w:val="008161CE"/>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4B2F"/>
    <w:rsid w:val="008254B2"/>
    <w:rsid w:val="00825947"/>
    <w:rsid w:val="008259BE"/>
    <w:rsid w:val="00825D0F"/>
    <w:rsid w:val="0082604F"/>
    <w:rsid w:val="00826267"/>
    <w:rsid w:val="00826E2B"/>
    <w:rsid w:val="008276C7"/>
    <w:rsid w:val="0082793C"/>
    <w:rsid w:val="00827E05"/>
    <w:rsid w:val="00830782"/>
    <w:rsid w:val="00830A98"/>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165E"/>
    <w:rsid w:val="008419DA"/>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92F"/>
    <w:rsid w:val="00854C89"/>
    <w:rsid w:val="00855010"/>
    <w:rsid w:val="00856875"/>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0BAB"/>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6F42"/>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34FE"/>
    <w:rsid w:val="008B403C"/>
    <w:rsid w:val="008B4700"/>
    <w:rsid w:val="008B4C94"/>
    <w:rsid w:val="008B671C"/>
    <w:rsid w:val="008B71A4"/>
    <w:rsid w:val="008B75EA"/>
    <w:rsid w:val="008B7DA9"/>
    <w:rsid w:val="008B7E1C"/>
    <w:rsid w:val="008C047A"/>
    <w:rsid w:val="008C0857"/>
    <w:rsid w:val="008C0DC8"/>
    <w:rsid w:val="008C10D7"/>
    <w:rsid w:val="008C1A0D"/>
    <w:rsid w:val="008C227E"/>
    <w:rsid w:val="008C23DE"/>
    <w:rsid w:val="008C2718"/>
    <w:rsid w:val="008C274F"/>
    <w:rsid w:val="008C373E"/>
    <w:rsid w:val="008C3997"/>
    <w:rsid w:val="008C3D6E"/>
    <w:rsid w:val="008C4149"/>
    <w:rsid w:val="008C63BA"/>
    <w:rsid w:val="008C74A6"/>
    <w:rsid w:val="008C76EE"/>
    <w:rsid w:val="008C7FDF"/>
    <w:rsid w:val="008D010E"/>
    <w:rsid w:val="008D02BB"/>
    <w:rsid w:val="008D0443"/>
    <w:rsid w:val="008D0C85"/>
    <w:rsid w:val="008D1954"/>
    <w:rsid w:val="008D1A60"/>
    <w:rsid w:val="008D3187"/>
    <w:rsid w:val="008D3EEC"/>
    <w:rsid w:val="008D42DE"/>
    <w:rsid w:val="008D55E0"/>
    <w:rsid w:val="008D63EA"/>
    <w:rsid w:val="008D6684"/>
    <w:rsid w:val="008D693C"/>
    <w:rsid w:val="008D6FB6"/>
    <w:rsid w:val="008D789A"/>
    <w:rsid w:val="008D7B51"/>
    <w:rsid w:val="008E096A"/>
    <w:rsid w:val="008E0E46"/>
    <w:rsid w:val="008E19B9"/>
    <w:rsid w:val="008E25E5"/>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903"/>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853"/>
    <w:rsid w:val="00927E47"/>
    <w:rsid w:val="00930E90"/>
    <w:rsid w:val="0093165D"/>
    <w:rsid w:val="00931A87"/>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1473"/>
    <w:rsid w:val="009C2332"/>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7E2"/>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68D"/>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087F"/>
    <w:rsid w:val="00AC17DC"/>
    <w:rsid w:val="00AC1DCA"/>
    <w:rsid w:val="00AC2023"/>
    <w:rsid w:val="00AC2638"/>
    <w:rsid w:val="00AC2F5B"/>
    <w:rsid w:val="00AC33D1"/>
    <w:rsid w:val="00AC3972"/>
    <w:rsid w:val="00AC3CB4"/>
    <w:rsid w:val="00AC3D27"/>
    <w:rsid w:val="00AC44DB"/>
    <w:rsid w:val="00AC49B8"/>
    <w:rsid w:val="00AC59BD"/>
    <w:rsid w:val="00AC604D"/>
    <w:rsid w:val="00AC6294"/>
    <w:rsid w:val="00AC73A0"/>
    <w:rsid w:val="00AC78D8"/>
    <w:rsid w:val="00AC7FE0"/>
    <w:rsid w:val="00AD08D4"/>
    <w:rsid w:val="00AD1946"/>
    <w:rsid w:val="00AD217F"/>
    <w:rsid w:val="00AD221D"/>
    <w:rsid w:val="00AD2305"/>
    <w:rsid w:val="00AD23DD"/>
    <w:rsid w:val="00AD2BD8"/>
    <w:rsid w:val="00AD46B9"/>
    <w:rsid w:val="00AD5022"/>
    <w:rsid w:val="00AD6482"/>
    <w:rsid w:val="00AD6A23"/>
    <w:rsid w:val="00AD6F00"/>
    <w:rsid w:val="00AD79CB"/>
    <w:rsid w:val="00AD7AAA"/>
    <w:rsid w:val="00AE0EFE"/>
    <w:rsid w:val="00AE13E2"/>
    <w:rsid w:val="00AE1892"/>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0FA5"/>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2CD"/>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A5B"/>
    <w:rsid w:val="00B87F87"/>
    <w:rsid w:val="00B90157"/>
    <w:rsid w:val="00B908A0"/>
    <w:rsid w:val="00B91EF9"/>
    <w:rsid w:val="00B93168"/>
    <w:rsid w:val="00B932AE"/>
    <w:rsid w:val="00B94E04"/>
    <w:rsid w:val="00B94FFB"/>
    <w:rsid w:val="00B96472"/>
    <w:rsid w:val="00B96C01"/>
    <w:rsid w:val="00BA0496"/>
    <w:rsid w:val="00BA1931"/>
    <w:rsid w:val="00BA212A"/>
    <w:rsid w:val="00BA21AB"/>
    <w:rsid w:val="00BA299A"/>
    <w:rsid w:val="00BA2D36"/>
    <w:rsid w:val="00BA3E22"/>
    <w:rsid w:val="00BA4047"/>
    <w:rsid w:val="00BA406B"/>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6C4"/>
    <w:rsid w:val="00BC197B"/>
    <w:rsid w:val="00BC24E7"/>
    <w:rsid w:val="00BC3011"/>
    <w:rsid w:val="00BC3800"/>
    <w:rsid w:val="00BC3911"/>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FA"/>
    <w:rsid w:val="00BF0667"/>
    <w:rsid w:val="00BF2B39"/>
    <w:rsid w:val="00BF310C"/>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08C"/>
    <w:rsid w:val="00C17699"/>
    <w:rsid w:val="00C21013"/>
    <w:rsid w:val="00C22438"/>
    <w:rsid w:val="00C24322"/>
    <w:rsid w:val="00C249AB"/>
    <w:rsid w:val="00C250BA"/>
    <w:rsid w:val="00C2603F"/>
    <w:rsid w:val="00C30523"/>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6CF0"/>
    <w:rsid w:val="00C57CEF"/>
    <w:rsid w:val="00C606AC"/>
    <w:rsid w:val="00C61A5B"/>
    <w:rsid w:val="00C61B27"/>
    <w:rsid w:val="00C6207E"/>
    <w:rsid w:val="00C62EC6"/>
    <w:rsid w:val="00C63552"/>
    <w:rsid w:val="00C64FD1"/>
    <w:rsid w:val="00C6500C"/>
    <w:rsid w:val="00C65093"/>
    <w:rsid w:val="00C65BA0"/>
    <w:rsid w:val="00C666B3"/>
    <w:rsid w:val="00C67823"/>
    <w:rsid w:val="00C7022C"/>
    <w:rsid w:val="00C70851"/>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055F"/>
    <w:rsid w:val="00C91EF9"/>
    <w:rsid w:val="00C924A3"/>
    <w:rsid w:val="00C92573"/>
    <w:rsid w:val="00C92732"/>
    <w:rsid w:val="00C92E47"/>
    <w:rsid w:val="00C94906"/>
    <w:rsid w:val="00C94EB3"/>
    <w:rsid w:val="00C94F79"/>
    <w:rsid w:val="00C96241"/>
    <w:rsid w:val="00C967FB"/>
    <w:rsid w:val="00C974AF"/>
    <w:rsid w:val="00C97872"/>
    <w:rsid w:val="00C979D8"/>
    <w:rsid w:val="00CA04EB"/>
    <w:rsid w:val="00CA172C"/>
    <w:rsid w:val="00CA1D35"/>
    <w:rsid w:val="00CA2EB8"/>
    <w:rsid w:val="00CA361E"/>
    <w:rsid w:val="00CA55C5"/>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3F4E"/>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0A5"/>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022"/>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9CA"/>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7D7"/>
    <w:rsid w:val="00DA4C79"/>
    <w:rsid w:val="00DA5073"/>
    <w:rsid w:val="00DA56FC"/>
    <w:rsid w:val="00DA587B"/>
    <w:rsid w:val="00DA6185"/>
    <w:rsid w:val="00DA665E"/>
    <w:rsid w:val="00DA67AD"/>
    <w:rsid w:val="00DA6F8C"/>
    <w:rsid w:val="00DA725B"/>
    <w:rsid w:val="00DA73A5"/>
    <w:rsid w:val="00DA76D9"/>
    <w:rsid w:val="00DB0F07"/>
    <w:rsid w:val="00DB1331"/>
    <w:rsid w:val="00DB26E5"/>
    <w:rsid w:val="00DB37B9"/>
    <w:rsid w:val="00DB4E80"/>
    <w:rsid w:val="00DB572D"/>
    <w:rsid w:val="00DB57DA"/>
    <w:rsid w:val="00DB5B3D"/>
    <w:rsid w:val="00DB5C3B"/>
    <w:rsid w:val="00DB5D0F"/>
    <w:rsid w:val="00DB682E"/>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D4B"/>
    <w:rsid w:val="00DD4FB1"/>
    <w:rsid w:val="00DD5434"/>
    <w:rsid w:val="00DD5AC0"/>
    <w:rsid w:val="00DD5ACD"/>
    <w:rsid w:val="00DD5BC6"/>
    <w:rsid w:val="00DD69DC"/>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DF7AE2"/>
    <w:rsid w:val="00E013B4"/>
    <w:rsid w:val="00E0142B"/>
    <w:rsid w:val="00E02A65"/>
    <w:rsid w:val="00E02C81"/>
    <w:rsid w:val="00E033AB"/>
    <w:rsid w:val="00E035EC"/>
    <w:rsid w:val="00E039A3"/>
    <w:rsid w:val="00E03B22"/>
    <w:rsid w:val="00E03BDA"/>
    <w:rsid w:val="00E03FC9"/>
    <w:rsid w:val="00E048CF"/>
    <w:rsid w:val="00E048DB"/>
    <w:rsid w:val="00E04A24"/>
    <w:rsid w:val="00E04B89"/>
    <w:rsid w:val="00E04EC7"/>
    <w:rsid w:val="00E05203"/>
    <w:rsid w:val="00E05D93"/>
    <w:rsid w:val="00E0724F"/>
    <w:rsid w:val="00E07636"/>
    <w:rsid w:val="00E07B8A"/>
    <w:rsid w:val="00E1005E"/>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4FC"/>
    <w:rsid w:val="00E21503"/>
    <w:rsid w:val="00E219D9"/>
    <w:rsid w:val="00E228DE"/>
    <w:rsid w:val="00E22F78"/>
    <w:rsid w:val="00E235F3"/>
    <w:rsid w:val="00E23A9E"/>
    <w:rsid w:val="00E240C9"/>
    <w:rsid w:val="00E248B0"/>
    <w:rsid w:val="00E25015"/>
    <w:rsid w:val="00E25174"/>
    <w:rsid w:val="00E2548B"/>
    <w:rsid w:val="00E26382"/>
    <w:rsid w:val="00E30DF3"/>
    <w:rsid w:val="00E313A5"/>
    <w:rsid w:val="00E317C2"/>
    <w:rsid w:val="00E3212D"/>
    <w:rsid w:val="00E32575"/>
    <w:rsid w:val="00E33718"/>
    <w:rsid w:val="00E33811"/>
    <w:rsid w:val="00E33A40"/>
    <w:rsid w:val="00E340C1"/>
    <w:rsid w:val="00E3490F"/>
    <w:rsid w:val="00E34BCD"/>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0CC"/>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4F9C"/>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DCF"/>
    <w:rsid w:val="00E90F91"/>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554E"/>
    <w:rsid w:val="00EB57E0"/>
    <w:rsid w:val="00EB5BAA"/>
    <w:rsid w:val="00EB6219"/>
    <w:rsid w:val="00EB62C4"/>
    <w:rsid w:val="00EB6545"/>
    <w:rsid w:val="00EB70BF"/>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52D"/>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D0B"/>
    <w:rsid w:val="00F1313A"/>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15B"/>
    <w:rsid w:val="00F363C5"/>
    <w:rsid w:val="00F366D7"/>
    <w:rsid w:val="00F36E4D"/>
    <w:rsid w:val="00F37844"/>
    <w:rsid w:val="00F40C3B"/>
    <w:rsid w:val="00F41A5B"/>
    <w:rsid w:val="00F41C09"/>
    <w:rsid w:val="00F42E0D"/>
    <w:rsid w:val="00F43ECF"/>
    <w:rsid w:val="00F44610"/>
    <w:rsid w:val="00F451D8"/>
    <w:rsid w:val="00F45D02"/>
    <w:rsid w:val="00F46171"/>
    <w:rsid w:val="00F47C7A"/>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022"/>
    <w:rsid w:val="00F632E7"/>
    <w:rsid w:val="00F63583"/>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0C9B"/>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385"/>
    <w:rsid w:val="00F91425"/>
    <w:rsid w:val="00F91484"/>
    <w:rsid w:val="00F924EE"/>
    <w:rsid w:val="00F9422D"/>
    <w:rsid w:val="00F94389"/>
    <w:rsid w:val="00F9614D"/>
    <w:rsid w:val="00F97BC2"/>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50067980"/>
  <w15:docId w15:val="{FDA4A771-BB23-4560-8BB0-261CCAEE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left="0"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uiPriority w:val="99"/>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uiPriority w:val="99"/>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uiPriority w:val="99"/>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5para5thlevel">
    <w:name w:val="5.para 5th level"/>
    <w:basedOn w:val="Normal"/>
    <w:link w:val="5para5thlevelCar"/>
    <w:qFormat/>
    <w:rsid w:val="00E26382"/>
    <w:pPr>
      <w:spacing w:after="120"/>
      <w:ind w:left="2268" w:right="1134" w:hanging="1134"/>
      <w:jc w:val="both"/>
      <w:outlineLvl w:val="4"/>
    </w:pPr>
    <w:rPr>
      <w:rFonts w:eastAsiaTheme="minorEastAsia"/>
    </w:rPr>
  </w:style>
  <w:style w:type="character" w:customStyle="1" w:styleId="5para5thlevelCar">
    <w:name w:val="5.para 5th level Car"/>
    <w:basedOn w:val="DefaultParagraphFont"/>
    <w:link w:val="5para5thlevel"/>
    <w:rsid w:val="00E26382"/>
    <w:rPr>
      <w:rFonts w:eastAsiaTheme="minorEastAsia"/>
      <w:lang w:eastAsia="en-US"/>
    </w:rPr>
  </w:style>
  <w:style w:type="character" w:customStyle="1" w:styleId="fontstyle01">
    <w:name w:val="fontstyle01"/>
    <w:basedOn w:val="DefaultParagraphFont"/>
    <w:rsid w:val="000D30C2"/>
    <w:rPr>
      <w:rFonts w:ascii="TimesNewRomanPS-BoldMT" w:hAnsi="TimesNewRomanPS-BoldMT" w:hint="default"/>
      <w:b/>
      <w:bCs/>
      <w:i w:val="0"/>
      <w:iCs w:val="0"/>
      <w:color w:val="000000"/>
      <w:sz w:val="18"/>
      <w:szCs w:val="18"/>
    </w:rPr>
  </w:style>
  <w:style w:type="paragraph" w:customStyle="1" w:styleId="4Para4thlevel">
    <w:name w:val="4.Para 4th level"/>
    <w:basedOn w:val="Normal"/>
    <w:link w:val="4Para4thlevelCar"/>
    <w:qFormat/>
    <w:rsid w:val="006603C0"/>
    <w:pPr>
      <w:spacing w:after="120"/>
      <w:ind w:left="2268" w:right="1134" w:hanging="1134"/>
      <w:jc w:val="both"/>
      <w:outlineLvl w:val="3"/>
    </w:pPr>
    <w:rPr>
      <w:rFonts w:eastAsiaTheme="minorEastAsia"/>
    </w:rPr>
  </w:style>
  <w:style w:type="character" w:customStyle="1" w:styleId="4Para4thlevelCar">
    <w:name w:val="4.Para 4th level Car"/>
    <w:basedOn w:val="DefaultParagraphFont"/>
    <w:link w:val="4Para4thlevel"/>
    <w:rsid w:val="006603C0"/>
    <w:rPr>
      <w:rFonts w:eastAsiaTheme="minorEastAsia"/>
      <w:lang w:eastAsia="en-US"/>
    </w:rPr>
  </w:style>
  <w:style w:type="paragraph" w:customStyle="1" w:styleId="2para2ndlevel">
    <w:name w:val="2.para 2nd level"/>
    <w:basedOn w:val="Normal"/>
    <w:link w:val="2para2ndlevelCar"/>
    <w:qFormat/>
    <w:rsid w:val="00164C92"/>
    <w:pPr>
      <w:spacing w:after="120"/>
      <w:ind w:left="2268" w:right="1134" w:hanging="1134"/>
      <w:jc w:val="both"/>
      <w:outlineLvl w:val="1"/>
    </w:pPr>
    <w:rPr>
      <w:rFonts w:eastAsia="SimSun"/>
    </w:rPr>
  </w:style>
  <w:style w:type="character" w:customStyle="1" w:styleId="2para2ndlevelCar">
    <w:name w:val="2.para 2nd level Car"/>
    <w:basedOn w:val="DefaultParagraphFont"/>
    <w:link w:val="2para2ndlevel"/>
    <w:rsid w:val="00164C92"/>
    <w:rPr>
      <w:rFonts w:eastAsia="SimSu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6267">
      <w:bodyDiv w:val="1"/>
      <w:marLeft w:val="0"/>
      <w:marRight w:val="0"/>
      <w:marTop w:val="0"/>
      <w:marBottom w:val="0"/>
      <w:divBdr>
        <w:top w:val="none" w:sz="0" w:space="0" w:color="auto"/>
        <w:left w:val="none" w:sz="0" w:space="0" w:color="auto"/>
        <w:bottom w:val="none" w:sz="0" w:space="0" w:color="auto"/>
        <w:right w:val="none" w:sz="0" w:space="0" w:color="auto"/>
      </w:divBdr>
    </w:div>
    <w:div w:id="877668471">
      <w:bodyDiv w:val="1"/>
      <w:marLeft w:val="0"/>
      <w:marRight w:val="0"/>
      <w:marTop w:val="0"/>
      <w:marBottom w:val="0"/>
      <w:divBdr>
        <w:top w:val="none" w:sz="0" w:space="0" w:color="auto"/>
        <w:left w:val="none" w:sz="0" w:space="0" w:color="auto"/>
        <w:bottom w:val="none" w:sz="0" w:space="0" w:color="auto"/>
        <w:right w:val="none" w:sz="0" w:space="0" w:color="auto"/>
      </w:divBdr>
    </w:div>
    <w:div w:id="1114984196">
      <w:bodyDiv w:val="1"/>
      <w:marLeft w:val="0"/>
      <w:marRight w:val="0"/>
      <w:marTop w:val="0"/>
      <w:marBottom w:val="0"/>
      <w:divBdr>
        <w:top w:val="none" w:sz="0" w:space="0" w:color="auto"/>
        <w:left w:val="none" w:sz="0" w:space="0" w:color="auto"/>
        <w:bottom w:val="none" w:sz="0" w:space="0" w:color="auto"/>
        <w:right w:val="none" w:sz="0" w:space="0" w:color="auto"/>
      </w:divBdr>
    </w:div>
    <w:div w:id="1781754021">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41D7D6-8F1E-4C8C-9D9F-9ABA7C2C7BB6}">
  <ds:schemaRefs>
    <ds:schemaRef ds:uri="http://schemas.microsoft.com/sharepoint/v3/contenttype/forms"/>
  </ds:schemaRefs>
</ds:datastoreItem>
</file>

<file path=customXml/itemProps2.xml><?xml version="1.0" encoding="utf-8"?>
<ds:datastoreItem xmlns:ds="http://schemas.openxmlformats.org/officeDocument/2006/customXml" ds:itemID="{1C89772E-B9F7-4560-AACF-2D2F4B02323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77C1DB54-F776-4851-922C-4ACFE9303B8C}">
  <ds:schemaRefs>
    <ds:schemaRef ds:uri="http://schemas.openxmlformats.org/officeDocument/2006/bibliography"/>
  </ds:schemaRefs>
</ds:datastoreItem>
</file>

<file path=customXml/itemProps4.xml><?xml version="1.0" encoding="utf-8"?>
<ds:datastoreItem xmlns:ds="http://schemas.openxmlformats.org/officeDocument/2006/customXml" ds:itemID="{B92A4225-BC8B-48D4-BA29-F64377D73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4</Pages>
  <Words>988</Words>
  <Characters>5071</Characters>
  <Application>Microsoft Office Word</Application>
  <DocSecurity>0</DocSecurity>
  <Lines>167</Lines>
  <Paragraphs>98</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ECE/TRANS/WP.29/GRE/2020/9</vt:lpstr>
      <vt:lpstr>ECE/TRANS/WP.29/GRE/2020/9</vt:lpstr>
      <vt:lpstr>ECE/TRANS/WP.29/GRE/2019/3</vt:lpstr>
      <vt:lpstr>ECE/TRANS/WP.29/GRE/2018/49</vt:lpstr>
    </vt:vector>
  </TitlesOfParts>
  <Company>CSD</Company>
  <LinksUpToDate>false</LinksUpToDate>
  <CharactersWithSpaces>5975</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ECE/TRANS/WP.29/GRE/2023/15</dc:title>
  <dc:subject>2315235</dc:subject>
  <dc:creator>AFTER JUNE</dc:creator>
  <cp:keywords/>
  <dc:description/>
  <cp:lastModifiedBy>Don Canete Martin</cp:lastModifiedBy>
  <cp:revision>2</cp:revision>
  <cp:lastPrinted>2019-01-31T15:08:00Z</cp:lastPrinted>
  <dcterms:created xsi:type="dcterms:W3CDTF">2023-08-07T10:00:00Z</dcterms:created>
  <dcterms:modified xsi:type="dcterms:W3CDTF">2023-08-07T10:00:00Z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9479400</vt:r8>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y fmtid="{D5CDD505-2E9C-101B-9397-08002B2CF9AE}" pid="7" name="Office of Origin">
    <vt:lpwstr/>
  </property>
</Properties>
</file>