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FE0A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CB1068" w14:textId="77777777" w:rsidR="002D5AAC" w:rsidRDefault="002D5AAC" w:rsidP="007169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414A5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CD95F0" w14:textId="5B48C204" w:rsidR="002D5AAC" w:rsidRDefault="0071695C" w:rsidP="0071695C">
            <w:pPr>
              <w:jc w:val="right"/>
            </w:pPr>
            <w:r w:rsidRPr="0071695C">
              <w:rPr>
                <w:sz w:val="40"/>
              </w:rPr>
              <w:t>ECE</w:t>
            </w:r>
            <w:r>
              <w:t>/TRANS/WP.29/GRVA/2023/23</w:t>
            </w:r>
          </w:p>
        </w:tc>
      </w:tr>
      <w:tr w:rsidR="002D5AAC" w:rsidRPr="00E6386B" w14:paraId="1C15C4D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57EB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9D054B" wp14:editId="5FE107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6A86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BC0098" w14:textId="77777777" w:rsidR="002D5AAC" w:rsidRDefault="0071695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6CE066" w14:textId="62B15B2A" w:rsidR="0071695C" w:rsidRDefault="0071695C" w:rsidP="007169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686C2975" w14:textId="77777777" w:rsidR="0071695C" w:rsidRDefault="0071695C" w:rsidP="007169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ADFED3" w14:textId="6B728C7E" w:rsidR="0071695C" w:rsidRPr="008D53B6" w:rsidRDefault="0071695C" w:rsidP="007169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2E0E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4BB7F0" w14:textId="77777777" w:rsidR="0071695C" w:rsidRPr="001568BC" w:rsidRDefault="0071695C" w:rsidP="0071695C">
      <w:pPr>
        <w:spacing w:before="120"/>
        <w:ind w:right="1134"/>
        <w:rPr>
          <w:sz w:val="28"/>
          <w:szCs w:val="28"/>
        </w:rPr>
      </w:pPr>
      <w:r w:rsidRPr="001568BC">
        <w:rPr>
          <w:sz w:val="28"/>
          <w:szCs w:val="28"/>
        </w:rPr>
        <w:t>Комитет по внутреннему транспорту</w:t>
      </w:r>
    </w:p>
    <w:p w14:paraId="58DC3191" w14:textId="3A2E3A41" w:rsidR="0071695C" w:rsidRPr="00735F94" w:rsidRDefault="0071695C" w:rsidP="0071695C">
      <w:pPr>
        <w:spacing w:before="120"/>
        <w:ind w:right="1134"/>
        <w:rPr>
          <w:b/>
          <w:sz w:val="22"/>
        </w:rPr>
      </w:pPr>
      <w:r w:rsidRPr="00735F94">
        <w:rPr>
          <w:b/>
          <w:bCs/>
          <w:sz w:val="22"/>
        </w:rPr>
        <w:t xml:space="preserve">Всемирный форум для согласования правил </w:t>
      </w:r>
      <w:r w:rsidRPr="00735F94">
        <w:rPr>
          <w:b/>
          <w:bCs/>
          <w:sz w:val="22"/>
        </w:rPr>
        <w:br/>
        <w:t>в области транспортных средств</w:t>
      </w:r>
    </w:p>
    <w:p w14:paraId="7E45F4AC" w14:textId="5EE3BAF4" w:rsidR="0071695C" w:rsidRPr="00735F94" w:rsidRDefault="0071695C" w:rsidP="0071695C">
      <w:pPr>
        <w:spacing w:before="120"/>
        <w:ind w:right="1134"/>
        <w:rPr>
          <w:b/>
          <w:szCs w:val="20"/>
        </w:rPr>
      </w:pPr>
      <w:bookmarkStart w:id="0" w:name="_Hlk518466992"/>
      <w:r w:rsidRPr="00735F94">
        <w:rPr>
          <w:b/>
          <w:bCs/>
          <w:szCs w:val="20"/>
        </w:rPr>
        <w:t xml:space="preserve">Рабочая группа по автоматизированным/автономным </w:t>
      </w:r>
      <w:r w:rsidRPr="00735F94">
        <w:rPr>
          <w:b/>
          <w:bCs/>
          <w:szCs w:val="20"/>
        </w:rPr>
        <w:br/>
        <w:t>и подключенным транспортным средствам</w:t>
      </w:r>
      <w:bookmarkEnd w:id="0"/>
    </w:p>
    <w:p w14:paraId="5CC86B6F" w14:textId="77777777" w:rsidR="0071695C" w:rsidRPr="00735F94" w:rsidRDefault="0071695C" w:rsidP="0071695C">
      <w:pPr>
        <w:spacing w:before="120"/>
        <w:ind w:right="1134"/>
        <w:rPr>
          <w:b/>
          <w:szCs w:val="20"/>
        </w:rPr>
      </w:pPr>
      <w:bookmarkStart w:id="1" w:name="OLE_LINK2"/>
      <w:r w:rsidRPr="00735F94">
        <w:rPr>
          <w:b/>
          <w:bCs/>
          <w:szCs w:val="20"/>
        </w:rPr>
        <w:t>Семнадцатая сессия</w:t>
      </w:r>
    </w:p>
    <w:p w14:paraId="0FCE7265" w14:textId="3AED7556" w:rsidR="0071695C" w:rsidRPr="00735F94" w:rsidRDefault="0071695C" w:rsidP="0071695C">
      <w:pPr>
        <w:ind w:right="1134"/>
        <w:rPr>
          <w:szCs w:val="20"/>
        </w:rPr>
      </w:pPr>
      <w:r w:rsidRPr="00735F94">
        <w:rPr>
          <w:szCs w:val="20"/>
        </w:rPr>
        <w:t>Женева, 25</w:t>
      </w:r>
      <w:r w:rsidRPr="00E6386B">
        <w:rPr>
          <w:szCs w:val="20"/>
        </w:rPr>
        <w:t>–</w:t>
      </w:r>
      <w:r w:rsidRPr="00735F94">
        <w:rPr>
          <w:szCs w:val="20"/>
        </w:rPr>
        <w:t>29 сентября 2023 года</w:t>
      </w:r>
    </w:p>
    <w:p w14:paraId="7E0743D6" w14:textId="77777777" w:rsidR="0071695C" w:rsidRPr="00735F94" w:rsidRDefault="0071695C" w:rsidP="0071695C">
      <w:pPr>
        <w:ind w:right="1134"/>
        <w:rPr>
          <w:szCs w:val="20"/>
        </w:rPr>
      </w:pPr>
      <w:r w:rsidRPr="00735F94">
        <w:rPr>
          <w:szCs w:val="20"/>
        </w:rPr>
        <w:t>Пункт 8 а) предварительной повестки дня</w:t>
      </w:r>
    </w:p>
    <w:p w14:paraId="77C25CF4" w14:textId="77777777" w:rsidR="0071695C" w:rsidRPr="00735F94" w:rsidRDefault="0071695C" w:rsidP="0071695C">
      <w:pPr>
        <w:ind w:right="1134"/>
        <w:rPr>
          <w:b/>
          <w:bCs/>
          <w:szCs w:val="20"/>
        </w:rPr>
      </w:pPr>
      <w:r w:rsidRPr="00735F94">
        <w:rPr>
          <w:b/>
          <w:bCs/>
          <w:szCs w:val="20"/>
        </w:rPr>
        <w:t>Правила № 13, 13-H, 139, 140 ООН и ГТП № 8 ООН:</w:t>
      </w:r>
    </w:p>
    <w:p w14:paraId="7674F25A" w14:textId="77777777" w:rsidR="0071695C" w:rsidRPr="00735F94" w:rsidRDefault="0071695C" w:rsidP="0071695C">
      <w:pPr>
        <w:ind w:right="1134"/>
        <w:rPr>
          <w:b/>
          <w:bCs/>
          <w:szCs w:val="20"/>
        </w:rPr>
      </w:pPr>
      <w:r w:rsidRPr="00735F94">
        <w:rPr>
          <w:b/>
          <w:bCs/>
          <w:szCs w:val="20"/>
        </w:rPr>
        <w:t>Электронный контроль устойчивости</w:t>
      </w:r>
    </w:p>
    <w:p w14:paraId="7F824E51" w14:textId="77777777" w:rsidR="0071695C" w:rsidRPr="00735F94" w:rsidRDefault="0071695C" w:rsidP="00735F94">
      <w:pPr>
        <w:pStyle w:val="HChG"/>
        <w:rPr>
          <w:rFonts w:eastAsia="MS Mincho"/>
        </w:rPr>
      </w:pPr>
      <w:r w:rsidRPr="00735F94">
        <w:rPr>
          <w:sz w:val="20"/>
        </w:rPr>
        <w:tab/>
      </w:r>
      <w:r w:rsidRPr="00735F94">
        <w:rPr>
          <w:sz w:val="20"/>
        </w:rPr>
        <w:tab/>
      </w:r>
      <w:r w:rsidRPr="00735F94">
        <w:t>Предложение по поправкам к Правилам № 140 ООН (системы электронного контроля устойчивости (ЭКУ))</w:t>
      </w:r>
      <w:bookmarkEnd w:id="1"/>
    </w:p>
    <w:p w14:paraId="450381B8" w14:textId="77777777" w:rsidR="0071695C" w:rsidRPr="005707A2" w:rsidRDefault="0071695C" w:rsidP="0071695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1568BC">
        <w:tab/>
      </w:r>
      <w:r w:rsidRPr="001568BC">
        <w:tab/>
      </w:r>
      <w:r w:rsidRPr="005707A2">
        <w:rPr>
          <w:b/>
          <w:bCs/>
          <w:sz w:val="24"/>
          <w:szCs w:val="24"/>
        </w:rPr>
        <w:t>Представлено экспертами от Европейской ассоциации поставщиков товаров для автомобилей и Международной организации предприятий автомобильной промышленности</w:t>
      </w:r>
      <w:r w:rsidRPr="0071695C">
        <w:rPr>
          <w:bCs/>
          <w:szCs w:val="20"/>
          <w:lang w:eastAsia="fr-FR"/>
        </w:rPr>
        <w:footnoteReference w:customMarkFollows="1" w:id="1"/>
        <w:t>*</w:t>
      </w:r>
    </w:p>
    <w:p w14:paraId="32945945" w14:textId="7B92D5EC" w:rsidR="0071695C" w:rsidRPr="001568BC" w:rsidRDefault="0071695C" w:rsidP="0071695C">
      <w:pPr>
        <w:pStyle w:val="SingleTxtG"/>
        <w:ind w:firstLine="567"/>
        <w:rPr>
          <w:b/>
        </w:rPr>
      </w:pPr>
      <w:r w:rsidRPr="001568BC">
        <w:t>Воспроизведенный ниже текст был подготовлен экспертами от Европейской ассоциации поставщиков товаров для автомобилей (КСАОД)</w:t>
      </w:r>
      <w:r w:rsidR="00163C53">
        <w:t xml:space="preserve"> и</w:t>
      </w:r>
      <w:r w:rsidRPr="001568BC">
        <w:t xml:space="preserve"> Международной организации предприятий автомобильной промышленности (МОПАП). В</w:t>
      </w:r>
      <w:r>
        <w:rPr>
          <w:lang w:val="fr-CH"/>
        </w:rPr>
        <w:t> </w:t>
      </w:r>
      <w:r w:rsidRPr="001568BC">
        <w:t xml:space="preserve">его основу положен документ ECE/TRANS/WP.29/GRVA/2023/9 с поправками, содержащимися в документе GRVA-16-23/Rev.1. Изменения к существующему тексту Правил выделены жирным шрифтом в случае новых </w:t>
      </w:r>
      <w:r>
        <w:t>положений</w:t>
      </w:r>
      <w:r w:rsidRPr="001568BC">
        <w:t xml:space="preserve"> или зачеркиванием в случае исключенных элементов.</w:t>
      </w:r>
      <w:r w:rsidRPr="001568BC">
        <w:br w:type="page"/>
      </w:r>
    </w:p>
    <w:p w14:paraId="0031755A" w14:textId="77777777" w:rsidR="0071695C" w:rsidRPr="001568BC" w:rsidRDefault="0071695C" w:rsidP="0071695C">
      <w:pPr>
        <w:pStyle w:val="HChG"/>
      </w:pPr>
      <w:r>
        <w:rPr>
          <w:bCs/>
        </w:rPr>
        <w:lastRenderedPageBreak/>
        <w:tab/>
      </w:r>
      <w:r w:rsidRPr="001568BC">
        <w:rPr>
          <w:bCs/>
        </w:rPr>
        <w:t>I.</w:t>
      </w:r>
      <w:r w:rsidRPr="001568BC">
        <w:tab/>
      </w:r>
      <w:r w:rsidRPr="001568BC">
        <w:rPr>
          <w:bCs/>
        </w:rPr>
        <w:t>Предложение</w:t>
      </w:r>
    </w:p>
    <w:p w14:paraId="046FA38A" w14:textId="77777777" w:rsidR="0071695C" w:rsidRPr="0071695C" w:rsidRDefault="0071695C" w:rsidP="0071695C">
      <w:pPr>
        <w:spacing w:after="120" w:line="240" w:lineRule="auto"/>
        <w:ind w:left="1133" w:right="1134"/>
        <w:rPr>
          <w:szCs w:val="20"/>
        </w:rPr>
      </w:pPr>
      <w:r w:rsidRPr="0071695C">
        <w:rPr>
          <w:i/>
          <w:iCs/>
          <w:szCs w:val="20"/>
        </w:rPr>
        <w:t>Пункт 9.9.4</w:t>
      </w:r>
      <w:r w:rsidRPr="0071695C">
        <w:rPr>
          <w:szCs w:val="20"/>
        </w:rPr>
        <w:t xml:space="preserve"> изменить следующим образом: </w:t>
      </w:r>
    </w:p>
    <w:p w14:paraId="49E18E32" w14:textId="69AAAEE1" w:rsidR="0071695C" w:rsidRPr="0071695C" w:rsidRDefault="0071695C" w:rsidP="00CF63E4">
      <w:pPr>
        <w:spacing w:after="120" w:line="240" w:lineRule="auto"/>
        <w:ind w:left="2268" w:right="1134" w:hanging="1134"/>
        <w:jc w:val="both"/>
        <w:rPr>
          <w:szCs w:val="20"/>
        </w:rPr>
      </w:pPr>
      <w:r w:rsidRPr="0071695C">
        <w:rPr>
          <w:szCs w:val="20"/>
        </w:rPr>
        <w:t>«9.9.4</w:t>
      </w:r>
      <w:r w:rsidRPr="0071695C">
        <w:rPr>
          <w:szCs w:val="20"/>
        </w:rPr>
        <w:tab/>
        <w:t>Амплитуда поворота рулевого колеса на конечном прогоне каждой серии должна составлять более 6,5</w:t>
      </w:r>
      <w:r w:rsidR="007E5A29">
        <w:rPr>
          <w:szCs w:val="20"/>
          <w:lang w:val="fr-CH"/>
        </w:rPr>
        <w:t> </w:t>
      </w:r>
      <w:r w:rsidRPr="0071695C">
        <w:rPr>
          <w:szCs w:val="20"/>
        </w:rPr>
        <w:t>А или 270</w:t>
      </w:r>
      <w:r w:rsidR="007E5A29">
        <w:rPr>
          <w:szCs w:val="20"/>
          <w:lang w:val="fr-CH"/>
        </w:rPr>
        <w:t> </w:t>
      </w:r>
      <w:r w:rsidRPr="0071695C">
        <w:rPr>
          <w:szCs w:val="20"/>
        </w:rPr>
        <w:t>градусов при условии, что расчетная амплитуда на уровне 6,5 А меньше или равна 300 градусам. Если любое увеличение на 0,5</w:t>
      </w:r>
      <w:r w:rsidR="007E5A29">
        <w:rPr>
          <w:szCs w:val="20"/>
          <w:lang w:val="fr-CH"/>
        </w:rPr>
        <w:t> </w:t>
      </w:r>
      <w:r w:rsidRPr="0071695C">
        <w:rPr>
          <w:szCs w:val="20"/>
        </w:rPr>
        <w:t>А до достижения 6,5</w:t>
      </w:r>
      <w:r w:rsidR="007E5A29">
        <w:rPr>
          <w:szCs w:val="20"/>
          <w:lang w:val="fr-CH"/>
        </w:rPr>
        <w:t> </w:t>
      </w:r>
      <w:r w:rsidRPr="0071695C">
        <w:rPr>
          <w:szCs w:val="20"/>
        </w:rPr>
        <w:t>А больше 300</w:t>
      </w:r>
      <w:r w:rsidRPr="0071695C">
        <w:rPr>
          <w:szCs w:val="20"/>
          <w:lang w:val="fr-CH"/>
        </w:rPr>
        <w:t> </w:t>
      </w:r>
      <w:r w:rsidRPr="0071695C">
        <w:rPr>
          <w:szCs w:val="20"/>
        </w:rPr>
        <w:t xml:space="preserve">градусов, то амплитуда поворота рулевого колеса на конечном прогоне должна составлять 300 градусов. </w:t>
      </w:r>
    </w:p>
    <w:p w14:paraId="6D18EAB1" w14:textId="77777777" w:rsidR="0071695C" w:rsidRPr="0071695C" w:rsidRDefault="0071695C" w:rsidP="00CF63E4">
      <w:pPr>
        <w:pStyle w:val="xmsonormal"/>
        <w:suppressAutoHyphens/>
        <w:spacing w:after="120"/>
        <w:ind w:left="2268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1695C">
        <w:rPr>
          <w:rFonts w:ascii="Times New Roman" w:hAnsi="Times New Roman" w:cs="Times New Roman"/>
          <w:sz w:val="20"/>
          <w:szCs w:val="20"/>
          <w:lang w:val="ru-RU"/>
        </w:rPr>
        <w:t>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колеса, задаваемый конструкцией системы рулевого управления, то применительно к серии испытаний амплитуда угла поворота на конечном прогоне должна превышать 98 % максимального эксплуатационного угла поворота рулевого колеса.</w:t>
      </w:r>
    </w:p>
    <w:p w14:paraId="6FF069C8" w14:textId="75FEDD46" w:rsidR="0071695C" w:rsidRPr="0071695C" w:rsidRDefault="0071695C" w:rsidP="00CF63E4">
      <w:pPr>
        <w:pStyle w:val="xmsonormal"/>
        <w:suppressAutoHyphens/>
        <w:spacing w:after="120"/>
        <w:ind w:left="2268" w:right="1134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1695C">
        <w:rPr>
          <w:rFonts w:ascii="Times New Roman" w:hAnsi="Times New Roman" w:cs="Times New Roman"/>
          <w:b/>
          <w:bCs/>
          <w:sz w:val="20"/>
          <w:szCs w:val="20"/>
          <w:lang w:val="ru-RU"/>
        </w:rPr>
        <w:t>В случае перегрузки шины до достижения вышеуказанного расчетного угла амплитуда, при которой происходит эта перегрузка</w:t>
      </w:r>
      <w:r w:rsidR="007E5A29">
        <w:rPr>
          <w:rFonts w:ascii="Times New Roman" w:hAnsi="Times New Roman" w:cs="Times New Roman"/>
          <w:b/>
          <w:bCs/>
          <w:sz w:val="20"/>
          <w:szCs w:val="20"/>
          <w:lang w:val="ru-RU"/>
        </w:rPr>
        <w:t>,</w:t>
      </w:r>
      <w:r w:rsidRPr="0071695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может использоваться в качестве амплитуды поворота рулевого колеса на конечном прогоне, но только если она составляет не менее 6,5 A.</w:t>
      </w:r>
    </w:p>
    <w:p w14:paraId="751703A1" w14:textId="4D7BCBE0" w:rsidR="0071695C" w:rsidRPr="0071695C" w:rsidRDefault="0071695C" w:rsidP="00CF63E4">
      <w:pPr>
        <w:pStyle w:val="xmsonormal"/>
        <w:suppressAutoHyphens/>
        <w:spacing w:after="120"/>
        <w:ind w:left="2268" w:right="113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1695C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Перегрузка шины считается наступившей, когда все перечисленные ниже параметры достигли своего пикового значения (т.</w:t>
      </w:r>
      <w:r w:rsidR="007E5A29"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  <w:r w:rsidRPr="0071695C">
        <w:rPr>
          <w:rFonts w:ascii="Times New Roman" w:hAnsi="Times New Roman" w:cs="Times New Roman"/>
          <w:b/>
          <w:bCs/>
          <w:sz w:val="20"/>
          <w:szCs w:val="20"/>
          <w:lang w:val="ru-RU"/>
        </w:rPr>
        <w:t>е. эти параметры не увеличились между двумя последовательными приращениями в 0,5 А):</w:t>
      </w:r>
    </w:p>
    <w:p w14:paraId="0EF33FF0" w14:textId="77777777" w:rsidR="0071695C" w:rsidRPr="0071695C" w:rsidRDefault="0071695C" w:rsidP="00E6386B">
      <w:pPr>
        <w:pStyle w:val="xmsolistparagraph"/>
        <w:suppressAutoHyphens/>
        <w:spacing w:after="120" w:line="240" w:lineRule="auto"/>
        <w:ind w:left="2268" w:right="1134"/>
        <w:jc w:val="both"/>
        <w:rPr>
          <w:color w:val="000000" w:themeColor="text1"/>
          <w:lang w:val="ru-RU"/>
        </w:rPr>
      </w:pPr>
      <w:r w:rsidRPr="0071695C">
        <w:rPr>
          <w:b/>
          <w:bCs/>
          <w:lang w:val="ru-RU"/>
        </w:rPr>
        <w:t>a)</w:t>
      </w:r>
      <w:r w:rsidRPr="0071695C">
        <w:rPr>
          <w:lang w:val="ru-RU"/>
        </w:rPr>
        <w:tab/>
      </w:r>
      <w:r w:rsidRPr="0071695C">
        <w:rPr>
          <w:b/>
          <w:bCs/>
          <w:lang w:val="ru-RU"/>
        </w:rPr>
        <w:t>пиковое боковое ускорение (см. пункт 9.11.3),</w:t>
      </w:r>
    </w:p>
    <w:p w14:paraId="24E884D3" w14:textId="77777777" w:rsidR="0071695C" w:rsidRPr="0071695C" w:rsidRDefault="0071695C" w:rsidP="00E6386B">
      <w:pPr>
        <w:pStyle w:val="xmsolistparagraph"/>
        <w:suppressAutoHyphens/>
        <w:spacing w:after="120" w:line="240" w:lineRule="auto"/>
        <w:ind w:left="2268" w:right="1134"/>
        <w:jc w:val="both"/>
        <w:rPr>
          <w:color w:val="000000" w:themeColor="text1"/>
          <w:lang w:val="ru-RU"/>
        </w:rPr>
      </w:pPr>
      <w:r w:rsidRPr="0071695C">
        <w:rPr>
          <w:b/>
          <w:bCs/>
          <w:lang w:val="ru-RU"/>
        </w:rPr>
        <w:t>b)</w:t>
      </w:r>
      <w:r w:rsidRPr="0071695C">
        <w:rPr>
          <w:lang w:val="ru-RU"/>
        </w:rPr>
        <w:tab/>
      </w:r>
      <w:r w:rsidRPr="0071695C">
        <w:rPr>
          <w:b/>
          <w:bCs/>
          <w:lang w:val="ru-RU"/>
        </w:rPr>
        <w:t>вторая пиковая скорость рысканья (см. пункт 9.11.8),</w:t>
      </w:r>
    </w:p>
    <w:p w14:paraId="073C53B2" w14:textId="317104DA" w:rsidR="0071695C" w:rsidRPr="0071695C" w:rsidRDefault="0071695C" w:rsidP="00E6386B">
      <w:pPr>
        <w:pStyle w:val="xmsolistparagraph"/>
        <w:suppressAutoHyphens/>
        <w:spacing w:after="120" w:line="240" w:lineRule="auto"/>
        <w:ind w:left="2835" w:right="1134" w:hanging="567"/>
        <w:jc w:val="both"/>
        <w:rPr>
          <w:color w:val="000000" w:themeColor="text1"/>
          <w:lang w:val="ru-RU"/>
        </w:rPr>
      </w:pPr>
      <w:r w:rsidRPr="0071695C">
        <w:rPr>
          <w:b/>
          <w:bCs/>
          <w:lang w:val="ru-RU"/>
        </w:rPr>
        <w:t>c)</w:t>
      </w:r>
      <w:r w:rsidRPr="0071695C">
        <w:rPr>
          <w:lang w:val="ru-RU"/>
        </w:rPr>
        <w:tab/>
      </w:r>
      <w:r w:rsidRPr="0071695C">
        <w:rPr>
          <w:b/>
          <w:bCs/>
          <w:lang w:val="ru-RU"/>
        </w:rPr>
        <w:t>боковое смещение через 1,07 секунды после момента НПР (см.</w:t>
      </w:r>
      <w:r w:rsidR="007E5A29">
        <w:rPr>
          <w:b/>
          <w:bCs/>
          <w:lang w:val="ru-RU"/>
        </w:rPr>
        <w:t> </w:t>
      </w:r>
      <w:r w:rsidRPr="0071695C">
        <w:rPr>
          <w:b/>
          <w:bCs/>
          <w:lang w:val="ru-RU"/>
        </w:rPr>
        <w:t>пункт 9.11.9).</w:t>
      </w:r>
    </w:p>
    <w:p w14:paraId="30637A41" w14:textId="77777777" w:rsidR="0071695C" w:rsidRPr="0071695C" w:rsidRDefault="0071695C" w:rsidP="00CF63E4">
      <w:pPr>
        <w:pStyle w:val="xmsolistparagraph"/>
        <w:suppressAutoHyphens/>
        <w:spacing w:after="120"/>
        <w:ind w:left="2268" w:right="1134"/>
        <w:jc w:val="both"/>
        <w:rPr>
          <w:lang w:val="ru-RU"/>
        </w:rPr>
      </w:pPr>
      <w:r w:rsidRPr="0071695C">
        <w:rPr>
          <w:b/>
          <w:bCs/>
          <w:lang w:val="ru-RU"/>
        </w:rPr>
        <w:t>При этом не требуется, чтобы пиковые значения приходились на один и тот же испытательный прогон</w:t>
      </w:r>
      <w:r w:rsidRPr="007E5A29">
        <w:rPr>
          <w:lang w:val="ru-RU"/>
        </w:rPr>
        <w:t>».</w:t>
      </w:r>
    </w:p>
    <w:p w14:paraId="7355D7FE" w14:textId="77777777" w:rsidR="0071695C" w:rsidRPr="001568BC" w:rsidRDefault="0071695C" w:rsidP="0071695C">
      <w:pPr>
        <w:pStyle w:val="HChG"/>
      </w:pPr>
      <w:r>
        <w:rPr>
          <w:bCs/>
        </w:rPr>
        <w:tab/>
      </w:r>
      <w:r w:rsidRPr="001568BC">
        <w:rPr>
          <w:bCs/>
        </w:rPr>
        <w:t>II.</w:t>
      </w:r>
      <w:r w:rsidRPr="001568BC">
        <w:tab/>
      </w:r>
      <w:r w:rsidRPr="001568BC">
        <w:rPr>
          <w:bCs/>
        </w:rPr>
        <w:t>Обоснование</w:t>
      </w:r>
    </w:p>
    <w:p w14:paraId="3F4C16F2" w14:textId="3943E314" w:rsidR="0071695C" w:rsidRPr="001568BC" w:rsidRDefault="0071695C" w:rsidP="0071695C">
      <w:pPr>
        <w:pStyle w:val="SingleTxtG"/>
      </w:pPr>
      <w:r w:rsidRPr="001568BC">
        <w:t>1.</w:t>
      </w:r>
      <w:r w:rsidRPr="001568BC">
        <w:tab/>
        <w:t>Достижение фиксированной амплитуды, т.</w:t>
      </w:r>
      <w:r w:rsidR="00892BC1">
        <w:t> </w:t>
      </w:r>
      <w:r w:rsidRPr="001568BC">
        <w:t xml:space="preserve">е. фиксированной угловой скорости вращения рулевого колеса при заданной частоте синусоиды в 0,7 Гц, требует большего вращающегося момента при использовании систем с быстрым отношением рулевого управления, чем в случае систем с медленным его отношением, причем со значительно большим поворотом руля. </w:t>
      </w:r>
    </w:p>
    <w:p w14:paraId="65191C80" w14:textId="77777777" w:rsidR="0071695C" w:rsidRPr="001568BC" w:rsidRDefault="0071695C" w:rsidP="0071695C">
      <w:pPr>
        <w:pStyle w:val="SingleTxtG"/>
      </w:pPr>
      <w:r w:rsidRPr="001568BC">
        <w:t>2.</w:t>
      </w:r>
      <w:r w:rsidRPr="001568BC">
        <w:tab/>
        <w:t>Поведение автомобиля (скорость рысканья, боковое ускорение и, следовательно, траектория движения) одинаково при всех амплитудах, которые превышают уровень примерно 7–8 A (т. е. более чем в 7 раз превышают угол поворота рулевого колеса, соответствующего 0,3 g), поскольку передние шины перегружаются.</w:t>
      </w:r>
    </w:p>
    <w:p w14:paraId="0F674B7F" w14:textId="77777777" w:rsidR="0071695C" w:rsidRPr="001568BC" w:rsidRDefault="0071695C" w:rsidP="0071695C">
      <w:pPr>
        <w:pStyle w:val="SingleTxtG"/>
      </w:pPr>
      <w:r w:rsidRPr="001568BC">
        <w:t>3.</w:t>
      </w:r>
      <w:r w:rsidRPr="001568BC">
        <w:tab/>
        <w:t xml:space="preserve">Перегрузка передних шин имеет место, когда не происходит увеличения скорости рысканья, бокового ускорения или отклонения траектории движения. </w:t>
      </w:r>
    </w:p>
    <w:p w14:paraId="08C7F752" w14:textId="77777777" w:rsidR="0071695C" w:rsidRPr="001568BC" w:rsidRDefault="0071695C" w:rsidP="0071695C">
      <w:pPr>
        <w:pStyle w:val="SingleTxtG"/>
      </w:pPr>
      <w:r w:rsidRPr="001568BC">
        <w:t>4.</w:t>
      </w:r>
      <w:r w:rsidRPr="001568BC">
        <w:tab/>
        <w:t xml:space="preserve">Упомянутая выше перегрузка передних шин, увеличение угла поворота передних колес не </w:t>
      </w:r>
      <w:r>
        <w:t>приводят к</w:t>
      </w:r>
      <w:r w:rsidRPr="001568BC">
        <w:t xml:space="preserve"> увеличени</w:t>
      </w:r>
      <w:r>
        <w:t>ю</w:t>
      </w:r>
      <w:r w:rsidRPr="001568BC">
        <w:t xml:space="preserve"> боковой силы, поэтому скорость рысканья и боковое ускорение не увеличиваются. Продолжение увеличения амплитуды вращения рулевого колеса после перегрузки передних шин не позволяет получить дополнительной информации.</w:t>
      </w:r>
    </w:p>
    <w:p w14:paraId="7A67B065" w14:textId="7C6B50DA" w:rsidR="0071695C" w:rsidRPr="001568BC" w:rsidRDefault="0071695C" w:rsidP="0071695C">
      <w:pPr>
        <w:pStyle w:val="SingleTxtG"/>
      </w:pPr>
      <w:r w:rsidRPr="001568BC">
        <w:t>5.</w:t>
      </w:r>
      <w:r w:rsidRPr="001568BC">
        <w:tab/>
        <w:t>В будущем могут появиться транспортные средства с весьма низким отношением рулевого управления (т.</w:t>
      </w:r>
      <w:r w:rsidR="00892BC1">
        <w:t> </w:t>
      </w:r>
      <w:r w:rsidRPr="001568BC">
        <w:t>е. с характеристиками быстрого рулевого управления), которым для достижения амплитуды в 270 градусов при движении по синусоиде с частотой 0,7 Гц (что недостижимо в случае обычных роботов, управляющих рулевым механизмом) потребуется слишком большой крутящий момент на рулевом колесе, что весьма затруднит официальное утверждение будущих удобных устройств, например систем управления по проводам (СУП).</w:t>
      </w:r>
    </w:p>
    <w:p w14:paraId="0A2A2E5B" w14:textId="25483DB6" w:rsidR="00E12C5F" w:rsidRPr="00892BC1" w:rsidRDefault="0071695C" w:rsidP="0071695C">
      <w:pPr>
        <w:pStyle w:val="af3"/>
        <w:tabs>
          <w:tab w:val="left" w:pos="1701"/>
        </w:tabs>
        <w:spacing w:after="120" w:line="240" w:lineRule="auto"/>
        <w:ind w:left="1134" w:right="1128"/>
        <w:contextualSpacing w:val="0"/>
        <w:jc w:val="center"/>
        <w:rPr>
          <w:lang w:val="ru-RU"/>
        </w:rPr>
      </w:pPr>
      <w:r w:rsidRPr="001568BC">
        <w:rPr>
          <w:u w:val="single"/>
          <w:lang w:val="ru-RU"/>
        </w:rPr>
        <w:tab/>
      </w:r>
      <w:r w:rsidRPr="001568BC">
        <w:rPr>
          <w:u w:val="single"/>
          <w:lang w:val="ru-RU"/>
        </w:rPr>
        <w:tab/>
      </w:r>
      <w:r w:rsidRPr="001568BC">
        <w:rPr>
          <w:u w:val="single"/>
          <w:lang w:val="ru-RU"/>
        </w:rPr>
        <w:tab/>
      </w:r>
      <w:r w:rsidRPr="001568BC">
        <w:rPr>
          <w:u w:val="single"/>
          <w:lang w:val="ru-RU"/>
        </w:rPr>
        <w:tab/>
      </w:r>
    </w:p>
    <w:sectPr w:rsidR="00E12C5F" w:rsidRPr="00892BC1" w:rsidSect="0071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0C9C" w14:textId="77777777" w:rsidR="00DA048C" w:rsidRPr="00A312BC" w:rsidRDefault="00DA048C" w:rsidP="00A312BC"/>
  </w:endnote>
  <w:endnote w:type="continuationSeparator" w:id="0">
    <w:p w14:paraId="4D082C88" w14:textId="77777777" w:rsidR="00DA048C" w:rsidRPr="00A312BC" w:rsidRDefault="00DA04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68CA" w14:textId="1CFFF613" w:rsidR="0071695C" w:rsidRPr="0071695C" w:rsidRDefault="0071695C">
    <w:pPr>
      <w:pStyle w:val="a8"/>
    </w:pPr>
    <w:r w:rsidRPr="0071695C">
      <w:rPr>
        <w:b/>
        <w:sz w:val="18"/>
      </w:rPr>
      <w:fldChar w:fldCharType="begin"/>
    </w:r>
    <w:r w:rsidRPr="0071695C">
      <w:rPr>
        <w:b/>
        <w:sz w:val="18"/>
      </w:rPr>
      <w:instrText xml:space="preserve"> PAGE  \* MERGEFORMAT </w:instrText>
    </w:r>
    <w:r w:rsidRPr="0071695C">
      <w:rPr>
        <w:b/>
        <w:sz w:val="18"/>
      </w:rPr>
      <w:fldChar w:fldCharType="separate"/>
    </w:r>
    <w:r w:rsidRPr="0071695C">
      <w:rPr>
        <w:b/>
        <w:noProof/>
        <w:sz w:val="18"/>
      </w:rPr>
      <w:t>2</w:t>
    </w:r>
    <w:r w:rsidRPr="0071695C">
      <w:rPr>
        <w:b/>
        <w:sz w:val="18"/>
      </w:rPr>
      <w:fldChar w:fldCharType="end"/>
    </w:r>
    <w:r>
      <w:rPr>
        <w:b/>
        <w:sz w:val="18"/>
      </w:rPr>
      <w:tab/>
    </w:r>
    <w:r>
      <w:t>GE.23-13335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61E6" w14:textId="7728D6D2" w:rsidR="0071695C" w:rsidRPr="0071695C" w:rsidRDefault="0071695C" w:rsidP="0071695C">
    <w:pPr>
      <w:pStyle w:val="a8"/>
      <w:tabs>
        <w:tab w:val="clear" w:pos="9639"/>
        <w:tab w:val="right" w:pos="9638"/>
      </w:tabs>
      <w:rPr>
        <w:b/>
        <w:sz w:val="18"/>
      </w:rPr>
    </w:pPr>
    <w:r>
      <w:t>GE.23-13335</w:t>
    </w:r>
    <w:r>
      <w:tab/>
    </w:r>
    <w:r w:rsidRPr="0071695C">
      <w:rPr>
        <w:b/>
        <w:sz w:val="18"/>
      </w:rPr>
      <w:fldChar w:fldCharType="begin"/>
    </w:r>
    <w:r w:rsidRPr="0071695C">
      <w:rPr>
        <w:b/>
        <w:sz w:val="18"/>
      </w:rPr>
      <w:instrText xml:space="preserve"> PAGE  \* MERGEFORMAT </w:instrText>
    </w:r>
    <w:r w:rsidRPr="0071695C">
      <w:rPr>
        <w:b/>
        <w:sz w:val="18"/>
      </w:rPr>
      <w:fldChar w:fldCharType="separate"/>
    </w:r>
    <w:r w:rsidRPr="0071695C">
      <w:rPr>
        <w:b/>
        <w:noProof/>
        <w:sz w:val="18"/>
      </w:rPr>
      <w:t>3</w:t>
    </w:r>
    <w:r w:rsidRPr="007169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29E7" w14:textId="685093C0" w:rsidR="00042B72" w:rsidRPr="0071695C" w:rsidRDefault="0071695C" w:rsidP="0071695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0CA238" wp14:editId="026247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23-13335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F64F7D" wp14:editId="3C152DF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170723  210723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0EB3" w14:textId="77777777" w:rsidR="00DA048C" w:rsidRPr="001075E9" w:rsidRDefault="00DA04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B61A35" w14:textId="77777777" w:rsidR="00DA048C" w:rsidRDefault="00DA04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28FFD3" w14:textId="71BC474C" w:rsidR="0071695C" w:rsidRPr="005A0B2B" w:rsidRDefault="0071695C" w:rsidP="0071695C">
      <w:pPr>
        <w:pStyle w:val="ad"/>
        <w:rPr>
          <w:szCs w:val="18"/>
        </w:rPr>
      </w:pPr>
      <w:r>
        <w:rPr>
          <w:vertAlign w:val="superscript"/>
        </w:rPr>
        <w:tab/>
      </w:r>
      <w:r w:rsidRPr="0071695C">
        <w:rPr>
          <w:sz w:val="20"/>
        </w:rPr>
        <w:t>*</w:t>
      </w:r>
      <w:r>
        <w:rPr>
          <w:vertAlign w:val="superscript"/>
        </w:rPr>
        <w:tab/>
      </w:r>
      <w:r>
        <w:tab/>
      </w:r>
      <w:r w:rsidRPr="005A0B2B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(часть V, разд. 20), п.</w:t>
      </w:r>
      <w:r>
        <w:rPr>
          <w:lang w:val="fr-CH"/>
        </w:rPr>
        <w:t> </w:t>
      </w:r>
      <w:r w:rsidRPr="005A0B2B">
        <w:t>20.6),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D8DD" w14:textId="01385B91" w:rsidR="0071695C" w:rsidRPr="0071695C" w:rsidRDefault="00DA594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07D" w14:textId="077C9CAC" w:rsidR="0071695C" w:rsidRPr="0071695C" w:rsidRDefault="00DA594E" w:rsidP="0071695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CF16" w14:textId="77777777" w:rsidR="0071695C" w:rsidRDefault="0071695C" w:rsidP="007169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76806117">
    <w:abstractNumId w:val="16"/>
  </w:num>
  <w:num w:numId="2" w16cid:durableId="750152520">
    <w:abstractNumId w:val="11"/>
  </w:num>
  <w:num w:numId="3" w16cid:durableId="1525048690">
    <w:abstractNumId w:val="10"/>
  </w:num>
  <w:num w:numId="4" w16cid:durableId="1256205397">
    <w:abstractNumId w:val="17"/>
  </w:num>
  <w:num w:numId="5" w16cid:durableId="979965113">
    <w:abstractNumId w:val="13"/>
  </w:num>
  <w:num w:numId="6" w16cid:durableId="1802724568">
    <w:abstractNumId w:val="8"/>
  </w:num>
  <w:num w:numId="7" w16cid:durableId="1227178997">
    <w:abstractNumId w:val="3"/>
  </w:num>
  <w:num w:numId="8" w16cid:durableId="853151753">
    <w:abstractNumId w:val="2"/>
  </w:num>
  <w:num w:numId="9" w16cid:durableId="1074354289">
    <w:abstractNumId w:val="1"/>
  </w:num>
  <w:num w:numId="10" w16cid:durableId="785394987">
    <w:abstractNumId w:val="0"/>
  </w:num>
  <w:num w:numId="11" w16cid:durableId="300814469">
    <w:abstractNumId w:val="9"/>
  </w:num>
  <w:num w:numId="12" w16cid:durableId="391200212">
    <w:abstractNumId w:val="7"/>
  </w:num>
  <w:num w:numId="13" w16cid:durableId="387805899">
    <w:abstractNumId w:val="6"/>
  </w:num>
  <w:num w:numId="14" w16cid:durableId="1196429096">
    <w:abstractNumId w:val="5"/>
  </w:num>
  <w:num w:numId="15" w16cid:durableId="1492599876">
    <w:abstractNumId w:val="4"/>
  </w:num>
  <w:num w:numId="16" w16cid:durableId="1838888132">
    <w:abstractNumId w:val="15"/>
  </w:num>
  <w:num w:numId="17" w16cid:durableId="709109879">
    <w:abstractNumId w:val="12"/>
  </w:num>
  <w:num w:numId="18" w16cid:durableId="1050886853">
    <w:abstractNumId w:val="14"/>
  </w:num>
  <w:num w:numId="19" w16cid:durableId="738748135">
    <w:abstractNumId w:val="15"/>
  </w:num>
  <w:num w:numId="20" w16cid:durableId="339356856">
    <w:abstractNumId w:val="12"/>
  </w:num>
  <w:num w:numId="21" w16cid:durableId="178311201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3C53"/>
    <w:rsid w:val="00180183"/>
    <w:rsid w:val="0018024D"/>
    <w:rsid w:val="0018649F"/>
    <w:rsid w:val="00196389"/>
    <w:rsid w:val="001B3EF6"/>
    <w:rsid w:val="001C7A89"/>
    <w:rsid w:val="002051C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4A8E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4F02"/>
    <w:rsid w:val="006F35EE"/>
    <w:rsid w:val="007021FF"/>
    <w:rsid w:val="00712895"/>
    <w:rsid w:val="0071695C"/>
    <w:rsid w:val="00734ACB"/>
    <w:rsid w:val="00735F94"/>
    <w:rsid w:val="00757357"/>
    <w:rsid w:val="00792497"/>
    <w:rsid w:val="007E5A29"/>
    <w:rsid w:val="00806737"/>
    <w:rsid w:val="00825F8D"/>
    <w:rsid w:val="00834B71"/>
    <w:rsid w:val="0086445C"/>
    <w:rsid w:val="00892BC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33DD"/>
    <w:rsid w:val="00CF55F6"/>
    <w:rsid w:val="00CF63E4"/>
    <w:rsid w:val="00D33D63"/>
    <w:rsid w:val="00D5253A"/>
    <w:rsid w:val="00D873A8"/>
    <w:rsid w:val="00D90028"/>
    <w:rsid w:val="00D90138"/>
    <w:rsid w:val="00D9145B"/>
    <w:rsid w:val="00DA048C"/>
    <w:rsid w:val="00DA594E"/>
    <w:rsid w:val="00DD78D1"/>
    <w:rsid w:val="00DE32CD"/>
    <w:rsid w:val="00DF5767"/>
    <w:rsid w:val="00DF71B9"/>
    <w:rsid w:val="00E12C5F"/>
    <w:rsid w:val="00E6386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4D2E3"/>
  <w15:docId w15:val="{9F65D43A-CC5C-4CA7-AEF0-3F05879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71695C"/>
    <w:rPr>
      <w:lang w:val="ru-RU" w:eastAsia="en-US"/>
    </w:rPr>
  </w:style>
  <w:style w:type="character" w:customStyle="1" w:styleId="HChGChar">
    <w:name w:val="_ H _Ch_G Char"/>
    <w:link w:val="HChG"/>
    <w:rsid w:val="0071695C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71695C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xmsonormal">
    <w:name w:val="x_msonormal"/>
    <w:basedOn w:val="a"/>
    <w:rsid w:val="0071695C"/>
    <w:pPr>
      <w:suppressAutoHyphens w:val="0"/>
      <w:spacing w:line="240" w:lineRule="auto"/>
    </w:pPr>
    <w:rPr>
      <w:rFonts w:ascii="Calibri" w:hAnsi="Calibri" w:cs="Calibri"/>
      <w:sz w:val="22"/>
      <w:lang w:val="fr-FR" w:eastAsia="fr-FR"/>
    </w:rPr>
  </w:style>
  <w:style w:type="paragraph" w:customStyle="1" w:styleId="xmsolistparagraph">
    <w:name w:val="x_msolistparagraph"/>
    <w:basedOn w:val="a"/>
    <w:rsid w:val="0071695C"/>
    <w:pPr>
      <w:suppressAutoHyphens w:val="0"/>
      <w:ind w:left="720"/>
    </w:pPr>
    <w:rPr>
      <w:rFonts w:cs="Times New Roman"/>
      <w:szCs w:val="20"/>
      <w:lang w:val="fr-FR" w:eastAsia="fr-FR"/>
    </w:rPr>
  </w:style>
  <w:style w:type="paragraph" w:customStyle="1" w:styleId="FootnoteText1">
    <w:name w:val="Footnote Text1"/>
    <w:basedOn w:val="a"/>
    <w:next w:val="ad"/>
    <w:link w:val="FootnoteTextChar"/>
    <w:uiPriority w:val="99"/>
    <w:semiHidden/>
    <w:unhideWhenUsed/>
    <w:rsid w:val="0071695C"/>
    <w:pPr>
      <w:suppressAutoHyphens w:val="0"/>
      <w:spacing w:line="240" w:lineRule="auto"/>
    </w:pPr>
    <w:rPr>
      <w:rFonts w:asciiTheme="minorHAnsi" w:hAnsiTheme="minorHAnsi"/>
      <w:szCs w:val="20"/>
      <w:lang w:val="de-DE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71695C"/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F119D-468E-49C0-9C17-22F51B9C402E}"/>
</file>

<file path=customXml/itemProps2.xml><?xml version="1.0" encoding="utf-8"?>
<ds:datastoreItem xmlns:ds="http://schemas.openxmlformats.org/officeDocument/2006/customXml" ds:itemID="{DD17F153-6C19-42C0-9C10-8ADCA38DBC9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ECE/TRANS/WP.29/GRVA/2023/23</dc:title>
  <dc:subject/>
  <dc:creator>Olga OVTCHINNIKOVA</dc:creator>
  <cp:keywords/>
  <cp:lastModifiedBy>Olga Ovchinnikova</cp:lastModifiedBy>
  <cp:revision>3</cp:revision>
  <cp:lastPrinted>2023-07-21T14:10:00Z</cp:lastPrinted>
  <dcterms:created xsi:type="dcterms:W3CDTF">2023-07-21T14:10:00Z</dcterms:created>
  <dcterms:modified xsi:type="dcterms:W3CDTF">2023-07-21T14:10:00Z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