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741FB88" w14:textId="77777777" w:rsidTr="00C97039">
        <w:trPr>
          <w:trHeight w:hRule="exact" w:val="851"/>
        </w:trPr>
        <w:tc>
          <w:tcPr>
            <w:tcW w:w="1276" w:type="dxa"/>
            <w:tcBorders>
              <w:bottom w:val="single" w:sz="4" w:space="0" w:color="auto"/>
            </w:tcBorders>
          </w:tcPr>
          <w:p w14:paraId="79D7E9C2" w14:textId="77777777" w:rsidR="00F35BAF" w:rsidRPr="00DB58B5" w:rsidRDefault="00F35BAF" w:rsidP="00454181"/>
        </w:tc>
        <w:tc>
          <w:tcPr>
            <w:tcW w:w="2268" w:type="dxa"/>
            <w:tcBorders>
              <w:bottom w:val="single" w:sz="4" w:space="0" w:color="auto"/>
            </w:tcBorders>
            <w:vAlign w:val="bottom"/>
          </w:tcPr>
          <w:p w14:paraId="6B2FA50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DDAA03D" w14:textId="3C96E145" w:rsidR="00F35BAF" w:rsidRPr="00DB58B5" w:rsidRDefault="00454181" w:rsidP="00454181">
            <w:pPr>
              <w:jc w:val="right"/>
            </w:pPr>
            <w:r w:rsidRPr="00454181">
              <w:rPr>
                <w:sz w:val="40"/>
              </w:rPr>
              <w:t>ECE</w:t>
            </w:r>
            <w:r>
              <w:t>/TRANS/WP.29/GRVA/2023/22</w:t>
            </w:r>
          </w:p>
        </w:tc>
      </w:tr>
      <w:tr w:rsidR="00F35BAF" w:rsidRPr="00DB58B5" w14:paraId="5E5DCEF5" w14:textId="77777777" w:rsidTr="00C97039">
        <w:trPr>
          <w:trHeight w:hRule="exact" w:val="2835"/>
        </w:trPr>
        <w:tc>
          <w:tcPr>
            <w:tcW w:w="1276" w:type="dxa"/>
            <w:tcBorders>
              <w:top w:val="single" w:sz="4" w:space="0" w:color="auto"/>
              <w:bottom w:val="single" w:sz="12" w:space="0" w:color="auto"/>
            </w:tcBorders>
          </w:tcPr>
          <w:p w14:paraId="695B7329" w14:textId="77777777" w:rsidR="00F35BAF" w:rsidRPr="00DB58B5" w:rsidRDefault="00F35BAF" w:rsidP="00C97039">
            <w:pPr>
              <w:spacing w:before="120"/>
              <w:jc w:val="center"/>
            </w:pPr>
            <w:r>
              <w:rPr>
                <w:noProof/>
                <w:lang w:eastAsia="fr-CH"/>
              </w:rPr>
              <w:drawing>
                <wp:inline distT="0" distB="0" distL="0" distR="0" wp14:anchorId="4F02B76C" wp14:editId="36438FF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45DD52A"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53D7A89" w14:textId="77777777" w:rsidR="00F35BAF" w:rsidRDefault="00454181" w:rsidP="00C97039">
            <w:pPr>
              <w:spacing w:before="240"/>
            </w:pPr>
            <w:r>
              <w:t>Distr. générale</w:t>
            </w:r>
          </w:p>
          <w:p w14:paraId="3BD95BAD" w14:textId="77777777" w:rsidR="00454181" w:rsidRDefault="00454181" w:rsidP="00454181">
            <w:pPr>
              <w:spacing w:line="240" w:lineRule="exact"/>
            </w:pPr>
            <w:r>
              <w:t>10 juillet 2023</w:t>
            </w:r>
          </w:p>
          <w:p w14:paraId="5F02CB0F" w14:textId="77777777" w:rsidR="00454181" w:rsidRDefault="00454181" w:rsidP="00454181">
            <w:pPr>
              <w:spacing w:line="240" w:lineRule="exact"/>
            </w:pPr>
            <w:r>
              <w:t>Français</w:t>
            </w:r>
          </w:p>
          <w:p w14:paraId="4EC7B454" w14:textId="4BC4BBC5" w:rsidR="00454181" w:rsidRPr="00DB58B5" w:rsidRDefault="00454181" w:rsidP="00454181">
            <w:pPr>
              <w:spacing w:line="240" w:lineRule="exact"/>
            </w:pPr>
            <w:r>
              <w:t>Original : anglais</w:t>
            </w:r>
          </w:p>
        </w:tc>
      </w:tr>
    </w:tbl>
    <w:p w14:paraId="4FD9820B" w14:textId="77777777" w:rsidR="007F20FA" w:rsidRPr="000312C0" w:rsidRDefault="007F20FA" w:rsidP="007F20FA">
      <w:pPr>
        <w:spacing w:before="120"/>
        <w:rPr>
          <w:b/>
          <w:sz w:val="28"/>
          <w:szCs w:val="28"/>
        </w:rPr>
      </w:pPr>
      <w:r w:rsidRPr="000312C0">
        <w:rPr>
          <w:b/>
          <w:sz w:val="28"/>
          <w:szCs w:val="28"/>
        </w:rPr>
        <w:t>Commission économique pour l’Europe</w:t>
      </w:r>
    </w:p>
    <w:p w14:paraId="665EAF31" w14:textId="77777777" w:rsidR="007F20FA" w:rsidRDefault="007F20FA" w:rsidP="007F20FA">
      <w:pPr>
        <w:spacing w:before="120"/>
        <w:rPr>
          <w:sz w:val="28"/>
          <w:szCs w:val="28"/>
        </w:rPr>
      </w:pPr>
      <w:r w:rsidRPr="00685843">
        <w:rPr>
          <w:sz w:val="28"/>
          <w:szCs w:val="28"/>
        </w:rPr>
        <w:t>Comité des transports intérieurs</w:t>
      </w:r>
    </w:p>
    <w:p w14:paraId="07A10428" w14:textId="0FFD0093" w:rsidR="00454181" w:rsidRPr="003E78E2" w:rsidRDefault="00454181" w:rsidP="00454181">
      <w:pPr>
        <w:spacing w:before="120"/>
        <w:rPr>
          <w:rFonts w:eastAsia="Times New Roman"/>
          <w:b/>
          <w:sz w:val="24"/>
          <w:szCs w:val="24"/>
        </w:rPr>
      </w:pPr>
      <w:r w:rsidRPr="003E78E2">
        <w:rPr>
          <w:b/>
          <w:bCs/>
          <w:sz w:val="24"/>
          <w:szCs w:val="24"/>
        </w:rPr>
        <w:t xml:space="preserve">Forum mondial de l’harmonisation des Règlements </w:t>
      </w:r>
      <w:r w:rsidR="003E78E2">
        <w:rPr>
          <w:b/>
          <w:bCs/>
          <w:sz w:val="24"/>
          <w:szCs w:val="24"/>
        </w:rPr>
        <w:br/>
      </w:r>
      <w:r w:rsidRPr="003E78E2">
        <w:rPr>
          <w:b/>
          <w:bCs/>
          <w:sz w:val="24"/>
          <w:szCs w:val="24"/>
        </w:rPr>
        <w:t>concernant les véhicules</w:t>
      </w:r>
    </w:p>
    <w:p w14:paraId="47291992" w14:textId="77777777" w:rsidR="00454181" w:rsidRPr="00CC04A9" w:rsidRDefault="00454181" w:rsidP="00454181">
      <w:pPr>
        <w:spacing w:before="120"/>
        <w:rPr>
          <w:rFonts w:eastAsia="Times New Roman"/>
          <w:b/>
        </w:rPr>
      </w:pPr>
      <w:bookmarkStart w:id="0" w:name="_Hlk518466992"/>
      <w:r w:rsidRPr="00CC04A9">
        <w:rPr>
          <w:b/>
          <w:bCs/>
        </w:rPr>
        <w:t>Groupe de travail des véhicules automatisés/autonomes et connectés</w:t>
      </w:r>
      <w:bookmarkEnd w:id="0"/>
    </w:p>
    <w:p w14:paraId="0EC6C1DF" w14:textId="77777777" w:rsidR="00454181" w:rsidRPr="00CC04A9" w:rsidRDefault="00454181" w:rsidP="00454181">
      <w:pPr>
        <w:spacing w:before="120"/>
        <w:rPr>
          <w:rFonts w:eastAsia="Times New Roman"/>
          <w:b/>
        </w:rPr>
      </w:pPr>
      <w:bookmarkStart w:id="1" w:name="OLE_LINK2"/>
      <w:r w:rsidRPr="00CC04A9">
        <w:rPr>
          <w:b/>
          <w:bCs/>
        </w:rPr>
        <w:t>Dix-septième session</w:t>
      </w:r>
    </w:p>
    <w:p w14:paraId="7A083497" w14:textId="77777777" w:rsidR="00454181" w:rsidRPr="00CC04A9" w:rsidRDefault="00454181" w:rsidP="00454181">
      <w:pPr>
        <w:rPr>
          <w:rFonts w:eastAsia="Times New Roman"/>
        </w:rPr>
      </w:pPr>
      <w:r w:rsidRPr="00CC04A9">
        <w:t>Genève, 25-29 septembre 2023</w:t>
      </w:r>
    </w:p>
    <w:p w14:paraId="27D687FB" w14:textId="77777777" w:rsidR="00454181" w:rsidRPr="00CC04A9" w:rsidRDefault="00454181" w:rsidP="00454181">
      <w:pPr>
        <w:rPr>
          <w:rFonts w:eastAsia="Times New Roman"/>
        </w:rPr>
      </w:pPr>
      <w:r w:rsidRPr="00CC04A9">
        <w:t>Point 7 a) de l</w:t>
      </w:r>
      <w:r>
        <w:t>’</w:t>
      </w:r>
      <w:r w:rsidRPr="00CC04A9">
        <w:t>ordre du jour provisoire</w:t>
      </w:r>
    </w:p>
    <w:p w14:paraId="6C2B7D3A" w14:textId="77777777" w:rsidR="00454181" w:rsidRPr="00CC04A9" w:rsidRDefault="00454181" w:rsidP="00454181">
      <w:pPr>
        <w:rPr>
          <w:rFonts w:eastAsia="Times New Roman"/>
          <w:b/>
          <w:bCs/>
        </w:rPr>
      </w:pPr>
      <w:r w:rsidRPr="00CC04A9">
        <w:rPr>
          <w:b/>
          <w:bCs/>
        </w:rPr>
        <w:t>Systèmes actifs de freinage d</w:t>
      </w:r>
      <w:r>
        <w:rPr>
          <w:b/>
          <w:bCs/>
        </w:rPr>
        <w:t>’</w:t>
      </w:r>
      <w:r w:rsidRPr="00CC04A9">
        <w:rPr>
          <w:b/>
          <w:bCs/>
        </w:rPr>
        <w:t xml:space="preserve">urgence : </w:t>
      </w:r>
      <w:r>
        <w:rPr>
          <w:b/>
          <w:bCs/>
        </w:rPr>
        <w:br/>
      </w:r>
      <w:r w:rsidRPr="00CC04A9">
        <w:rPr>
          <w:b/>
          <w:bCs/>
        </w:rPr>
        <w:t>Règlements ONU n</w:t>
      </w:r>
      <w:r w:rsidRPr="00CC04A9">
        <w:rPr>
          <w:b/>
          <w:bCs/>
          <w:vertAlign w:val="superscript"/>
        </w:rPr>
        <w:t>os</w:t>
      </w:r>
      <w:r w:rsidRPr="00CC04A9">
        <w:rPr>
          <w:b/>
          <w:bCs/>
        </w:rPr>
        <w:t> 131 et 152</w:t>
      </w:r>
    </w:p>
    <w:p w14:paraId="5B6FFA21" w14:textId="0184F355" w:rsidR="00454181" w:rsidRPr="00567BC3" w:rsidRDefault="00454181" w:rsidP="003E78E2">
      <w:pPr>
        <w:pStyle w:val="HChG"/>
        <w:rPr>
          <w:lang w:val="fr-FR"/>
        </w:rPr>
      </w:pPr>
      <w:r w:rsidRPr="00CC04A9">
        <w:rPr>
          <w:sz w:val="20"/>
          <w:lang w:val="fr-FR"/>
        </w:rPr>
        <w:tab/>
      </w:r>
      <w:r w:rsidRPr="00CC04A9">
        <w:rPr>
          <w:sz w:val="20"/>
          <w:lang w:val="fr-FR"/>
        </w:rPr>
        <w:tab/>
      </w:r>
      <w:r w:rsidRPr="00567BC3">
        <w:rPr>
          <w:lang w:val="fr-FR"/>
        </w:rPr>
        <w:t>Proposition de complément à la série 01 d</w:t>
      </w:r>
      <w:r>
        <w:rPr>
          <w:lang w:val="fr-FR"/>
        </w:rPr>
        <w:t>’</w:t>
      </w:r>
      <w:r w:rsidRPr="00567BC3">
        <w:rPr>
          <w:lang w:val="fr-FR"/>
        </w:rPr>
        <w:t xml:space="preserve">amendements </w:t>
      </w:r>
      <w:r w:rsidR="003E78E2">
        <w:rPr>
          <w:lang w:val="fr-FR"/>
        </w:rPr>
        <w:br/>
      </w:r>
      <w:r w:rsidRPr="00567BC3">
        <w:rPr>
          <w:lang w:val="fr-FR"/>
        </w:rPr>
        <w:t>au Règlement ONU n</w:t>
      </w:r>
      <w:r w:rsidRPr="00567BC3">
        <w:rPr>
          <w:vertAlign w:val="superscript"/>
          <w:lang w:val="fr-FR"/>
        </w:rPr>
        <w:t>o</w:t>
      </w:r>
      <w:r w:rsidR="003E78E2">
        <w:rPr>
          <w:lang w:val="fr-FR"/>
        </w:rPr>
        <w:t> </w:t>
      </w:r>
      <w:r w:rsidRPr="00567BC3">
        <w:rPr>
          <w:lang w:val="fr-FR"/>
        </w:rPr>
        <w:t>152 (Systèmes actifs de freinage d</w:t>
      </w:r>
      <w:r>
        <w:rPr>
          <w:lang w:val="fr-FR"/>
        </w:rPr>
        <w:t>’</w:t>
      </w:r>
      <w:r w:rsidRPr="00567BC3">
        <w:rPr>
          <w:lang w:val="fr-FR"/>
        </w:rPr>
        <w:t>urgence pour les véhicules des catégories M</w:t>
      </w:r>
      <w:r w:rsidRPr="00567BC3">
        <w:rPr>
          <w:vertAlign w:val="subscript"/>
          <w:lang w:val="fr-FR"/>
        </w:rPr>
        <w:t>1</w:t>
      </w:r>
      <w:r w:rsidRPr="00567BC3">
        <w:rPr>
          <w:lang w:val="fr-FR"/>
        </w:rPr>
        <w:t xml:space="preserve"> et N</w:t>
      </w:r>
      <w:r w:rsidRPr="00567BC3">
        <w:rPr>
          <w:vertAlign w:val="subscript"/>
          <w:lang w:val="fr-FR"/>
        </w:rPr>
        <w:t>1</w:t>
      </w:r>
      <w:r w:rsidRPr="00567BC3">
        <w:rPr>
          <w:lang w:val="fr-FR"/>
        </w:rPr>
        <w:t>)</w:t>
      </w:r>
      <w:bookmarkEnd w:id="1"/>
    </w:p>
    <w:p w14:paraId="71DB98BB" w14:textId="77777777" w:rsidR="00454181" w:rsidRPr="00567BC3" w:rsidRDefault="00454181" w:rsidP="003E78E2">
      <w:pPr>
        <w:pStyle w:val="H1G"/>
        <w:rPr>
          <w:lang w:val="fr-FR"/>
        </w:rPr>
      </w:pPr>
      <w:r w:rsidRPr="00CC04A9">
        <w:rPr>
          <w:sz w:val="20"/>
          <w:lang w:val="fr-FR"/>
        </w:rPr>
        <w:tab/>
      </w:r>
      <w:r w:rsidRPr="00CC04A9">
        <w:rPr>
          <w:sz w:val="20"/>
          <w:lang w:val="fr-FR"/>
        </w:rPr>
        <w:tab/>
      </w:r>
      <w:r w:rsidRPr="00567BC3">
        <w:rPr>
          <w:lang w:val="fr-FR"/>
        </w:rPr>
        <w:t>Communication de l</w:t>
      </w:r>
      <w:r>
        <w:rPr>
          <w:lang w:val="fr-FR"/>
        </w:rPr>
        <w:t>’</w:t>
      </w:r>
      <w:r w:rsidRPr="00567BC3">
        <w:rPr>
          <w:lang w:val="fr-FR"/>
        </w:rPr>
        <w:t>expert de la France</w:t>
      </w:r>
      <w:r w:rsidRPr="003E78E2">
        <w:rPr>
          <w:b w:val="0"/>
          <w:bCs/>
          <w:sz w:val="20"/>
          <w:szCs w:val="16"/>
          <w:lang w:val="fr-FR"/>
        </w:rPr>
        <w:footnoteReference w:customMarkFollows="1" w:id="2"/>
        <w:t>*</w:t>
      </w:r>
    </w:p>
    <w:p w14:paraId="107F287C" w14:textId="77777777" w:rsidR="00454181" w:rsidRPr="00CC04A9" w:rsidRDefault="00454181" w:rsidP="003E78E2">
      <w:pPr>
        <w:pStyle w:val="SingleTxtG"/>
        <w:ind w:firstLine="567"/>
        <w:rPr>
          <w:lang w:val="fr-FR"/>
        </w:rPr>
      </w:pPr>
      <w:r w:rsidRPr="00CC04A9">
        <w:rPr>
          <w:lang w:val="fr-FR"/>
        </w:rPr>
        <w:t>Le texte-ci-après, établi par l</w:t>
      </w:r>
      <w:r>
        <w:rPr>
          <w:lang w:val="fr-FR"/>
        </w:rPr>
        <w:t>’</w:t>
      </w:r>
      <w:r w:rsidRPr="00CC04A9">
        <w:rPr>
          <w:lang w:val="fr-FR"/>
        </w:rPr>
        <w:t xml:space="preserve">expert de la France, est fondé sur le document informel GRVA-15-19. La proposition, qui vise à autoriser le demandeur à utiliser des essais virtuels à la place des essais physiques, est </w:t>
      </w:r>
      <w:r>
        <w:rPr>
          <w:lang w:val="fr-FR"/>
        </w:rPr>
        <w:t>issue</w:t>
      </w:r>
      <w:r w:rsidRPr="00CC04A9">
        <w:rPr>
          <w:lang w:val="fr-FR"/>
        </w:rPr>
        <w:t xml:space="preserve"> des débats qui ont eu lieu au cours des onzième à dix-huitième sessions du groupe de travail informel des systèmes actifs de freinage d</w:t>
      </w:r>
      <w:r>
        <w:rPr>
          <w:lang w:val="fr-FR"/>
        </w:rPr>
        <w:t>’</w:t>
      </w:r>
      <w:r w:rsidRPr="00CC04A9">
        <w:rPr>
          <w:lang w:val="fr-FR"/>
        </w:rPr>
        <w:t>urgence pour les véhicules des catégories M</w:t>
      </w:r>
      <w:r w:rsidRPr="00CC04A9">
        <w:rPr>
          <w:vertAlign w:val="subscript"/>
          <w:lang w:val="fr-FR"/>
        </w:rPr>
        <w:t>1</w:t>
      </w:r>
      <w:r w:rsidRPr="00CC04A9">
        <w:rPr>
          <w:lang w:val="fr-FR"/>
        </w:rPr>
        <w:t xml:space="preserve"> et N</w:t>
      </w:r>
      <w:r w:rsidRPr="00CC04A9">
        <w:rPr>
          <w:vertAlign w:val="subscript"/>
          <w:lang w:val="fr-FR"/>
        </w:rPr>
        <w:t>1</w:t>
      </w:r>
      <w:r w:rsidRPr="00CC04A9">
        <w:rPr>
          <w:lang w:val="fr-FR"/>
        </w:rPr>
        <w:t>. Les modifications qu</w:t>
      </w:r>
      <w:r>
        <w:rPr>
          <w:lang w:val="fr-FR"/>
        </w:rPr>
        <w:t>’</w:t>
      </w:r>
      <w:r w:rsidRPr="00CC04A9">
        <w:rPr>
          <w:lang w:val="fr-FR"/>
        </w:rPr>
        <w:t>il est proposé d</w:t>
      </w:r>
      <w:r>
        <w:rPr>
          <w:lang w:val="fr-FR"/>
        </w:rPr>
        <w:t>’</w:t>
      </w:r>
      <w:r w:rsidRPr="00CC04A9">
        <w:rPr>
          <w:lang w:val="fr-FR"/>
        </w:rPr>
        <w:t>apporter au texte actuel du Règlement figurent en caractères gras pour les ajouts et biffés pour les suppressions.</w:t>
      </w:r>
    </w:p>
    <w:p w14:paraId="7940DBE9" w14:textId="77777777" w:rsidR="00454181" w:rsidRPr="00CC04A9" w:rsidRDefault="00454181" w:rsidP="00454181">
      <w:pPr>
        <w:rPr>
          <w:rFonts w:eastAsia="MS Mincho"/>
          <w:b/>
          <w:lang w:eastAsia="fr-FR"/>
        </w:rPr>
      </w:pPr>
      <w:r w:rsidRPr="00CC04A9">
        <w:br w:type="page"/>
      </w:r>
    </w:p>
    <w:p w14:paraId="484162B2" w14:textId="77777777" w:rsidR="00454181" w:rsidRPr="00AF4AF2" w:rsidRDefault="00454181" w:rsidP="003E78E2">
      <w:pPr>
        <w:pStyle w:val="HChG"/>
        <w:rPr>
          <w:lang w:val="fr-FR"/>
        </w:rPr>
      </w:pPr>
      <w:r>
        <w:rPr>
          <w:lang w:val="fr-FR"/>
        </w:rPr>
        <w:lastRenderedPageBreak/>
        <w:tab/>
      </w:r>
      <w:r w:rsidRPr="00AF4AF2">
        <w:rPr>
          <w:lang w:val="fr-FR"/>
        </w:rPr>
        <w:t>I.</w:t>
      </w:r>
      <w:r w:rsidRPr="00AF4AF2">
        <w:rPr>
          <w:lang w:val="fr-FR"/>
        </w:rPr>
        <w:tab/>
        <w:t>Proposition</w:t>
      </w:r>
    </w:p>
    <w:p w14:paraId="0F74139E" w14:textId="75F4E7B0" w:rsidR="00454181" w:rsidRPr="00CC04A9" w:rsidRDefault="00454181" w:rsidP="003E78E2">
      <w:pPr>
        <w:pStyle w:val="SingleTxtG"/>
        <w:rPr>
          <w:rFonts w:eastAsia="Times New Roman"/>
        </w:rPr>
      </w:pPr>
      <w:r w:rsidRPr="003E78E2">
        <w:rPr>
          <w:i/>
          <w:iCs/>
        </w:rPr>
        <w:t>Ajouter le nouveau paragraphe 6.7</w:t>
      </w:r>
      <w:r w:rsidRPr="00CC04A9">
        <w:t>, libellé comme suit</w:t>
      </w:r>
      <w:r w:rsidR="003E78E2">
        <w:t> </w:t>
      </w:r>
      <w:r w:rsidRPr="00CC04A9">
        <w:t>:</w:t>
      </w:r>
    </w:p>
    <w:p w14:paraId="73215CC7" w14:textId="77777777" w:rsidR="00454181" w:rsidRPr="00CC04A9" w:rsidRDefault="00454181" w:rsidP="003E78E2">
      <w:pPr>
        <w:pStyle w:val="SingleTxtG"/>
        <w:tabs>
          <w:tab w:val="left" w:pos="2268"/>
        </w:tabs>
        <w:rPr>
          <w:rFonts w:eastAsia="Times New Roman"/>
          <w:b/>
          <w:bCs/>
        </w:rPr>
      </w:pPr>
      <w:r w:rsidRPr="00CC04A9">
        <w:t>« </w:t>
      </w:r>
      <w:r w:rsidRPr="00CC04A9">
        <w:rPr>
          <w:b/>
          <w:bCs/>
        </w:rPr>
        <w:t>6.7</w:t>
      </w:r>
      <w:r w:rsidRPr="00CC04A9">
        <w:tab/>
      </w:r>
      <w:r w:rsidRPr="00CC04A9">
        <w:rPr>
          <w:b/>
          <w:bCs/>
        </w:rPr>
        <w:t>Simulation par ordinateur des essais dynamiques</w:t>
      </w:r>
    </w:p>
    <w:p w14:paraId="61F129F7" w14:textId="01C3C75C" w:rsidR="00454181" w:rsidRPr="00CC04A9" w:rsidRDefault="00454181" w:rsidP="003E78E2">
      <w:pPr>
        <w:pStyle w:val="SingleTxtG"/>
        <w:tabs>
          <w:tab w:val="left" w:pos="2268"/>
        </w:tabs>
        <w:ind w:left="2268" w:hanging="1134"/>
        <w:rPr>
          <w:rFonts w:eastAsia="Times New Roman"/>
          <w:b/>
          <w:bCs/>
        </w:rPr>
      </w:pPr>
      <w:r w:rsidRPr="00CC04A9">
        <w:rPr>
          <w:b/>
          <w:bCs/>
        </w:rPr>
        <w:t>6.7.1</w:t>
      </w:r>
      <w:r w:rsidRPr="00CC04A9">
        <w:tab/>
      </w:r>
      <w:r w:rsidRPr="00CC04A9">
        <w:rPr>
          <w:b/>
          <w:bCs/>
        </w:rPr>
        <w:t>Un modèle de simulation par ordinateur peut être utilisé pour les essais décrits aux paragraphes</w:t>
      </w:r>
      <w:r w:rsidR="003E78E2">
        <w:rPr>
          <w:b/>
          <w:bCs/>
        </w:rPr>
        <w:t> </w:t>
      </w:r>
      <w:r w:rsidRPr="00CC04A9">
        <w:rPr>
          <w:b/>
          <w:bCs/>
        </w:rPr>
        <w:t>6.4 à 6.6, à condition que le modèle et la chaîne de simulation aient été validés et soient utilisés conformément aux prescriptions de l</w:t>
      </w:r>
      <w:r>
        <w:rPr>
          <w:b/>
          <w:bCs/>
        </w:rPr>
        <w:t>’</w:t>
      </w:r>
      <w:r w:rsidRPr="00CC04A9">
        <w:rPr>
          <w:b/>
          <w:bCs/>
        </w:rPr>
        <w:t>annexe 4.</w:t>
      </w:r>
    </w:p>
    <w:p w14:paraId="7BE3C351" w14:textId="235B1EE0" w:rsidR="00454181" w:rsidRPr="00CC04A9" w:rsidRDefault="00454181" w:rsidP="003E78E2">
      <w:pPr>
        <w:pStyle w:val="SingleTxtG"/>
        <w:tabs>
          <w:tab w:val="left" w:pos="2268"/>
        </w:tabs>
        <w:ind w:left="2268" w:hanging="1134"/>
        <w:rPr>
          <w:rFonts w:eastAsia="Times New Roman"/>
          <w:b/>
          <w:bCs/>
        </w:rPr>
      </w:pPr>
      <w:r w:rsidRPr="00CC04A9">
        <w:rPr>
          <w:b/>
          <w:bCs/>
        </w:rPr>
        <w:t>6.7.2</w:t>
      </w:r>
      <w:r w:rsidRPr="00CC04A9">
        <w:tab/>
      </w:r>
      <w:r w:rsidRPr="00CC04A9">
        <w:rPr>
          <w:b/>
          <w:bCs/>
        </w:rPr>
        <w:t>Des outils de simulation et des modèles mathématiques peuvent être utilisés pour l</w:t>
      </w:r>
      <w:r>
        <w:rPr>
          <w:b/>
          <w:bCs/>
        </w:rPr>
        <w:t>’</w:t>
      </w:r>
      <w:r w:rsidRPr="00CC04A9">
        <w:rPr>
          <w:b/>
          <w:bCs/>
        </w:rPr>
        <w:t>évaluation des essais d</w:t>
      </w:r>
      <w:r>
        <w:rPr>
          <w:b/>
          <w:bCs/>
        </w:rPr>
        <w:t>’</w:t>
      </w:r>
      <w:r w:rsidRPr="00CC04A9">
        <w:rPr>
          <w:b/>
          <w:bCs/>
        </w:rPr>
        <w:t>avertissement et d</w:t>
      </w:r>
      <w:r>
        <w:rPr>
          <w:b/>
          <w:bCs/>
        </w:rPr>
        <w:t>’</w:t>
      </w:r>
      <w:r w:rsidRPr="00CC04A9">
        <w:rPr>
          <w:b/>
          <w:bCs/>
        </w:rPr>
        <w:t>activation conformément à l</w:t>
      </w:r>
      <w:r>
        <w:rPr>
          <w:b/>
          <w:bCs/>
        </w:rPr>
        <w:t>’</w:t>
      </w:r>
      <w:r w:rsidRPr="00CC04A9">
        <w:rPr>
          <w:b/>
          <w:bCs/>
        </w:rPr>
        <w:t>annexe</w:t>
      </w:r>
      <w:r w:rsidR="003E78E2">
        <w:rPr>
          <w:b/>
          <w:bCs/>
        </w:rPr>
        <w:t> </w:t>
      </w:r>
      <w:r w:rsidRPr="00CC04A9">
        <w:rPr>
          <w:b/>
          <w:bCs/>
        </w:rPr>
        <w:t>8 de la Révision</w:t>
      </w:r>
      <w:r w:rsidR="003E78E2">
        <w:rPr>
          <w:b/>
          <w:bCs/>
        </w:rPr>
        <w:t> </w:t>
      </w:r>
      <w:r w:rsidRPr="00CC04A9">
        <w:rPr>
          <w:b/>
          <w:bCs/>
        </w:rPr>
        <w:t>3 de l</w:t>
      </w:r>
      <w:r>
        <w:rPr>
          <w:b/>
          <w:bCs/>
        </w:rPr>
        <w:t>’</w:t>
      </w:r>
      <w:r w:rsidRPr="00CC04A9">
        <w:rPr>
          <w:b/>
          <w:bCs/>
        </w:rPr>
        <w:t>Accord de 1958.</w:t>
      </w:r>
      <w:r w:rsidRPr="00CC04A9">
        <w:t xml:space="preserve"> </w:t>
      </w:r>
      <w:r w:rsidRPr="00CC04A9">
        <w:rPr>
          <w:b/>
          <w:bCs/>
        </w:rPr>
        <w:t xml:space="preserve">Le constructeur doit démontrer </w:t>
      </w:r>
      <w:r>
        <w:rPr>
          <w:b/>
          <w:bCs/>
        </w:rPr>
        <w:t>le champ d’application</w:t>
      </w:r>
      <w:r w:rsidRPr="00CC04A9">
        <w:rPr>
          <w:b/>
          <w:bCs/>
        </w:rPr>
        <w:t xml:space="preserve"> de l</w:t>
      </w:r>
      <w:r>
        <w:rPr>
          <w:b/>
          <w:bCs/>
        </w:rPr>
        <w:t>’</w:t>
      </w:r>
      <w:r w:rsidRPr="00CC04A9">
        <w:rPr>
          <w:b/>
          <w:bCs/>
        </w:rPr>
        <w:t>outil de simulation, sa validité pour le scénario et le véhicule concernés ainsi que la validation effectuée pour la chaîne de simulation (corrélation des résultats avec les essais physiques), conformément à l</w:t>
      </w:r>
      <w:r>
        <w:rPr>
          <w:b/>
          <w:bCs/>
        </w:rPr>
        <w:t>’</w:t>
      </w:r>
      <w:r w:rsidRPr="00CC04A9">
        <w:rPr>
          <w:b/>
          <w:bCs/>
        </w:rPr>
        <w:t>annexe 4.</w:t>
      </w:r>
      <w:r w:rsidRPr="00CC04A9">
        <w:t xml:space="preserve"> </w:t>
      </w:r>
    </w:p>
    <w:p w14:paraId="6BC8EB6A" w14:textId="4628D7D0" w:rsidR="00454181" w:rsidRPr="00CC04A9" w:rsidRDefault="00454181" w:rsidP="003E78E2">
      <w:pPr>
        <w:pStyle w:val="SingleTxtG"/>
        <w:tabs>
          <w:tab w:val="left" w:pos="2268"/>
        </w:tabs>
        <w:ind w:left="2268" w:hanging="1134"/>
        <w:rPr>
          <w:rFonts w:eastAsia="Times New Roman"/>
          <w:b/>
          <w:bCs/>
        </w:rPr>
      </w:pPr>
      <w:r w:rsidRPr="00CC04A9">
        <w:rPr>
          <w:b/>
          <w:bCs/>
        </w:rPr>
        <w:t>6.7.3</w:t>
      </w:r>
      <w:r w:rsidRPr="00CC04A9">
        <w:tab/>
      </w:r>
      <w:r w:rsidRPr="00CC04A9">
        <w:rPr>
          <w:b/>
          <w:bCs/>
        </w:rPr>
        <w:t xml:space="preserve">Le service technique doit être en mesure de </w:t>
      </w:r>
      <w:r>
        <w:rPr>
          <w:b/>
          <w:bCs/>
        </w:rPr>
        <w:t>contrôler la validité du</w:t>
      </w:r>
      <w:r w:rsidRPr="00CC04A9">
        <w:rPr>
          <w:b/>
          <w:bCs/>
        </w:rPr>
        <w:t xml:space="preserve"> modèle de simulation</w:t>
      </w:r>
      <w:r w:rsidR="003E78E2">
        <w:rPr>
          <w:b/>
          <w:bCs/>
        </w:rPr>
        <w:t xml:space="preserve"> </w:t>
      </w:r>
      <w:r w:rsidRPr="00CC04A9">
        <w:rPr>
          <w:b/>
          <w:bCs/>
        </w:rPr>
        <w:t>au moyen d</w:t>
      </w:r>
      <w:r>
        <w:rPr>
          <w:b/>
          <w:bCs/>
        </w:rPr>
        <w:t>’</w:t>
      </w:r>
      <w:r w:rsidRPr="00CC04A9">
        <w:rPr>
          <w:b/>
          <w:bCs/>
        </w:rPr>
        <w:t>essais physiques de validation.</w:t>
      </w:r>
    </w:p>
    <w:p w14:paraId="15FC3E6B" w14:textId="2608FF18" w:rsidR="00454181" w:rsidRPr="00CC04A9" w:rsidRDefault="00454181" w:rsidP="003E78E2">
      <w:pPr>
        <w:pStyle w:val="SingleTxtG"/>
        <w:tabs>
          <w:tab w:val="left" w:pos="2268"/>
        </w:tabs>
        <w:ind w:left="2268" w:hanging="1134"/>
        <w:rPr>
          <w:rFonts w:eastAsia="Times New Roman"/>
        </w:rPr>
      </w:pPr>
      <w:r w:rsidRPr="00CC04A9">
        <w:rPr>
          <w:b/>
          <w:bCs/>
        </w:rPr>
        <w:t>6.7.4</w:t>
      </w:r>
      <w:r w:rsidRPr="00CC04A9">
        <w:tab/>
      </w:r>
      <w:r w:rsidRPr="00CC04A9">
        <w:rPr>
          <w:b/>
          <w:bCs/>
        </w:rPr>
        <w:t>Si le constructeur opte pour la simulation par ordinateur des essais dynamiques, un procès-verbal distinct comprenant au moins les informations supplémentaires spécifiées au paragraphe</w:t>
      </w:r>
      <w:r w:rsidR="003E78E2">
        <w:rPr>
          <w:b/>
          <w:bCs/>
        </w:rPr>
        <w:t> </w:t>
      </w:r>
      <w:r w:rsidRPr="00CC04A9">
        <w:rPr>
          <w:b/>
          <w:bCs/>
        </w:rPr>
        <w:t>1.4 de l</w:t>
      </w:r>
      <w:r>
        <w:rPr>
          <w:b/>
          <w:bCs/>
        </w:rPr>
        <w:t>’</w:t>
      </w:r>
      <w:r w:rsidRPr="00CC04A9">
        <w:rPr>
          <w:b/>
          <w:bCs/>
        </w:rPr>
        <w:t>annexe 4 doit être joint au procès-verbal d</w:t>
      </w:r>
      <w:r>
        <w:rPr>
          <w:b/>
          <w:bCs/>
        </w:rPr>
        <w:t>’</w:t>
      </w:r>
      <w:r w:rsidRPr="00CC04A9">
        <w:rPr>
          <w:b/>
          <w:bCs/>
        </w:rPr>
        <w:t>essai.</w:t>
      </w:r>
      <w:r w:rsidRPr="00CC04A9">
        <w:t> ».</w:t>
      </w:r>
    </w:p>
    <w:p w14:paraId="08F33A8F" w14:textId="06CD88B5" w:rsidR="00454181" w:rsidRPr="00CC04A9" w:rsidRDefault="00454181" w:rsidP="003E78E2">
      <w:pPr>
        <w:pStyle w:val="SingleTxtG"/>
        <w:rPr>
          <w:rFonts w:eastAsia="Times New Roman"/>
          <w:i/>
          <w:iCs/>
        </w:rPr>
      </w:pPr>
      <w:r w:rsidRPr="00CC04A9">
        <w:rPr>
          <w:i/>
          <w:iCs/>
        </w:rPr>
        <w:t>Ajouter la nouvelle annexe 4</w:t>
      </w:r>
      <w:r w:rsidRPr="00CC04A9">
        <w:t>, libellée comme suit</w:t>
      </w:r>
      <w:r w:rsidR="003E78E2">
        <w:t> </w:t>
      </w:r>
      <w:r w:rsidRPr="00CC04A9">
        <w:t>:</w:t>
      </w:r>
    </w:p>
    <w:p w14:paraId="761A2F73" w14:textId="77777777" w:rsidR="00454181" w:rsidRPr="003E78E2" w:rsidRDefault="00454181" w:rsidP="003E78E2">
      <w:pPr>
        <w:pStyle w:val="HChG"/>
        <w:rPr>
          <w:lang w:val="fr-FR"/>
        </w:rPr>
      </w:pPr>
      <w:r w:rsidRPr="003E78E2">
        <w:rPr>
          <w:b w:val="0"/>
          <w:bCs/>
          <w:sz w:val="20"/>
        </w:rPr>
        <w:t>« </w:t>
      </w:r>
      <w:r w:rsidRPr="006C3CD1">
        <w:t>Annexe 4</w:t>
      </w:r>
    </w:p>
    <w:p w14:paraId="659B551F" w14:textId="03DCF320" w:rsidR="00454181" w:rsidRPr="00A83E2D" w:rsidRDefault="003E78E2" w:rsidP="003E78E2">
      <w:pPr>
        <w:pStyle w:val="HChG"/>
        <w:rPr>
          <w:rFonts w:eastAsia="Times New Roman"/>
        </w:rPr>
      </w:pPr>
      <w:r>
        <w:tab/>
      </w:r>
      <w:r>
        <w:tab/>
      </w:r>
      <w:r w:rsidR="00454181" w:rsidRPr="00A83E2D">
        <w:t>Simulation par ordinateur des essais dynamiques</w:t>
      </w:r>
    </w:p>
    <w:p w14:paraId="131D7A54" w14:textId="77777777" w:rsidR="00454181" w:rsidRPr="009F0E7F" w:rsidRDefault="00454181" w:rsidP="003E78E2">
      <w:pPr>
        <w:pStyle w:val="HChG"/>
        <w:rPr>
          <w:lang w:val="fr-FR"/>
        </w:rPr>
      </w:pPr>
      <w:r w:rsidRPr="009F0E7F">
        <w:rPr>
          <w:lang w:val="fr-FR"/>
        </w:rPr>
        <w:tab/>
      </w:r>
      <w:r w:rsidRPr="009F0E7F">
        <w:rPr>
          <w:lang w:val="fr-FR"/>
        </w:rPr>
        <w:tab/>
        <w:t>Introduction (pour information uniquement)</w:t>
      </w:r>
    </w:p>
    <w:p w14:paraId="6CEAA9DA" w14:textId="77777777" w:rsidR="00454181" w:rsidRPr="003E78E2" w:rsidRDefault="00454181" w:rsidP="003E78E2">
      <w:pPr>
        <w:pStyle w:val="SingleTxtG"/>
        <w:rPr>
          <w:rFonts w:eastAsia="Times New Roman"/>
          <w:b/>
          <w:bCs/>
        </w:rPr>
      </w:pPr>
      <w:r w:rsidRPr="003E78E2">
        <w:rPr>
          <w:b/>
          <w:bCs/>
        </w:rPr>
        <w:t>La présente annexe décrit les processus que le constructeur peut appliquer s’il envisage, pour démontrer la conformité aux prescriptions réglementaires, d’avoir recours à des résultats de simulation au lieu de résultats d’essais physiques.</w:t>
      </w:r>
    </w:p>
    <w:p w14:paraId="0182F906" w14:textId="77777777" w:rsidR="00454181" w:rsidRPr="003E78E2" w:rsidRDefault="00454181" w:rsidP="003E78E2">
      <w:pPr>
        <w:pStyle w:val="SingleTxtG"/>
        <w:rPr>
          <w:rFonts w:eastAsia="Times New Roman"/>
          <w:b/>
          <w:bCs/>
        </w:rPr>
      </w:pPr>
      <w:r w:rsidRPr="003E78E2">
        <w:rPr>
          <w:b/>
          <w:bCs/>
        </w:rPr>
        <w:t xml:space="preserve">Ces processus permettent à la fois d’optimiser la capacité des constructeurs à prendre en compte différents véhicules et de réaliser des économies, les ressources physiques nécessaires étant moindres. </w:t>
      </w:r>
    </w:p>
    <w:p w14:paraId="18981327" w14:textId="77777777" w:rsidR="00454181" w:rsidRPr="003E78E2" w:rsidRDefault="00454181" w:rsidP="003E78E2">
      <w:pPr>
        <w:pStyle w:val="SingleTxtG"/>
        <w:rPr>
          <w:rFonts w:eastAsia="Times New Roman"/>
          <w:b/>
          <w:bCs/>
        </w:rPr>
      </w:pPr>
      <w:r w:rsidRPr="003E78E2">
        <w:rPr>
          <w:b/>
          <w:bCs/>
        </w:rPr>
        <w:t>Toutefois, une telle approche n’est possible que si le cadre du processus est clairement défini et si le degré de confiance dans les résultats présentés est suffisant et fondé sur des critères objectifs de représentativité par rapport aux essais physiques.</w:t>
      </w:r>
    </w:p>
    <w:p w14:paraId="1D238CF2" w14:textId="77777777" w:rsidR="00454181" w:rsidRPr="003E78E2" w:rsidRDefault="00454181" w:rsidP="003E78E2">
      <w:pPr>
        <w:pStyle w:val="SingleTxtG"/>
        <w:rPr>
          <w:rFonts w:eastAsia="Times New Roman"/>
          <w:b/>
          <w:bCs/>
        </w:rPr>
      </w:pPr>
      <w:r w:rsidRPr="003E78E2">
        <w:rPr>
          <w:b/>
          <w:bCs/>
        </w:rPr>
        <w:t>L’approche décrite ici repose principalement sur deux axes distincts : la validation de la méthode de simulation et les résultats de la simulation aux fins du processus d’homologation.</w:t>
      </w:r>
    </w:p>
    <w:p w14:paraId="77E2F3B8" w14:textId="77777777" w:rsidR="00454181" w:rsidRPr="003E78E2" w:rsidRDefault="00454181" w:rsidP="003E78E2">
      <w:pPr>
        <w:pStyle w:val="SingleTxtG"/>
        <w:rPr>
          <w:rFonts w:eastAsia="Times New Roman"/>
          <w:b/>
          <w:bCs/>
        </w:rPr>
      </w:pPr>
      <w:r w:rsidRPr="003E78E2">
        <w:rPr>
          <w:b/>
          <w:bCs/>
        </w:rPr>
        <w:t>La validation de la méthode de simulation est une étape clef du processus complet de validation numérique, car elle permet de déterminer le degré de représentativité du modèle mathématique par rapport à l’essai physique. La qualité de la corrélation est donc cruciale et est évaluée au moyen d’une comparaison entre la simulation et l’essai. Une fois la corrélation établie ou, autrement dit, lorsque le comportement calculé est à l’image du comportement du sujet observé dans le cadre des essais réels, le modèle peut être utilisé, dans les limites de son domaine de validité, pour prédire le comportement du sujet.</w:t>
      </w:r>
    </w:p>
    <w:p w14:paraId="58ACCD32" w14:textId="12545396" w:rsidR="00454181" w:rsidRPr="003E78E2" w:rsidRDefault="00454181" w:rsidP="003E78E2">
      <w:pPr>
        <w:pStyle w:val="SingleTxtG"/>
        <w:keepLines/>
        <w:rPr>
          <w:rFonts w:eastAsia="Times New Roman"/>
          <w:b/>
          <w:bCs/>
        </w:rPr>
      </w:pPr>
      <w:r w:rsidRPr="003E78E2">
        <w:rPr>
          <w:b/>
          <w:bCs/>
        </w:rPr>
        <w:lastRenderedPageBreak/>
        <w:t>Les résultats de la simulation aux fins du processus d’homologation constituent la dernière étape de la procédure, c’est-à-dire l’homologation de type</w:t>
      </w:r>
      <w:r w:rsidR="003E78E2">
        <w:rPr>
          <w:b/>
          <w:bCs/>
        </w:rPr>
        <w:t xml:space="preserve"> </w:t>
      </w:r>
      <w:r w:rsidRPr="003E78E2">
        <w:rPr>
          <w:b/>
          <w:bCs/>
        </w:rPr>
        <w:t xml:space="preserve">d’un véhicule au titre d’un texte réglementaire délivrée uniquement sur la base d’essais virtuels. Une fois que la représentativité du modèle numérique a été démontrée dans les limites de son domaine de validité, on peut appliquer ce processus pour déterminer si le modèle de véhicule soumis aux essais satisfait aux prescriptions fonctionnelles énoncées dans le texte réglementaire. </w:t>
      </w:r>
    </w:p>
    <w:p w14:paraId="7848D63F" w14:textId="6CE5382A" w:rsidR="00454181" w:rsidRPr="003E78E2" w:rsidRDefault="00454181" w:rsidP="003E78E2">
      <w:pPr>
        <w:pStyle w:val="SingleTxtG"/>
        <w:rPr>
          <w:rFonts w:eastAsia="Times New Roman"/>
          <w:b/>
          <w:bCs/>
        </w:rPr>
      </w:pPr>
      <w:r w:rsidRPr="003E78E2">
        <w:rPr>
          <w:b/>
          <w:bCs/>
        </w:rPr>
        <w:t>Cette approche globale est résumée étape par étape dans le schéma ci-dessous (fig</w:t>
      </w:r>
      <w:r w:rsidR="003E78E2">
        <w:rPr>
          <w:b/>
          <w:bCs/>
        </w:rPr>
        <w:t>.</w:t>
      </w:r>
      <w:r w:rsidRPr="003E78E2">
        <w:rPr>
          <w:b/>
          <w:bCs/>
        </w:rPr>
        <w:t> 5) et détaillée dans les sections suivantes.</w:t>
      </w:r>
    </w:p>
    <w:p w14:paraId="1D501BFC" w14:textId="77777777" w:rsidR="00454181" w:rsidRPr="003E78E2" w:rsidRDefault="00454181" w:rsidP="003E78E2">
      <w:pPr>
        <w:pStyle w:val="Titre1"/>
        <w:spacing w:after="120"/>
        <w:ind w:right="1134"/>
        <w:rPr>
          <w:b/>
          <w:bCs/>
        </w:rPr>
      </w:pPr>
      <w:r w:rsidRPr="003E78E2">
        <w:rPr>
          <w:b/>
          <w:bCs/>
        </w:rPr>
        <w:t xml:space="preserve">Figure 5 </w:t>
      </w:r>
      <w:r w:rsidRPr="003E78E2">
        <w:rPr>
          <w:b/>
          <w:bCs/>
        </w:rPr>
        <w:br/>
        <w:t>Diagramme de décision générique relatif à la simulation par ordinateur des essais dynamiques comme méthode d’homologation équivalente</w:t>
      </w:r>
    </w:p>
    <w:p w14:paraId="254E5802" w14:textId="77777777" w:rsidR="00454181" w:rsidRPr="00CC04A9" w:rsidRDefault="00454181" w:rsidP="00454181">
      <w:pPr>
        <w:ind w:left="284" w:right="1133"/>
        <w:jc w:val="center"/>
        <w:rPr>
          <w:lang w:val="en-GB"/>
        </w:rPr>
      </w:pPr>
      <w:r w:rsidRPr="00CC04A9">
        <w:rPr>
          <w:noProof/>
        </w:rPr>
        <w:drawing>
          <wp:inline distT="0" distB="0" distL="0" distR="0" wp14:anchorId="22435463" wp14:editId="0C092D10">
            <wp:extent cx="5760720" cy="4838700"/>
            <wp:effectExtent l="0" t="0" r="0" b="0"/>
            <wp:docPr id="785896076" name="Image 785896076" descr="Une image contenant texte, capture d’écran, Parallè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96076" name="Image 785896076" descr="Une image contenant texte, capture d’écran, Parallèle, Police&#10;&#10;Description générée automatiquement"/>
                    <pic:cNvPicPr/>
                  </pic:nvPicPr>
                  <pic:blipFill>
                    <a:blip r:embed="rId8"/>
                    <a:stretch>
                      <a:fillRect/>
                    </a:stretch>
                  </pic:blipFill>
                  <pic:spPr>
                    <a:xfrm>
                      <a:off x="0" y="0"/>
                      <a:ext cx="5760720" cy="4838700"/>
                    </a:xfrm>
                    <a:prstGeom prst="rect">
                      <a:avLst/>
                    </a:prstGeom>
                  </pic:spPr>
                </pic:pic>
              </a:graphicData>
            </a:graphic>
          </wp:inline>
        </w:drawing>
      </w:r>
    </w:p>
    <w:p w14:paraId="499306D0" w14:textId="77777777" w:rsidR="00454181" w:rsidRPr="003E78E2" w:rsidRDefault="00454181" w:rsidP="003E78E2">
      <w:pPr>
        <w:pStyle w:val="HChG"/>
      </w:pPr>
      <w:r w:rsidRPr="003E78E2">
        <w:tab/>
        <w:t>1.</w:t>
      </w:r>
      <w:r w:rsidRPr="003E78E2">
        <w:tab/>
        <w:t>Validation de la méthode de simulation</w:t>
      </w:r>
    </w:p>
    <w:p w14:paraId="28793B58" w14:textId="77777777" w:rsidR="00454181" w:rsidRPr="003E78E2" w:rsidRDefault="00454181" w:rsidP="003E78E2">
      <w:pPr>
        <w:pStyle w:val="SingleTxtG"/>
        <w:rPr>
          <w:rFonts w:eastAsia="Times New Roman"/>
          <w:b/>
          <w:bCs/>
        </w:rPr>
      </w:pPr>
      <w:r w:rsidRPr="003E78E2">
        <w:rPr>
          <w:b/>
          <w:bCs/>
        </w:rPr>
        <w:t>Le service technique doit évaluer et valider la méthode de simulation employée par le constructeur afin de garantir qu’elle permet d’obtenir des résultats représentatifs acceptables aux fins du processus d’homologation.</w:t>
      </w:r>
    </w:p>
    <w:p w14:paraId="4DE67A61" w14:textId="77777777" w:rsidR="00454181" w:rsidRPr="00CC04A9" w:rsidRDefault="00454181" w:rsidP="003E78E2">
      <w:pPr>
        <w:pStyle w:val="SingleTxtG"/>
        <w:tabs>
          <w:tab w:val="left" w:pos="2268"/>
        </w:tabs>
        <w:ind w:left="2268" w:hanging="1134"/>
        <w:rPr>
          <w:rFonts w:eastAsia="Times New Roman"/>
          <w:b/>
          <w:bCs/>
        </w:rPr>
      </w:pPr>
      <w:r w:rsidRPr="00CC04A9">
        <w:rPr>
          <w:b/>
          <w:bCs/>
        </w:rPr>
        <w:t>1.1</w:t>
      </w:r>
      <w:r w:rsidRPr="00CC04A9">
        <w:tab/>
      </w:r>
      <w:r w:rsidRPr="00CC04A9">
        <w:rPr>
          <w:b/>
          <w:bCs/>
        </w:rPr>
        <w:t>Définition du domaine de validité</w:t>
      </w:r>
    </w:p>
    <w:p w14:paraId="1DF1CC28" w14:textId="0645A6B4" w:rsidR="00454181" w:rsidRPr="00CC04A9" w:rsidRDefault="00454181" w:rsidP="003E78E2">
      <w:pPr>
        <w:pStyle w:val="SingleTxtG"/>
        <w:tabs>
          <w:tab w:val="left" w:pos="2268"/>
        </w:tabs>
        <w:ind w:left="2268" w:hanging="1134"/>
        <w:rPr>
          <w:rFonts w:eastAsia="Times New Roman"/>
          <w:b/>
          <w:bCs/>
        </w:rPr>
      </w:pPr>
      <w:r w:rsidRPr="00CC04A9">
        <w:rPr>
          <w:b/>
          <w:bCs/>
        </w:rPr>
        <w:t>1.1.1</w:t>
      </w:r>
      <w:r w:rsidRPr="00CC04A9">
        <w:tab/>
      </w:r>
      <w:r w:rsidRPr="00CC04A9">
        <w:rPr>
          <w:b/>
          <w:bCs/>
        </w:rPr>
        <w:t>Le constructeur automobile doit définir les conditions limites dans lesquelles la méthode de simulation peut être utilisée.</w:t>
      </w:r>
      <w:r w:rsidRPr="00CC04A9">
        <w:t xml:space="preserve"> </w:t>
      </w:r>
    </w:p>
    <w:p w14:paraId="6031EA1A" w14:textId="10A18E33" w:rsidR="00454181" w:rsidRPr="00CC04A9" w:rsidRDefault="00454181" w:rsidP="00AD6C4E">
      <w:pPr>
        <w:pStyle w:val="SingleTxtG"/>
        <w:keepNext/>
        <w:tabs>
          <w:tab w:val="left" w:pos="2268"/>
        </w:tabs>
        <w:ind w:left="2268" w:hanging="1134"/>
        <w:rPr>
          <w:rFonts w:eastAsia="Times New Roman"/>
          <w:b/>
          <w:bCs/>
        </w:rPr>
      </w:pPr>
      <w:r w:rsidRPr="00CC04A9">
        <w:rPr>
          <w:b/>
          <w:bCs/>
        </w:rPr>
        <w:lastRenderedPageBreak/>
        <w:t>1.1.2</w:t>
      </w:r>
      <w:r w:rsidRPr="00CC04A9">
        <w:tab/>
      </w:r>
      <w:r w:rsidRPr="00CC04A9">
        <w:rPr>
          <w:b/>
          <w:bCs/>
        </w:rPr>
        <w:t xml:space="preserve">La définition du domaine de validité doit </w:t>
      </w:r>
      <w:r>
        <w:rPr>
          <w:b/>
          <w:bCs/>
        </w:rPr>
        <w:t>comprendre</w:t>
      </w:r>
      <w:r w:rsidRPr="00CC04A9">
        <w:rPr>
          <w:b/>
          <w:bCs/>
        </w:rPr>
        <w:t xml:space="preserve"> les caractéristiques du véhicule (masse, équipement, type exact de capteur, algorithme de contrôle, etc.) et les caractéristiques du scénario</w:t>
      </w:r>
      <w:r w:rsidR="003E78E2">
        <w:rPr>
          <w:b/>
          <w:bCs/>
        </w:rPr>
        <w:t xml:space="preserve"> </w:t>
      </w:r>
      <w:r w:rsidRPr="00CC04A9">
        <w:rPr>
          <w:b/>
          <w:bCs/>
        </w:rPr>
        <w:t>(vitesses, cible, etc.).</w:t>
      </w:r>
    </w:p>
    <w:p w14:paraId="75EEE3E6" w14:textId="77777777" w:rsidR="00454181" w:rsidRPr="00CC04A9" w:rsidRDefault="00454181" w:rsidP="003E78E2">
      <w:pPr>
        <w:pStyle w:val="SingleTxtG"/>
        <w:tabs>
          <w:tab w:val="left" w:pos="2268"/>
        </w:tabs>
        <w:ind w:left="2268" w:hanging="1134"/>
        <w:rPr>
          <w:rFonts w:eastAsia="Times New Roman"/>
          <w:b/>
          <w:bCs/>
        </w:rPr>
      </w:pPr>
      <w:r w:rsidRPr="00CC04A9">
        <w:rPr>
          <w:b/>
          <w:bCs/>
        </w:rPr>
        <w:t>1.1.3</w:t>
      </w:r>
      <w:r w:rsidRPr="00CC04A9">
        <w:tab/>
      </w:r>
      <w:r w:rsidRPr="00CC04A9">
        <w:rPr>
          <w:b/>
          <w:bCs/>
        </w:rPr>
        <w:t xml:space="preserve">En fonction du domaine de validité </w:t>
      </w:r>
      <w:r>
        <w:rPr>
          <w:b/>
          <w:bCs/>
        </w:rPr>
        <w:t>requis</w:t>
      </w:r>
      <w:r w:rsidRPr="00CC04A9">
        <w:rPr>
          <w:b/>
          <w:bCs/>
        </w:rPr>
        <w:t xml:space="preserve"> par le constructeur, le service technique définit une grille des véhicules et des scénarios </w:t>
      </w:r>
      <w:r>
        <w:rPr>
          <w:b/>
          <w:bCs/>
        </w:rPr>
        <w:t xml:space="preserve">sur lesquels les essais doivent porter </w:t>
      </w:r>
      <w:r w:rsidRPr="00CC04A9">
        <w:rPr>
          <w:b/>
          <w:bCs/>
        </w:rPr>
        <w:t xml:space="preserve">afin de couvrir </w:t>
      </w:r>
      <w:r>
        <w:rPr>
          <w:b/>
          <w:bCs/>
        </w:rPr>
        <w:t>l’intégralité du</w:t>
      </w:r>
      <w:r w:rsidRPr="00CC04A9">
        <w:rPr>
          <w:b/>
          <w:bCs/>
        </w:rPr>
        <w:t xml:space="preserve"> domaine, conformément au paragraphe 1.2.</w:t>
      </w:r>
    </w:p>
    <w:p w14:paraId="68A9E371" w14:textId="77777777" w:rsidR="00454181" w:rsidRPr="00CC04A9" w:rsidDel="00813951" w:rsidRDefault="00454181" w:rsidP="003E78E2">
      <w:pPr>
        <w:pStyle w:val="SingleTxtG"/>
        <w:tabs>
          <w:tab w:val="left" w:pos="2268"/>
        </w:tabs>
        <w:ind w:left="2268" w:hanging="1134"/>
        <w:rPr>
          <w:rFonts w:eastAsia="Times New Roman"/>
          <w:b/>
          <w:bCs/>
        </w:rPr>
      </w:pPr>
      <w:r w:rsidRPr="00CC04A9">
        <w:rPr>
          <w:b/>
          <w:bCs/>
        </w:rPr>
        <w:t>1.2</w:t>
      </w:r>
      <w:r w:rsidRPr="00CC04A9">
        <w:tab/>
      </w:r>
      <w:r w:rsidRPr="00CC04A9">
        <w:rPr>
          <w:b/>
          <w:bCs/>
        </w:rPr>
        <w:t>Essais physiques de validation</w:t>
      </w:r>
    </w:p>
    <w:p w14:paraId="58874DAD" w14:textId="77777777" w:rsidR="00454181" w:rsidRPr="00CC04A9" w:rsidDel="00813951" w:rsidRDefault="00454181" w:rsidP="003E78E2">
      <w:pPr>
        <w:pStyle w:val="SingleTxtG"/>
        <w:tabs>
          <w:tab w:val="left" w:pos="2268"/>
        </w:tabs>
        <w:ind w:left="2268" w:hanging="1134"/>
        <w:rPr>
          <w:rFonts w:eastAsia="Times New Roman"/>
          <w:b/>
          <w:bCs/>
        </w:rPr>
      </w:pPr>
      <w:r w:rsidRPr="00CC04A9">
        <w:rPr>
          <w:b/>
          <w:bCs/>
        </w:rPr>
        <w:t>1.2.1</w:t>
      </w:r>
      <w:r w:rsidRPr="00CC04A9">
        <w:tab/>
      </w:r>
      <w:r w:rsidRPr="00CC04A9">
        <w:rPr>
          <w:b/>
          <w:bCs/>
        </w:rPr>
        <w:t xml:space="preserve">Le service technique procède à des essais </w:t>
      </w:r>
      <w:r>
        <w:rPr>
          <w:b/>
          <w:bCs/>
        </w:rPr>
        <w:t>pour</w:t>
      </w:r>
      <w:r w:rsidRPr="00CC04A9">
        <w:rPr>
          <w:b/>
          <w:bCs/>
        </w:rPr>
        <w:t xml:space="preserve"> démontrer la validité du modèle de simulation.</w:t>
      </w:r>
    </w:p>
    <w:p w14:paraId="59BBC7B4" w14:textId="77777777" w:rsidR="00454181" w:rsidRPr="00CC04A9" w:rsidDel="00813951" w:rsidRDefault="00454181" w:rsidP="003E78E2">
      <w:pPr>
        <w:pStyle w:val="SingleTxtG"/>
        <w:tabs>
          <w:tab w:val="left" w:pos="2268"/>
        </w:tabs>
        <w:ind w:left="2268" w:hanging="1134"/>
        <w:rPr>
          <w:rFonts w:eastAsia="Times New Roman"/>
          <w:b/>
          <w:bCs/>
        </w:rPr>
      </w:pPr>
      <w:r w:rsidRPr="00CC04A9">
        <w:rPr>
          <w:b/>
          <w:bCs/>
        </w:rPr>
        <w:t>1.2.2</w:t>
      </w:r>
      <w:r w:rsidRPr="00CC04A9">
        <w:tab/>
      </w:r>
      <w:r w:rsidRPr="00CC04A9">
        <w:rPr>
          <w:b/>
          <w:bCs/>
        </w:rPr>
        <w:t xml:space="preserve">Le service technique détermine le nombre de scénarios </w:t>
      </w:r>
      <w:r>
        <w:rPr>
          <w:b/>
          <w:bCs/>
        </w:rPr>
        <w:t>devant être soumis à des essais</w:t>
      </w:r>
      <w:r w:rsidRPr="00CC04A9">
        <w:rPr>
          <w:b/>
          <w:bCs/>
        </w:rPr>
        <w:t xml:space="preserve"> de manière à couvrir le domaine de validité </w:t>
      </w:r>
      <w:r>
        <w:rPr>
          <w:b/>
          <w:bCs/>
        </w:rPr>
        <w:t>requis</w:t>
      </w:r>
      <w:r w:rsidRPr="00CC04A9">
        <w:rPr>
          <w:b/>
          <w:bCs/>
        </w:rPr>
        <w:t xml:space="preserve"> par le constructeur.</w:t>
      </w:r>
    </w:p>
    <w:p w14:paraId="13E926C6" w14:textId="77777777" w:rsidR="00454181" w:rsidRPr="00CC04A9" w:rsidRDefault="00454181" w:rsidP="003E78E2">
      <w:pPr>
        <w:pStyle w:val="SingleTxtG"/>
        <w:tabs>
          <w:tab w:val="left" w:pos="2268"/>
        </w:tabs>
        <w:ind w:left="2268" w:hanging="1134"/>
        <w:rPr>
          <w:rFonts w:eastAsia="Times New Roman"/>
          <w:b/>
          <w:bCs/>
        </w:rPr>
      </w:pPr>
      <w:r w:rsidRPr="00CC04A9">
        <w:rPr>
          <w:b/>
          <w:bCs/>
        </w:rPr>
        <w:t>1.2.3</w:t>
      </w:r>
      <w:r w:rsidRPr="00CC04A9">
        <w:tab/>
      </w:r>
      <w:r w:rsidRPr="00CC04A9">
        <w:rPr>
          <w:b/>
          <w:bCs/>
        </w:rPr>
        <w:t>Pour les scénarios les plus défavorables, les essais doivent être répétés au moins 10 fois et les résultats concernant la distance par rapport à la cible au moment de l</w:t>
      </w:r>
      <w:r>
        <w:rPr>
          <w:b/>
          <w:bCs/>
        </w:rPr>
        <w:t>’</w:t>
      </w:r>
      <w:r w:rsidRPr="00CC04A9">
        <w:rPr>
          <w:b/>
          <w:bCs/>
        </w:rPr>
        <w:t xml:space="preserve">arrêt ou la vitesse </w:t>
      </w:r>
      <w:r>
        <w:rPr>
          <w:b/>
          <w:bCs/>
        </w:rPr>
        <w:t>au moment du choc</w:t>
      </w:r>
      <w:r w:rsidRPr="00CC04A9">
        <w:rPr>
          <w:b/>
          <w:bCs/>
        </w:rPr>
        <w:t xml:space="preserve"> doivent être compris dans un intervalle déterminé par rapport à la valeur médiane.</w:t>
      </w:r>
      <w:r w:rsidRPr="00CC04A9">
        <w:t xml:space="preserve"> </w:t>
      </w:r>
      <w:r w:rsidRPr="00CC04A9">
        <w:rPr>
          <w:b/>
          <w:bCs/>
        </w:rPr>
        <w:t>Cet intervalle est défini par le service technique.</w:t>
      </w:r>
    </w:p>
    <w:p w14:paraId="7281405C" w14:textId="3ED8DAE5" w:rsidR="00454181" w:rsidRPr="00CC04A9" w:rsidRDefault="00454181" w:rsidP="003E78E2">
      <w:pPr>
        <w:pStyle w:val="SingleTxtG"/>
        <w:tabs>
          <w:tab w:val="left" w:pos="2268"/>
        </w:tabs>
        <w:ind w:left="2268" w:hanging="1134"/>
        <w:rPr>
          <w:rFonts w:eastAsia="Times New Roman"/>
          <w:b/>
          <w:bCs/>
        </w:rPr>
      </w:pPr>
      <w:r w:rsidRPr="00CC04A9">
        <w:rPr>
          <w:b/>
          <w:bCs/>
        </w:rPr>
        <w:t>1.2.3.1</w:t>
      </w:r>
      <w:r w:rsidRPr="00CC04A9">
        <w:tab/>
      </w:r>
      <w:r w:rsidRPr="00CC04A9">
        <w:rPr>
          <w:b/>
          <w:bCs/>
        </w:rPr>
        <w:t>Les scénarios les plus défavorables sont ceux pour lesquels</w:t>
      </w:r>
      <w:r w:rsidR="003E78E2">
        <w:rPr>
          <w:b/>
          <w:bCs/>
        </w:rPr>
        <w:t xml:space="preserve"> </w:t>
      </w:r>
      <w:r w:rsidRPr="00CC04A9">
        <w:rPr>
          <w:b/>
          <w:bCs/>
        </w:rPr>
        <w:t xml:space="preserve">les incertitudes du modèle </w:t>
      </w:r>
      <w:r>
        <w:rPr>
          <w:b/>
          <w:bCs/>
        </w:rPr>
        <w:t xml:space="preserve">de simulation </w:t>
      </w:r>
      <w:r w:rsidRPr="00CC04A9">
        <w:rPr>
          <w:b/>
          <w:bCs/>
        </w:rPr>
        <w:t xml:space="preserve">devraient avoir les effets les plus marqués sur </w:t>
      </w:r>
      <w:r>
        <w:rPr>
          <w:b/>
          <w:bCs/>
        </w:rPr>
        <w:t>s</w:t>
      </w:r>
      <w:r w:rsidRPr="00CC04A9">
        <w:rPr>
          <w:b/>
          <w:bCs/>
        </w:rPr>
        <w:t>a représentativité (par exemple, forte dispersion des résultats dans le cas d</w:t>
      </w:r>
      <w:r>
        <w:rPr>
          <w:b/>
          <w:bCs/>
        </w:rPr>
        <w:t>’</w:t>
      </w:r>
      <w:r w:rsidRPr="00CC04A9">
        <w:rPr>
          <w:b/>
          <w:bCs/>
        </w:rPr>
        <w:t>un impact avec une cible à pleine puissance de freinage, vitesse la plus basse possible dans le cas de scénarios voiture contre bicyclette pour lesquels l</w:t>
      </w:r>
      <w:r>
        <w:rPr>
          <w:b/>
          <w:bCs/>
        </w:rPr>
        <w:t>’</w:t>
      </w:r>
      <w:r w:rsidRPr="00CC04A9">
        <w:rPr>
          <w:b/>
          <w:bCs/>
        </w:rPr>
        <w:t>angle du capteur est très important).</w:t>
      </w:r>
    </w:p>
    <w:p w14:paraId="638EFFBB" w14:textId="134C07A2" w:rsidR="00454181" w:rsidRPr="00CC04A9" w:rsidRDefault="00454181" w:rsidP="003E78E2">
      <w:pPr>
        <w:pStyle w:val="SingleTxtG"/>
        <w:tabs>
          <w:tab w:val="left" w:pos="2268"/>
        </w:tabs>
        <w:ind w:left="2268" w:hanging="1134"/>
        <w:rPr>
          <w:rFonts w:eastAsia="Times New Roman"/>
          <w:b/>
          <w:bCs/>
        </w:rPr>
      </w:pPr>
      <w:r w:rsidRPr="00CC04A9">
        <w:rPr>
          <w:b/>
          <w:bCs/>
        </w:rPr>
        <w:t>1.2.4</w:t>
      </w:r>
      <w:r w:rsidRPr="00CC04A9">
        <w:tab/>
      </w:r>
      <w:r w:rsidRPr="00CC04A9">
        <w:rPr>
          <w:b/>
          <w:bCs/>
        </w:rPr>
        <w:t>Comme indiqué au paragraphe</w:t>
      </w:r>
      <w:r w:rsidR="003E78E2">
        <w:rPr>
          <w:b/>
          <w:bCs/>
        </w:rPr>
        <w:t> </w:t>
      </w:r>
      <w:r w:rsidRPr="00CC04A9">
        <w:rPr>
          <w:b/>
          <w:bCs/>
        </w:rPr>
        <w:t>6.10 du présent Règlement, relatif à la fiabilité du système, certains essais physiques peuvent être répétés si le système ne satisfait pas aux prescriptions fonctionnelles.</w:t>
      </w:r>
      <w:r w:rsidRPr="00CC04A9">
        <w:t xml:space="preserve"> </w:t>
      </w:r>
      <w:r w:rsidRPr="00CC04A9">
        <w:rPr>
          <w:b/>
          <w:bCs/>
        </w:rPr>
        <w:t>Le nombre d</w:t>
      </w:r>
      <w:r>
        <w:rPr>
          <w:b/>
          <w:bCs/>
        </w:rPr>
        <w:t>’</w:t>
      </w:r>
      <w:r w:rsidRPr="00CC04A9">
        <w:rPr>
          <w:b/>
          <w:bCs/>
        </w:rPr>
        <w:t>essais répétés ne doit pas dépasser :</w:t>
      </w:r>
    </w:p>
    <w:p w14:paraId="7FF5A1F0" w14:textId="77777777" w:rsidR="00454181" w:rsidRPr="003E78E2" w:rsidRDefault="00454181" w:rsidP="003E78E2">
      <w:pPr>
        <w:pStyle w:val="SingleTxtG"/>
        <w:ind w:left="2835" w:hanging="567"/>
        <w:rPr>
          <w:rFonts w:eastAsia="Times New Roman"/>
          <w:b/>
          <w:bCs/>
        </w:rPr>
      </w:pPr>
      <w:r w:rsidRPr="003E78E2">
        <w:rPr>
          <w:b/>
          <w:bCs/>
        </w:rPr>
        <w:t>a)</w:t>
      </w:r>
      <w:r w:rsidRPr="003E78E2">
        <w:rPr>
          <w:b/>
          <w:bCs/>
        </w:rPr>
        <w:tab/>
        <w:t xml:space="preserve">10,0 % du nombre d’essais effectués pour les scénarios voiture contre voiture ; </w:t>
      </w:r>
    </w:p>
    <w:p w14:paraId="0D5281CE" w14:textId="77777777" w:rsidR="00454181" w:rsidRPr="00CC04A9" w:rsidRDefault="00454181" w:rsidP="003E78E2">
      <w:pPr>
        <w:pStyle w:val="SingleTxtG"/>
        <w:ind w:left="2835" w:hanging="567"/>
        <w:rPr>
          <w:rFonts w:eastAsia="Times New Roman"/>
          <w:b/>
          <w:bCs/>
        </w:rPr>
      </w:pPr>
      <w:r w:rsidRPr="00CC04A9">
        <w:rPr>
          <w:b/>
          <w:bCs/>
        </w:rPr>
        <w:t>b)</w:t>
      </w:r>
      <w:r w:rsidRPr="00CC04A9">
        <w:tab/>
      </w:r>
      <w:r w:rsidRPr="00CC04A9">
        <w:rPr>
          <w:b/>
          <w:bCs/>
        </w:rPr>
        <w:t>10</w:t>
      </w:r>
      <w:r>
        <w:rPr>
          <w:b/>
          <w:bCs/>
        </w:rPr>
        <w:t>,0</w:t>
      </w:r>
      <w:r w:rsidRPr="00CC04A9">
        <w:rPr>
          <w:b/>
          <w:bCs/>
        </w:rPr>
        <w:t> % du nombre d</w:t>
      </w:r>
      <w:r>
        <w:rPr>
          <w:b/>
          <w:bCs/>
        </w:rPr>
        <w:t>’</w:t>
      </w:r>
      <w:r w:rsidRPr="00CC04A9">
        <w:rPr>
          <w:b/>
          <w:bCs/>
        </w:rPr>
        <w:t>essais effectués pour les scénarios voiture contre piéton ;</w:t>
      </w:r>
      <w:r w:rsidRPr="00CC04A9">
        <w:t xml:space="preserve"> </w:t>
      </w:r>
    </w:p>
    <w:p w14:paraId="314A7B00" w14:textId="77777777" w:rsidR="00454181" w:rsidRPr="00CC04A9" w:rsidRDefault="00454181" w:rsidP="003E78E2">
      <w:pPr>
        <w:pStyle w:val="SingleTxtG"/>
        <w:ind w:left="2835" w:hanging="567"/>
        <w:rPr>
          <w:rFonts w:eastAsia="Times New Roman"/>
          <w:b/>
          <w:bCs/>
        </w:rPr>
      </w:pPr>
      <w:r w:rsidRPr="00CC04A9">
        <w:rPr>
          <w:b/>
          <w:bCs/>
        </w:rPr>
        <w:t>c)</w:t>
      </w:r>
      <w:r w:rsidRPr="00CC04A9">
        <w:tab/>
      </w:r>
      <w:r w:rsidRPr="00CC04A9">
        <w:rPr>
          <w:b/>
          <w:bCs/>
        </w:rPr>
        <w:t>20</w:t>
      </w:r>
      <w:r>
        <w:rPr>
          <w:b/>
          <w:bCs/>
        </w:rPr>
        <w:t>,0</w:t>
      </w:r>
      <w:r w:rsidRPr="00CC04A9">
        <w:rPr>
          <w:b/>
          <w:bCs/>
        </w:rPr>
        <w:t> % du nombre d</w:t>
      </w:r>
      <w:r>
        <w:rPr>
          <w:b/>
          <w:bCs/>
        </w:rPr>
        <w:t>’</w:t>
      </w:r>
      <w:r w:rsidRPr="00CC04A9">
        <w:rPr>
          <w:b/>
          <w:bCs/>
        </w:rPr>
        <w:t>essais effectués pour les scénarios voiture contre bicyclette.</w:t>
      </w:r>
    </w:p>
    <w:p w14:paraId="115D8D90" w14:textId="5C4517AD" w:rsidR="00454181" w:rsidRPr="00CC04A9" w:rsidRDefault="00454181" w:rsidP="003E78E2">
      <w:pPr>
        <w:pStyle w:val="SingleTxtG"/>
        <w:tabs>
          <w:tab w:val="left" w:pos="2268"/>
        </w:tabs>
        <w:ind w:left="2268" w:hanging="1134"/>
        <w:rPr>
          <w:rFonts w:eastAsia="Times New Roman"/>
          <w:b/>
          <w:bCs/>
        </w:rPr>
      </w:pPr>
      <w:r w:rsidRPr="00CC04A9">
        <w:rPr>
          <w:b/>
          <w:bCs/>
        </w:rPr>
        <w:t>1.2.5</w:t>
      </w:r>
      <w:r w:rsidRPr="00CC04A9">
        <w:tab/>
      </w:r>
      <w:r w:rsidRPr="00CC04A9">
        <w:rPr>
          <w:b/>
          <w:bCs/>
        </w:rPr>
        <w:t>Les essais physiques servant de référence pour l</w:t>
      </w:r>
      <w:r>
        <w:rPr>
          <w:b/>
          <w:bCs/>
        </w:rPr>
        <w:t>a validation du</w:t>
      </w:r>
      <w:r w:rsidRPr="00CC04A9">
        <w:rPr>
          <w:b/>
          <w:bCs/>
        </w:rPr>
        <w:t xml:space="preserve"> modèle numérique doivent être </w:t>
      </w:r>
      <w:r>
        <w:rPr>
          <w:b/>
          <w:bCs/>
        </w:rPr>
        <w:t>répétables</w:t>
      </w:r>
      <w:r w:rsidRPr="00CC04A9">
        <w:rPr>
          <w:b/>
          <w:bCs/>
        </w:rPr>
        <w:t>.</w:t>
      </w:r>
      <w:r w:rsidRPr="00CC04A9">
        <w:t xml:space="preserve"> </w:t>
      </w:r>
      <w:r>
        <w:rPr>
          <w:b/>
          <w:bCs/>
        </w:rPr>
        <w:t>L</w:t>
      </w:r>
      <w:r w:rsidRPr="00CC04A9">
        <w:rPr>
          <w:b/>
          <w:bCs/>
        </w:rPr>
        <w:t>a répétabilité</w:t>
      </w:r>
      <w:r>
        <w:rPr>
          <w:b/>
          <w:bCs/>
        </w:rPr>
        <w:t xml:space="preserve"> est évaluée en ce qui concerne</w:t>
      </w:r>
      <w:r w:rsidRPr="00CC04A9">
        <w:rPr>
          <w:b/>
          <w:bCs/>
        </w:rPr>
        <w:t xml:space="preserve"> les valeurs de la vitesse </w:t>
      </w:r>
      <w:r>
        <w:rPr>
          <w:b/>
          <w:bCs/>
        </w:rPr>
        <w:t>au moment du choc</w:t>
      </w:r>
      <w:r w:rsidRPr="00CC04A9">
        <w:rPr>
          <w:b/>
          <w:bCs/>
        </w:rPr>
        <w:t xml:space="preserve"> ou de la distance restante</w:t>
      </w:r>
      <w:r w:rsidR="003E78E2">
        <w:rPr>
          <w:b/>
          <w:bCs/>
        </w:rPr>
        <w:t xml:space="preserve"> </w:t>
      </w:r>
      <w:r w:rsidRPr="00CC04A9">
        <w:rPr>
          <w:b/>
          <w:bCs/>
        </w:rPr>
        <w:t>obtenues lors des 10 répétitions de l</w:t>
      </w:r>
      <w:r>
        <w:rPr>
          <w:b/>
          <w:bCs/>
        </w:rPr>
        <w:t>’</w:t>
      </w:r>
      <w:r w:rsidRPr="00CC04A9">
        <w:rPr>
          <w:b/>
          <w:bCs/>
        </w:rPr>
        <w:t>essai</w:t>
      </w:r>
      <w:r>
        <w:rPr>
          <w:b/>
          <w:bCs/>
        </w:rPr>
        <w:t>, qui</w:t>
      </w:r>
      <w:r w:rsidRPr="00CC04A9">
        <w:rPr>
          <w:b/>
          <w:bCs/>
        </w:rPr>
        <w:t xml:space="preserve"> doivent être comprises dans un intervalle défini par le service technique </w:t>
      </w:r>
      <w:r>
        <w:rPr>
          <w:b/>
          <w:bCs/>
        </w:rPr>
        <w:t xml:space="preserve">par rapport à </w:t>
      </w:r>
      <w:r w:rsidRPr="00CC04A9">
        <w:rPr>
          <w:b/>
          <w:bCs/>
        </w:rPr>
        <w:t>la valeur médiane obtenue lors des essais physiques.</w:t>
      </w:r>
    </w:p>
    <w:p w14:paraId="4D0C89A1" w14:textId="77777777" w:rsidR="00454181" w:rsidRPr="00CC04A9" w:rsidRDefault="00454181" w:rsidP="003E78E2">
      <w:pPr>
        <w:pStyle w:val="SingleTxtG"/>
        <w:tabs>
          <w:tab w:val="left" w:pos="2268"/>
        </w:tabs>
        <w:ind w:left="2268" w:hanging="1134"/>
        <w:rPr>
          <w:rFonts w:eastAsia="Times New Roman"/>
          <w:b/>
          <w:bCs/>
        </w:rPr>
      </w:pPr>
      <w:bookmarkStart w:id="2" w:name="A9_S2"/>
      <w:r w:rsidRPr="00CC04A9">
        <w:rPr>
          <w:b/>
          <w:bCs/>
        </w:rPr>
        <w:t>1.3</w:t>
      </w:r>
      <w:r w:rsidRPr="00CC04A9">
        <w:tab/>
      </w:r>
      <w:r w:rsidRPr="00CC04A9">
        <w:rPr>
          <w:b/>
          <w:bCs/>
        </w:rPr>
        <w:t>Modèle de simulation</w:t>
      </w:r>
      <w:bookmarkEnd w:id="2"/>
    </w:p>
    <w:p w14:paraId="7508C7CB" w14:textId="77777777" w:rsidR="00454181" w:rsidRPr="00CC04A9" w:rsidRDefault="00454181" w:rsidP="003E78E2">
      <w:pPr>
        <w:pStyle w:val="SingleTxtG"/>
        <w:tabs>
          <w:tab w:val="left" w:pos="2268"/>
        </w:tabs>
        <w:ind w:left="2268" w:hanging="1134"/>
        <w:rPr>
          <w:rFonts w:eastAsia="Times New Roman"/>
          <w:b/>
          <w:bCs/>
        </w:rPr>
      </w:pPr>
      <w:r w:rsidRPr="00CC04A9">
        <w:rPr>
          <w:b/>
          <w:bCs/>
        </w:rPr>
        <w:t>1.3.1</w:t>
      </w:r>
      <w:r w:rsidRPr="00CC04A9">
        <w:tab/>
      </w:r>
      <w:r w:rsidRPr="00CC04A9">
        <w:rPr>
          <w:b/>
          <w:bCs/>
        </w:rPr>
        <w:t>Les simulations (y compris la mise au point du modèle) doivent être effectuées par le constructeur.</w:t>
      </w:r>
      <w:r w:rsidRPr="00CC04A9">
        <w:t xml:space="preserve"> </w:t>
      </w:r>
      <w:r w:rsidRPr="00CC04A9">
        <w:rPr>
          <w:b/>
          <w:bCs/>
        </w:rPr>
        <w:t>Elles doivent refléter la complexité de l</w:t>
      </w:r>
      <w:r>
        <w:rPr>
          <w:b/>
          <w:bCs/>
        </w:rPr>
        <w:t>’</w:t>
      </w:r>
      <w:r w:rsidRPr="00CC04A9">
        <w:rPr>
          <w:b/>
          <w:bCs/>
        </w:rPr>
        <w:t xml:space="preserve">architecture du véhicule, du système ou des pièces </w:t>
      </w:r>
      <w:r>
        <w:rPr>
          <w:b/>
          <w:bCs/>
        </w:rPr>
        <w:t>qui doivent faire l’objet d’</w:t>
      </w:r>
      <w:r w:rsidRPr="00CC04A9">
        <w:rPr>
          <w:b/>
          <w:bCs/>
        </w:rPr>
        <w:t>essais par rapport aux prescriptions de la réglementation en vigueur et à leurs conditions limites.</w:t>
      </w:r>
    </w:p>
    <w:p w14:paraId="6CE59C92" w14:textId="77777777" w:rsidR="00454181" w:rsidRDefault="00454181" w:rsidP="003E78E2">
      <w:pPr>
        <w:pStyle w:val="SingleTxtG"/>
        <w:tabs>
          <w:tab w:val="left" w:pos="2268"/>
        </w:tabs>
        <w:ind w:left="2268" w:hanging="1134"/>
      </w:pPr>
      <w:r w:rsidRPr="00CC04A9">
        <w:rPr>
          <w:b/>
          <w:bCs/>
        </w:rPr>
        <w:t>1.3.2</w:t>
      </w:r>
      <w:r w:rsidRPr="00CC04A9">
        <w:tab/>
      </w:r>
      <w:r w:rsidRPr="00CC04A9">
        <w:rPr>
          <w:b/>
          <w:bCs/>
        </w:rPr>
        <w:t xml:space="preserve">Le modèle doit </w:t>
      </w:r>
      <w:r>
        <w:rPr>
          <w:b/>
          <w:bCs/>
        </w:rPr>
        <w:t>permettre</w:t>
      </w:r>
      <w:r w:rsidRPr="00CC04A9">
        <w:rPr>
          <w:b/>
          <w:bCs/>
        </w:rPr>
        <w:t xml:space="preserve"> de décrire le comportement physique réel dans le domaine de validité.</w:t>
      </w:r>
      <w:r w:rsidRPr="00CC04A9">
        <w:t xml:space="preserve"> </w:t>
      </w:r>
    </w:p>
    <w:p w14:paraId="3FB4878C" w14:textId="5716E842" w:rsidR="00454181" w:rsidRPr="00CC04A9" w:rsidRDefault="00454181" w:rsidP="003E78E2">
      <w:pPr>
        <w:pStyle w:val="SingleTxtG"/>
        <w:tabs>
          <w:tab w:val="left" w:pos="2268"/>
        </w:tabs>
        <w:ind w:left="2268" w:hanging="1134"/>
        <w:rPr>
          <w:rFonts w:eastAsia="Times New Roman"/>
          <w:b/>
          <w:bCs/>
        </w:rPr>
      </w:pPr>
      <w:r w:rsidRPr="00CC04A9">
        <w:rPr>
          <w:b/>
          <w:bCs/>
        </w:rPr>
        <w:t>1.3.3</w:t>
      </w:r>
      <w:r>
        <w:tab/>
      </w:r>
      <w:r w:rsidRPr="00CC04A9">
        <w:rPr>
          <w:b/>
          <w:bCs/>
        </w:rPr>
        <w:t>Le modèle de simulation et les hypothèses doivent</w:t>
      </w:r>
      <w:r w:rsidR="003E78E2">
        <w:rPr>
          <w:b/>
          <w:bCs/>
        </w:rPr>
        <w:t xml:space="preserve"> </w:t>
      </w:r>
      <w:r w:rsidRPr="00CC04A9">
        <w:rPr>
          <w:b/>
          <w:bCs/>
        </w:rPr>
        <w:t xml:space="preserve">être établis de telle manière que le calcul donne une solution prudente, </w:t>
      </w:r>
      <w:r>
        <w:rPr>
          <w:b/>
          <w:bCs/>
        </w:rPr>
        <w:t>pour</w:t>
      </w:r>
      <w:r w:rsidRPr="00CC04A9">
        <w:rPr>
          <w:b/>
          <w:bCs/>
        </w:rPr>
        <w:t xml:space="preserve"> laquelle le résultat est indépendant </w:t>
      </w:r>
      <w:r>
        <w:rPr>
          <w:b/>
          <w:bCs/>
        </w:rPr>
        <w:t>de l’instant choisi</w:t>
      </w:r>
      <w:r w:rsidRPr="00CC04A9">
        <w:rPr>
          <w:b/>
          <w:bCs/>
        </w:rPr>
        <w:t>.</w:t>
      </w:r>
    </w:p>
    <w:p w14:paraId="0BC0DF1A" w14:textId="77777777" w:rsidR="00454181" w:rsidRPr="00CC04A9" w:rsidRDefault="00454181" w:rsidP="00AD6C4E">
      <w:pPr>
        <w:pStyle w:val="SingleTxtG"/>
        <w:keepNext/>
        <w:tabs>
          <w:tab w:val="left" w:pos="2268"/>
        </w:tabs>
        <w:ind w:left="2268" w:hanging="1134"/>
        <w:rPr>
          <w:rFonts w:eastAsia="Times New Roman"/>
          <w:b/>
          <w:bCs/>
        </w:rPr>
      </w:pPr>
      <w:r w:rsidRPr="00CC04A9">
        <w:rPr>
          <w:b/>
          <w:bCs/>
        </w:rPr>
        <w:lastRenderedPageBreak/>
        <w:t>1.3.4</w:t>
      </w:r>
      <w:r w:rsidRPr="00CC04A9">
        <w:tab/>
      </w:r>
      <w:r w:rsidRPr="00CC04A9">
        <w:rPr>
          <w:b/>
          <w:bCs/>
        </w:rPr>
        <w:t>Outre les paramètres énumérés au paragraphe 1.4 de la présente annexe, les éléments ci-après</w:t>
      </w:r>
      <w:r>
        <w:rPr>
          <w:b/>
          <w:bCs/>
        </w:rPr>
        <w:t>, au moins,</w:t>
      </w:r>
      <w:r w:rsidRPr="00CC04A9">
        <w:rPr>
          <w:b/>
          <w:bCs/>
        </w:rPr>
        <w:t xml:space="preserve"> doivent être définis dans le modèle de simulation :</w:t>
      </w:r>
    </w:p>
    <w:p w14:paraId="013BA8BD" w14:textId="77777777" w:rsidR="00454181" w:rsidRPr="00CC04A9" w:rsidRDefault="00454181" w:rsidP="00AD6C4E">
      <w:pPr>
        <w:pStyle w:val="SingleTxtG"/>
        <w:ind w:left="2835" w:hanging="567"/>
        <w:rPr>
          <w:rFonts w:eastAsia="Times New Roman"/>
          <w:b/>
          <w:bCs/>
        </w:rPr>
      </w:pPr>
      <w:r w:rsidRPr="00CC04A9">
        <w:rPr>
          <w:b/>
          <w:bCs/>
        </w:rPr>
        <w:t>a)</w:t>
      </w:r>
      <w:r w:rsidRPr="00CC04A9">
        <w:tab/>
      </w:r>
      <w:r w:rsidRPr="00CC04A9">
        <w:rPr>
          <w:b/>
          <w:bCs/>
        </w:rPr>
        <w:t>Modèle dynamique de véhicule (y compris la transmission, la chaîne de traction, etc.) ;</w:t>
      </w:r>
    </w:p>
    <w:p w14:paraId="68C5084A" w14:textId="77777777" w:rsidR="00454181" w:rsidRPr="00CC04A9" w:rsidRDefault="00454181" w:rsidP="00AD6C4E">
      <w:pPr>
        <w:pStyle w:val="SingleTxtG"/>
        <w:ind w:left="2835" w:hanging="567"/>
        <w:rPr>
          <w:rFonts w:eastAsia="Times New Roman"/>
          <w:b/>
          <w:bCs/>
        </w:rPr>
      </w:pPr>
      <w:r w:rsidRPr="00CC04A9">
        <w:rPr>
          <w:b/>
          <w:bCs/>
        </w:rPr>
        <w:t>b)</w:t>
      </w:r>
      <w:r w:rsidRPr="00CC04A9">
        <w:tab/>
      </w:r>
      <w:r w:rsidRPr="00CC04A9">
        <w:rPr>
          <w:b/>
          <w:bCs/>
        </w:rPr>
        <w:t>Modèle de capteur ;</w:t>
      </w:r>
    </w:p>
    <w:p w14:paraId="69DBF079" w14:textId="77777777" w:rsidR="00454181" w:rsidRPr="00CC04A9" w:rsidRDefault="00454181" w:rsidP="00AD6C4E">
      <w:pPr>
        <w:pStyle w:val="SingleTxtG"/>
        <w:ind w:left="2835" w:hanging="567"/>
        <w:rPr>
          <w:rFonts w:eastAsia="Times New Roman"/>
          <w:b/>
          <w:bCs/>
        </w:rPr>
      </w:pPr>
      <w:r w:rsidRPr="00CC04A9">
        <w:rPr>
          <w:b/>
          <w:bCs/>
        </w:rPr>
        <w:t>c)</w:t>
      </w:r>
      <w:r w:rsidRPr="00CC04A9">
        <w:tab/>
      </w:r>
      <w:r w:rsidRPr="00CC04A9">
        <w:rPr>
          <w:b/>
          <w:bCs/>
        </w:rPr>
        <w:t>Modèle de commande des systèmes actifs d</w:t>
      </w:r>
      <w:r>
        <w:rPr>
          <w:b/>
          <w:bCs/>
        </w:rPr>
        <w:t>’</w:t>
      </w:r>
      <w:r w:rsidRPr="00CC04A9">
        <w:rPr>
          <w:b/>
          <w:bCs/>
        </w:rPr>
        <w:t>aide à la conduite ;</w:t>
      </w:r>
    </w:p>
    <w:p w14:paraId="35A54559" w14:textId="77777777" w:rsidR="00454181" w:rsidRPr="00CC04A9" w:rsidRDefault="00454181" w:rsidP="00AD6C4E">
      <w:pPr>
        <w:pStyle w:val="SingleTxtG"/>
        <w:ind w:left="2835" w:hanging="567"/>
        <w:rPr>
          <w:rFonts w:eastAsia="Times New Roman"/>
          <w:b/>
          <w:bCs/>
        </w:rPr>
      </w:pPr>
      <w:r w:rsidRPr="00CC04A9">
        <w:rPr>
          <w:b/>
          <w:bCs/>
        </w:rPr>
        <w:t>d)</w:t>
      </w:r>
      <w:r w:rsidRPr="00CC04A9">
        <w:tab/>
      </w:r>
      <w:r w:rsidRPr="00CC04A9">
        <w:rPr>
          <w:b/>
          <w:bCs/>
        </w:rPr>
        <w:t>Modèle d</w:t>
      </w:r>
      <w:r>
        <w:rPr>
          <w:b/>
          <w:bCs/>
        </w:rPr>
        <w:t>’</w:t>
      </w:r>
      <w:r w:rsidRPr="00CC04A9">
        <w:rPr>
          <w:b/>
          <w:bCs/>
        </w:rPr>
        <w:t>environnement ;</w:t>
      </w:r>
    </w:p>
    <w:p w14:paraId="206236AF" w14:textId="77777777" w:rsidR="00454181" w:rsidRPr="00CC04A9" w:rsidRDefault="00454181" w:rsidP="00AD6C4E">
      <w:pPr>
        <w:pStyle w:val="SingleTxtG"/>
        <w:ind w:left="2835" w:hanging="567"/>
        <w:rPr>
          <w:rFonts w:eastAsia="Times New Roman"/>
          <w:b/>
          <w:bCs/>
        </w:rPr>
      </w:pPr>
      <w:r w:rsidRPr="00CC04A9">
        <w:rPr>
          <w:b/>
          <w:bCs/>
        </w:rPr>
        <w:t>e)</w:t>
      </w:r>
      <w:r w:rsidRPr="00CC04A9">
        <w:tab/>
      </w:r>
      <w:r w:rsidRPr="00CC04A9">
        <w:rPr>
          <w:b/>
          <w:bCs/>
        </w:rPr>
        <w:t>Modèle de scénario ;</w:t>
      </w:r>
    </w:p>
    <w:p w14:paraId="72D898C2" w14:textId="77777777" w:rsidR="00454181" w:rsidRPr="00CC04A9" w:rsidRDefault="00454181" w:rsidP="00AD6C4E">
      <w:pPr>
        <w:pStyle w:val="SingleTxtG"/>
        <w:ind w:left="2835" w:hanging="567"/>
        <w:rPr>
          <w:rFonts w:eastAsia="Times New Roman"/>
          <w:b/>
          <w:bCs/>
        </w:rPr>
      </w:pPr>
      <w:r w:rsidRPr="00CC04A9">
        <w:rPr>
          <w:b/>
          <w:bCs/>
        </w:rPr>
        <w:t>f)</w:t>
      </w:r>
      <w:r w:rsidRPr="00CC04A9">
        <w:tab/>
      </w:r>
      <w:r w:rsidRPr="00CC04A9">
        <w:rPr>
          <w:b/>
          <w:bCs/>
        </w:rPr>
        <w:t xml:space="preserve">Modèle de cible pour les piétons, les </w:t>
      </w:r>
      <w:r>
        <w:rPr>
          <w:b/>
          <w:bCs/>
        </w:rPr>
        <w:t>bicyclettes</w:t>
      </w:r>
      <w:r w:rsidRPr="00CC04A9">
        <w:rPr>
          <w:b/>
          <w:bCs/>
        </w:rPr>
        <w:t xml:space="preserve"> et les voitures.</w:t>
      </w:r>
    </w:p>
    <w:p w14:paraId="7A694BBA" w14:textId="77777777" w:rsidR="00454181" w:rsidRPr="00CC04A9" w:rsidRDefault="00454181" w:rsidP="00AD6C4E">
      <w:pPr>
        <w:pStyle w:val="SingleTxtG"/>
        <w:ind w:left="2835" w:hanging="567"/>
        <w:rPr>
          <w:rFonts w:eastAsia="Times New Roman"/>
          <w:b/>
          <w:bCs/>
        </w:rPr>
      </w:pPr>
      <w:r w:rsidRPr="00CC04A9">
        <w:rPr>
          <w:b/>
          <w:bCs/>
        </w:rPr>
        <w:t>Le service technique vérifie le bon comportement physique du modèle.</w:t>
      </w:r>
    </w:p>
    <w:p w14:paraId="348B0526" w14:textId="77777777" w:rsidR="00454181" w:rsidRPr="00CC04A9" w:rsidRDefault="00454181" w:rsidP="00AD6C4E">
      <w:pPr>
        <w:pStyle w:val="SingleTxtG"/>
        <w:tabs>
          <w:tab w:val="left" w:pos="2268"/>
        </w:tabs>
        <w:ind w:left="2268" w:hanging="1134"/>
        <w:rPr>
          <w:rFonts w:eastAsia="Times New Roman"/>
          <w:b/>
          <w:bCs/>
        </w:rPr>
      </w:pPr>
      <w:r w:rsidRPr="00CC04A9">
        <w:rPr>
          <w:b/>
          <w:bCs/>
        </w:rPr>
        <w:t>1.4</w:t>
      </w:r>
      <w:r w:rsidRPr="00CC04A9">
        <w:tab/>
      </w:r>
      <w:r w:rsidRPr="00CC04A9">
        <w:rPr>
          <w:b/>
          <w:bCs/>
        </w:rPr>
        <w:t>Processus de validation du modèle de simulation</w:t>
      </w:r>
    </w:p>
    <w:p w14:paraId="54514FE8" w14:textId="646E24E1" w:rsidR="00454181" w:rsidRPr="00CC04A9" w:rsidRDefault="00454181" w:rsidP="00AD6C4E">
      <w:pPr>
        <w:pStyle w:val="SingleTxtG"/>
        <w:tabs>
          <w:tab w:val="left" w:pos="2268"/>
        </w:tabs>
        <w:ind w:left="2268" w:hanging="1134"/>
        <w:rPr>
          <w:rFonts w:eastAsia="Times New Roman"/>
          <w:b/>
          <w:bCs/>
        </w:rPr>
      </w:pPr>
      <w:r w:rsidRPr="00CC04A9">
        <w:rPr>
          <w:b/>
          <w:bCs/>
        </w:rPr>
        <w:t>1.4.1</w:t>
      </w:r>
      <w:r w:rsidRPr="00CC04A9">
        <w:tab/>
      </w:r>
      <w:r w:rsidRPr="00CC04A9">
        <w:rPr>
          <w:b/>
          <w:bCs/>
        </w:rPr>
        <w:t xml:space="preserve">Le modèle de simulation doit être validé </w:t>
      </w:r>
      <w:r>
        <w:rPr>
          <w:b/>
          <w:bCs/>
        </w:rPr>
        <w:t>sur la base des</w:t>
      </w:r>
      <w:r w:rsidRPr="00CC04A9">
        <w:rPr>
          <w:b/>
          <w:bCs/>
        </w:rPr>
        <w:t xml:space="preserve"> essais physiques de validation effectués conformément au paragraphe</w:t>
      </w:r>
      <w:r w:rsidR="00AD6C4E">
        <w:rPr>
          <w:b/>
          <w:bCs/>
        </w:rPr>
        <w:t> </w:t>
      </w:r>
      <w:r w:rsidRPr="00CC04A9">
        <w:rPr>
          <w:b/>
          <w:bCs/>
        </w:rPr>
        <w:t xml:space="preserve">1.2 et la comparabilité des résultats des essais doit être </w:t>
      </w:r>
      <w:r>
        <w:rPr>
          <w:b/>
          <w:bCs/>
        </w:rPr>
        <w:t>démontrée</w:t>
      </w:r>
      <w:r w:rsidRPr="00CC04A9">
        <w:rPr>
          <w:b/>
          <w:bCs/>
        </w:rPr>
        <w:t>.</w:t>
      </w:r>
    </w:p>
    <w:p w14:paraId="4E734D99" w14:textId="708A17EB" w:rsidR="00454181" w:rsidRPr="00CC04A9" w:rsidRDefault="00454181" w:rsidP="00AD6C4E">
      <w:pPr>
        <w:pStyle w:val="SingleTxtG"/>
        <w:tabs>
          <w:tab w:val="left" w:pos="2268"/>
        </w:tabs>
        <w:ind w:left="2268" w:hanging="1134"/>
        <w:rPr>
          <w:rFonts w:eastAsia="Times New Roman"/>
          <w:b/>
          <w:bCs/>
        </w:rPr>
      </w:pPr>
      <w:r w:rsidRPr="00CC04A9">
        <w:rPr>
          <w:b/>
          <w:bCs/>
        </w:rPr>
        <w:t>1.4.2</w:t>
      </w:r>
      <w:r w:rsidRPr="00CC04A9">
        <w:tab/>
      </w:r>
      <w:r w:rsidRPr="00CC04A9">
        <w:rPr>
          <w:b/>
          <w:bCs/>
        </w:rPr>
        <w:t>L</w:t>
      </w:r>
      <w:r>
        <w:rPr>
          <w:b/>
          <w:bCs/>
        </w:rPr>
        <w:t>e modèle doit être vérifié sur la base des</w:t>
      </w:r>
      <w:r w:rsidRPr="00CC04A9">
        <w:rPr>
          <w:b/>
          <w:bCs/>
        </w:rPr>
        <w:t xml:space="preserve"> essais de répétabilité et </w:t>
      </w:r>
      <w:r>
        <w:rPr>
          <w:b/>
          <w:bCs/>
        </w:rPr>
        <w:t>de</w:t>
      </w:r>
      <w:r w:rsidRPr="00CC04A9">
        <w:rPr>
          <w:b/>
          <w:bCs/>
        </w:rPr>
        <w:t xml:space="preserve"> la valeur médiane </w:t>
      </w:r>
      <w:r>
        <w:rPr>
          <w:b/>
          <w:bCs/>
        </w:rPr>
        <w:t>visés</w:t>
      </w:r>
      <w:r w:rsidRPr="00CC04A9">
        <w:rPr>
          <w:b/>
          <w:bCs/>
        </w:rPr>
        <w:t xml:space="preserve"> </w:t>
      </w:r>
      <w:r>
        <w:rPr>
          <w:b/>
          <w:bCs/>
        </w:rPr>
        <w:t>au</w:t>
      </w:r>
      <w:r w:rsidRPr="00CC04A9">
        <w:rPr>
          <w:b/>
          <w:bCs/>
        </w:rPr>
        <w:t xml:space="preserve"> paragraphe</w:t>
      </w:r>
      <w:r w:rsidR="00AD6C4E">
        <w:rPr>
          <w:b/>
          <w:bCs/>
        </w:rPr>
        <w:t> </w:t>
      </w:r>
      <w:r w:rsidRPr="00CC04A9">
        <w:rPr>
          <w:b/>
          <w:bCs/>
        </w:rPr>
        <w:t>1.2.5.</w:t>
      </w:r>
      <w:r w:rsidRPr="00CC04A9">
        <w:t xml:space="preserve"> </w:t>
      </w:r>
    </w:p>
    <w:p w14:paraId="3874CA03" w14:textId="016EC82B" w:rsidR="00454181" w:rsidRPr="00CC04A9" w:rsidRDefault="00454181" w:rsidP="00AD6C4E">
      <w:pPr>
        <w:pStyle w:val="SingleTxtG"/>
        <w:keepNext/>
        <w:tabs>
          <w:tab w:val="left" w:pos="2268"/>
        </w:tabs>
        <w:ind w:left="2268" w:hanging="1134"/>
        <w:rPr>
          <w:rFonts w:eastAsia="Times New Roman"/>
          <w:b/>
          <w:bCs/>
        </w:rPr>
      </w:pPr>
      <w:r w:rsidRPr="00CC04A9">
        <w:rPr>
          <w:b/>
          <w:bCs/>
        </w:rPr>
        <w:t>1.4.3</w:t>
      </w:r>
      <w:r w:rsidRPr="00CC04A9">
        <w:tab/>
      </w:r>
      <w:r w:rsidRPr="00CC04A9">
        <w:rPr>
          <w:b/>
          <w:bCs/>
        </w:rPr>
        <w:t xml:space="preserve">Le modèle de simulation est considéré comme valide dans le domaine de validité </w:t>
      </w:r>
      <w:r>
        <w:rPr>
          <w:b/>
          <w:bCs/>
        </w:rPr>
        <w:t>requis</w:t>
      </w:r>
      <w:r w:rsidRPr="00CC04A9">
        <w:rPr>
          <w:b/>
          <w:bCs/>
        </w:rPr>
        <w:t xml:space="preserve"> si,</w:t>
      </w:r>
      <w:r w:rsidR="00AA4920">
        <w:rPr>
          <w:b/>
          <w:bCs/>
        </w:rPr>
        <w:t xml:space="preserve"> </w:t>
      </w:r>
      <w:r w:rsidRPr="00CC04A9">
        <w:rPr>
          <w:b/>
          <w:bCs/>
        </w:rPr>
        <w:t>sur la base d</w:t>
      </w:r>
      <w:r>
        <w:rPr>
          <w:b/>
          <w:bCs/>
        </w:rPr>
        <w:t>’</w:t>
      </w:r>
      <w:r w:rsidRPr="00CC04A9">
        <w:rPr>
          <w:b/>
          <w:bCs/>
        </w:rPr>
        <w:t>un niveau de signification de 5 %, il n</w:t>
      </w:r>
      <w:r>
        <w:rPr>
          <w:b/>
          <w:bCs/>
        </w:rPr>
        <w:t>’</w:t>
      </w:r>
      <w:r w:rsidRPr="00CC04A9">
        <w:rPr>
          <w:b/>
          <w:bCs/>
        </w:rPr>
        <w:t xml:space="preserve">y a aucune raison de croire que </w:t>
      </w:r>
      <w:r>
        <w:rPr>
          <w:b/>
          <w:bCs/>
        </w:rPr>
        <w:t>s</w:t>
      </w:r>
      <w:r w:rsidRPr="00CC04A9">
        <w:rPr>
          <w:b/>
          <w:bCs/>
        </w:rPr>
        <w:t>es résultats et les résultats des essais proviennent de deux distributions différentes</w:t>
      </w:r>
      <w:r>
        <w:rPr>
          <w:b/>
          <w:bCs/>
        </w:rPr>
        <w:t>,</w:t>
      </w:r>
      <w:r w:rsidRPr="00CC04A9">
        <w:rPr>
          <w:b/>
          <w:bCs/>
        </w:rPr>
        <w:t xml:space="preserve"> au moins pour les indicateurs clefs de performance suivants :</w:t>
      </w:r>
    </w:p>
    <w:p w14:paraId="7376B05A" w14:textId="77777777" w:rsidR="00454181" w:rsidRPr="00CC04A9" w:rsidRDefault="00454181" w:rsidP="00AA4920">
      <w:pPr>
        <w:pStyle w:val="SingleTxtG"/>
        <w:ind w:left="2835" w:hanging="567"/>
        <w:rPr>
          <w:rFonts w:eastAsia="Times New Roman"/>
          <w:b/>
          <w:bCs/>
        </w:rPr>
      </w:pPr>
      <w:r w:rsidRPr="00CC04A9">
        <w:rPr>
          <w:b/>
          <w:bCs/>
        </w:rPr>
        <w:t>a)</w:t>
      </w:r>
      <w:r w:rsidRPr="00CC04A9">
        <w:tab/>
      </w:r>
      <w:r w:rsidRPr="00CC04A9">
        <w:rPr>
          <w:b/>
          <w:bCs/>
        </w:rPr>
        <w:t>Temps restant avant la collision à compter de l</w:t>
      </w:r>
      <w:r>
        <w:rPr>
          <w:b/>
          <w:bCs/>
        </w:rPr>
        <w:t>’</w:t>
      </w:r>
      <w:r w:rsidRPr="00CC04A9">
        <w:rPr>
          <w:b/>
          <w:bCs/>
        </w:rPr>
        <w:t xml:space="preserve">avertissement de risque de </w:t>
      </w:r>
      <w:r>
        <w:rPr>
          <w:b/>
          <w:bCs/>
        </w:rPr>
        <w:t>collision</w:t>
      </w:r>
      <w:r w:rsidRPr="00CC04A9">
        <w:rPr>
          <w:b/>
          <w:bCs/>
        </w:rPr>
        <w:t xml:space="preserve"> avant, en s ;</w:t>
      </w:r>
    </w:p>
    <w:p w14:paraId="2B584FAD" w14:textId="77777777" w:rsidR="00454181" w:rsidRPr="00CC04A9" w:rsidRDefault="00454181" w:rsidP="00AA4920">
      <w:pPr>
        <w:pStyle w:val="SingleTxtG"/>
        <w:ind w:left="2835" w:hanging="567"/>
        <w:rPr>
          <w:rFonts w:eastAsia="Times New Roman"/>
          <w:b/>
          <w:bCs/>
        </w:rPr>
      </w:pPr>
      <w:r w:rsidRPr="00CC04A9">
        <w:rPr>
          <w:b/>
          <w:bCs/>
        </w:rPr>
        <w:t>b)</w:t>
      </w:r>
      <w:r w:rsidRPr="00CC04A9">
        <w:tab/>
      </w:r>
      <w:r w:rsidRPr="00CC04A9">
        <w:rPr>
          <w:b/>
          <w:bCs/>
        </w:rPr>
        <w:t xml:space="preserve">Vitesse moyenne du véhicule entre </w:t>
      </w:r>
      <w:r>
        <w:rPr>
          <w:b/>
          <w:bCs/>
        </w:rPr>
        <w:t xml:space="preserve">le moment qui correspond à </w:t>
      </w:r>
      <w:r w:rsidRPr="00CC04A9">
        <w:rPr>
          <w:b/>
          <w:bCs/>
        </w:rPr>
        <w:t>un temps de 4 s</w:t>
      </w:r>
      <w:r w:rsidRPr="00BB683B">
        <w:t xml:space="preserve"> </w:t>
      </w:r>
      <w:r w:rsidRPr="00BB683B">
        <w:rPr>
          <w:b/>
          <w:bCs/>
        </w:rPr>
        <w:t>restant avant la collision</w:t>
      </w:r>
      <w:r w:rsidRPr="00CC04A9">
        <w:rPr>
          <w:b/>
          <w:bCs/>
        </w:rPr>
        <w:t xml:space="preserve"> et l</w:t>
      </w:r>
      <w:r>
        <w:rPr>
          <w:b/>
          <w:bCs/>
        </w:rPr>
        <w:t>’</w:t>
      </w:r>
      <w:r w:rsidRPr="00CC04A9">
        <w:rPr>
          <w:b/>
          <w:bCs/>
        </w:rPr>
        <w:t>activation du système actif de freinage d</w:t>
      </w:r>
      <w:r>
        <w:rPr>
          <w:b/>
          <w:bCs/>
        </w:rPr>
        <w:t>’</w:t>
      </w:r>
      <w:r w:rsidRPr="00CC04A9">
        <w:rPr>
          <w:b/>
          <w:bCs/>
        </w:rPr>
        <w:t>urgence (= vitesse initiale), en km/h</w:t>
      </w:r>
      <w:r>
        <w:rPr>
          <w:b/>
          <w:bCs/>
        </w:rPr>
        <w:t> </w:t>
      </w:r>
      <w:r w:rsidRPr="00CC04A9">
        <w:rPr>
          <w:b/>
          <w:bCs/>
        </w:rPr>
        <w:t>;</w:t>
      </w:r>
    </w:p>
    <w:p w14:paraId="75F577BC" w14:textId="77777777" w:rsidR="00454181" w:rsidRPr="00CC04A9" w:rsidRDefault="00454181" w:rsidP="00AA4920">
      <w:pPr>
        <w:pStyle w:val="SingleTxtG"/>
        <w:ind w:left="2835" w:hanging="567"/>
        <w:rPr>
          <w:rFonts w:eastAsia="Times New Roman"/>
          <w:b/>
          <w:bCs/>
        </w:rPr>
      </w:pPr>
      <w:r w:rsidRPr="00CC04A9">
        <w:rPr>
          <w:b/>
          <w:bCs/>
        </w:rPr>
        <w:t>c)</w:t>
      </w:r>
      <w:r w:rsidRPr="00CC04A9">
        <w:tab/>
      </w:r>
      <w:r w:rsidRPr="00CC04A9">
        <w:rPr>
          <w:b/>
          <w:bCs/>
        </w:rPr>
        <w:t>Moyenne de l</w:t>
      </w:r>
      <w:r>
        <w:rPr>
          <w:b/>
          <w:bCs/>
        </w:rPr>
        <w:t>’</w:t>
      </w:r>
      <w:r w:rsidRPr="00CC04A9">
        <w:rPr>
          <w:b/>
          <w:bCs/>
        </w:rPr>
        <w:t>écart latéral absolu, en m ;</w:t>
      </w:r>
      <w:r w:rsidRPr="00CC04A9">
        <w:t xml:space="preserve"> </w:t>
      </w:r>
    </w:p>
    <w:p w14:paraId="64FF69F8" w14:textId="77777777" w:rsidR="00454181" w:rsidRPr="00CC04A9" w:rsidRDefault="00454181" w:rsidP="00AA4920">
      <w:pPr>
        <w:pStyle w:val="SingleTxtG"/>
        <w:ind w:left="2835" w:hanging="567"/>
        <w:rPr>
          <w:rFonts w:eastAsia="Times New Roman"/>
          <w:b/>
          <w:bCs/>
        </w:rPr>
      </w:pPr>
      <w:r w:rsidRPr="00CC04A9">
        <w:rPr>
          <w:b/>
          <w:bCs/>
        </w:rPr>
        <w:t>d)</w:t>
      </w:r>
      <w:r w:rsidRPr="00CC04A9">
        <w:tab/>
      </w:r>
      <w:r w:rsidRPr="00CC04A9">
        <w:rPr>
          <w:b/>
          <w:bCs/>
        </w:rPr>
        <w:t>Distance de freinage, en m (uniquement pour les scénarios avec évitement) ;</w:t>
      </w:r>
    </w:p>
    <w:p w14:paraId="359146E8" w14:textId="77777777" w:rsidR="00454181" w:rsidRPr="00CC04A9" w:rsidRDefault="00454181" w:rsidP="00AA4920">
      <w:pPr>
        <w:pStyle w:val="SingleTxtG"/>
        <w:ind w:left="2835" w:hanging="567"/>
        <w:rPr>
          <w:rFonts w:eastAsia="Times New Roman"/>
          <w:b/>
          <w:bCs/>
        </w:rPr>
      </w:pPr>
      <w:r w:rsidRPr="00CC04A9">
        <w:rPr>
          <w:b/>
          <w:bCs/>
        </w:rPr>
        <w:t>e)</w:t>
      </w:r>
      <w:r w:rsidRPr="00CC04A9">
        <w:tab/>
      </w:r>
      <w:r w:rsidRPr="00CC04A9">
        <w:rPr>
          <w:b/>
          <w:bCs/>
        </w:rPr>
        <w:t>Décélération moyenne en régime, en m/s</w:t>
      </w:r>
      <w:r w:rsidRPr="00CC04A9">
        <w:rPr>
          <w:b/>
          <w:bCs/>
          <w:vertAlign w:val="superscript"/>
        </w:rPr>
        <w:t>2</w:t>
      </w:r>
      <w:r w:rsidRPr="00CC04A9">
        <w:rPr>
          <w:b/>
          <w:bCs/>
        </w:rPr>
        <w:t> ;</w:t>
      </w:r>
    </w:p>
    <w:p w14:paraId="2159F6C5" w14:textId="38BD9D33" w:rsidR="00454181" w:rsidRPr="00CC04A9" w:rsidRDefault="00454181" w:rsidP="00AA4920">
      <w:pPr>
        <w:pStyle w:val="SingleTxtG"/>
        <w:ind w:left="2835" w:hanging="567"/>
        <w:rPr>
          <w:rFonts w:eastAsia="Times New Roman"/>
          <w:b/>
          <w:bCs/>
        </w:rPr>
      </w:pPr>
      <w:r w:rsidRPr="00CC04A9">
        <w:rPr>
          <w:b/>
          <w:bCs/>
        </w:rPr>
        <w:t>f)</w:t>
      </w:r>
      <w:r w:rsidRPr="00CC04A9">
        <w:tab/>
      </w:r>
      <w:r w:rsidRPr="00CC04A9">
        <w:rPr>
          <w:b/>
          <w:bCs/>
        </w:rPr>
        <w:t>Distance restante par rapport à la cible</w:t>
      </w:r>
      <w:r w:rsidR="00AA4920">
        <w:rPr>
          <w:b/>
          <w:bCs/>
        </w:rPr>
        <w:t xml:space="preserve"> </w:t>
      </w:r>
      <w:r w:rsidRPr="00CC04A9">
        <w:rPr>
          <w:b/>
          <w:bCs/>
        </w:rPr>
        <w:t>après l</w:t>
      </w:r>
      <w:r>
        <w:rPr>
          <w:b/>
          <w:bCs/>
        </w:rPr>
        <w:t>’</w:t>
      </w:r>
      <w:r w:rsidRPr="00CC04A9">
        <w:rPr>
          <w:b/>
          <w:bCs/>
        </w:rPr>
        <w:t>arrêt, en m (définie à zéro dans les scénarios sans évitement) ;</w:t>
      </w:r>
    </w:p>
    <w:p w14:paraId="135C97CB" w14:textId="77777777" w:rsidR="00454181" w:rsidRPr="00CC04A9" w:rsidRDefault="00454181" w:rsidP="00AA4920">
      <w:pPr>
        <w:pStyle w:val="SingleTxtG"/>
        <w:ind w:left="2835" w:hanging="567"/>
        <w:rPr>
          <w:rFonts w:eastAsia="Times New Roman"/>
          <w:b/>
          <w:bCs/>
        </w:rPr>
      </w:pPr>
      <w:r w:rsidRPr="00CC04A9">
        <w:rPr>
          <w:b/>
          <w:bCs/>
        </w:rPr>
        <w:t>g)</w:t>
      </w:r>
      <w:r w:rsidRPr="00CC04A9">
        <w:tab/>
      </w:r>
      <w:r w:rsidRPr="00CC04A9">
        <w:rPr>
          <w:b/>
          <w:bCs/>
        </w:rPr>
        <w:t xml:space="preserve">Vitesse </w:t>
      </w:r>
      <w:r>
        <w:rPr>
          <w:b/>
          <w:bCs/>
        </w:rPr>
        <w:t>au moment du choc</w:t>
      </w:r>
      <w:r w:rsidRPr="00CC04A9">
        <w:rPr>
          <w:b/>
          <w:bCs/>
        </w:rPr>
        <w:t xml:space="preserve"> avec la cible, en km/h (définie à zéro dans les scénarios avec évitement) ;</w:t>
      </w:r>
      <w:r w:rsidRPr="00CC04A9">
        <w:t xml:space="preserve"> </w:t>
      </w:r>
    </w:p>
    <w:p w14:paraId="6238115F" w14:textId="77777777" w:rsidR="00454181" w:rsidRPr="00CC04A9" w:rsidRDefault="00454181" w:rsidP="00AA4920">
      <w:pPr>
        <w:pStyle w:val="SingleTxtG"/>
        <w:ind w:left="2835" w:hanging="567"/>
        <w:rPr>
          <w:rFonts w:eastAsia="Times New Roman"/>
          <w:b/>
          <w:bCs/>
        </w:rPr>
      </w:pPr>
      <w:r w:rsidRPr="00CC04A9">
        <w:rPr>
          <w:b/>
          <w:bCs/>
        </w:rPr>
        <w:t>h)</w:t>
      </w:r>
      <w:r w:rsidRPr="00CC04A9">
        <w:tab/>
      </w:r>
      <w:r w:rsidRPr="00CC04A9">
        <w:rPr>
          <w:b/>
          <w:bCs/>
        </w:rPr>
        <w:t>Délai d</w:t>
      </w:r>
      <w:r>
        <w:rPr>
          <w:b/>
          <w:bCs/>
        </w:rPr>
        <w:t>’</w:t>
      </w:r>
      <w:r w:rsidRPr="00CC04A9">
        <w:rPr>
          <w:b/>
          <w:bCs/>
        </w:rPr>
        <w:t>augmentation de la force de freinage, en s, entre le début du freinage et la décélération maximale ;</w:t>
      </w:r>
    </w:p>
    <w:p w14:paraId="1BFF666B" w14:textId="77777777" w:rsidR="00454181" w:rsidRPr="00CC04A9" w:rsidRDefault="00454181" w:rsidP="00AA4920">
      <w:pPr>
        <w:pStyle w:val="SingleTxtG"/>
        <w:ind w:left="2835" w:hanging="567"/>
        <w:rPr>
          <w:rFonts w:eastAsia="Times New Roman"/>
          <w:b/>
          <w:bCs/>
        </w:rPr>
      </w:pPr>
      <w:r w:rsidRPr="00CC04A9">
        <w:rPr>
          <w:b/>
          <w:bCs/>
        </w:rPr>
        <w:t>i)</w:t>
      </w:r>
      <w:r w:rsidRPr="00CC04A9">
        <w:tab/>
      </w:r>
      <w:r w:rsidRPr="00CC04A9">
        <w:rPr>
          <w:b/>
          <w:bCs/>
        </w:rPr>
        <w:t>Temps restant avant la collision à compter du début du freinage, en</w:t>
      </w:r>
      <w:r>
        <w:rPr>
          <w:b/>
          <w:bCs/>
        </w:rPr>
        <w:t> </w:t>
      </w:r>
      <w:r w:rsidRPr="00CC04A9">
        <w:rPr>
          <w:b/>
          <w:bCs/>
        </w:rPr>
        <w:t>s (libellé à harmoniser avec la procédure d</w:t>
      </w:r>
      <w:r>
        <w:rPr>
          <w:b/>
          <w:bCs/>
        </w:rPr>
        <w:t>’</w:t>
      </w:r>
      <w:r w:rsidRPr="00CC04A9">
        <w:rPr>
          <w:b/>
          <w:bCs/>
        </w:rPr>
        <w:t>essai Euro NCAP).</w:t>
      </w:r>
    </w:p>
    <w:p w14:paraId="3008E8D8" w14:textId="77777777" w:rsidR="00454181" w:rsidRPr="00CC04A9" w:rsidRDefault="00454181" w:rsidP="00AA4920">
      <w:pPr>
        <w:pStyle w:val="SingleTxtG"/>
        <w:ind w:left="2835" w:hanging="567"/>
        <w:rPr>
          <w:rFonts w:eastAsia="Times New Roman"/>
          <w:b/>
          <w:bCs/>
        </w:rPr>
      </w:pPr>
      <w:r w:rsidRPr="00CC04A9">
        <w:rPr>
          <w:b/>
          <w:bCs/>
        </w:rPr>
        <w:t xml:space="preserve">Le constructeur doit </w:t>
      </w:r>
      <w:r>
        <w:rPr>
          <w:b/>
          <w:bCs/>
        </w:rPr>
        <w:t>avoir recours à des</w:t>
      </w:r>
      <w:r w:rsidRPr="00CC04A9">
        <w:rPr>
          <w:b/>
          <w:bCs/>
        </w:rPr>
        <w:t xml:space="preserve"> tests</w:t>
      </w:r>
      <w:r>
        <w:rPr>
          <w:b/>
          <w:bCs/>
        </w:rPr>
        <w:t xml:space="preserve"> de signification</w:t>
      </w:r>
      <w:r w:rsidRPr="00CC04A9">
        <w:rPr>
          <w:b/>
          <w:bCs/>
        </w:rPr>
        <w:t xml:space="preserve"> standards.</w:t>
      </w:r>
    </w:p>
    <w:p w14:paraId="60D9755E" w14:textId="77777777" w:rsidR="00454181" w:rsidRPr="00CC04A9" w:rsidRDefault="00454181" w:rsidP="00AA4920">
      <w:pPr>
        <w:pStyle w:val="SingleTxtG"/>
        <w:tabs>
          <w:tab w:val="left" w:pos="2268"/>
        </w:tabs>
        <w:ind w:left="2268" w:hanging="1134"/>
        <w:rPr>
          <w:rFonts w:eastAsia="Times New Roman"/>
          <w:b/>
          <w:bCs/>
        </w:rPr>
      </w:pPr>
      <w:r w:rsidRPr="00CC04A9">
        <w:rPr>
          <w:b/>
          <w:bCs/>
        </w:rPr>
        <w:t>1.4.4</w:t>
      </w:r>
      <w:r w:rsidRPr="00CC04A9">
        <w:tab/>
      </w:r>
      <w:r w:rsidRPr="00CC04A9">
        <w:rPr>
          <w:b/>
          <w:bCs/>
        </w:rPr>
        <w:t>Il convient de vérifier que les données mesurées correspondent bien aux quantités physiques.</w:t>
      </w:r>
      <w:r w:rsidRPr="00CC04A9">
        <w:t xml:space="preserve"> </w:t>
      </w:r>
      <w:r w:rsidRPr="00CC04A9">
        <w:rPr>
          <w:b/>
          <w:bCs/>
        </w:rPr>
        <w:t>Autrement dit, il convient de contrôler qu</w:t>
      </w:r>
      <w:r>
        <w:rPr>
          <w:b/>
          <w:bCs/>
        </w:rPr>
        <w:t>’</w:t>
      </w:r>
      <w:r w:rsidRPr="00CC04A9">
        <w:rPr>
          <w:b/>
          <w:bCs/>
        </w:rPr>
        <w:t>elles sont plausibles et de les filtrer correctement.</w:t>
      </w:r>
      <w:r w:rsidRPr="00CC04A9">
        <w:t xml:space="preserve"> </w:t>
      </w:r>
      <w:r w:rsidRPr="00CC04A9">
        <w:rPr>
          <w:b/>
          <w:bCs/>
        </w:rPr>
        <w:t>Si les quantités ne sont pas mesurées directement, il est nécessaire de présenter le raisonnement justifiant qu</w:t>
      </w:r>
      <w:r>
        <w:rPr>
          <w:b/>
          <w:bCs/>
        </w:rPr>
        <w:t>’</w:t>
      </w:r>
      <w:r w:rsidRPr="00CC04A9">
        <w:rPr>
          <w:b/>
          <w:bCs/>
        </w:rPr>
        <w:t>elles peuvent tout de même être utilisées.</w:t>
      </w:r>
    </w:p>
    <w:p w14:paraId="11787B41" w14:textId="77777777" w:rsidR="00454181" w:rsidRPr="00CC04A9" w:rsidRDefault="00454181" w:rsidP="00AA4920">
      <w:pPr>
        <w:pStyle w:val="SingleTxtG"/>
        <w:keepNext/>
        <w:tabs>
          <w:tab w:val="left" w:pos="2268"/>
        </w:tabs>
        <w:ind w:left="2268" w:hanging="1134"/>
        <w:rPr>
          <w:rFonts w:eastAsia="Times New Roman"/>
          <w:b/>
          <w:bCs/>
        </w:rPr>
      </w:pPr>
      <w:r w:rsidRPr="00CC04A9">
        <w:rPr>
          <w:b/>
          <w:bCs/>
        </w:rPr>
        <w:lastRenderedPageBreak/>
        <w:t>1.5</w:t>
      </w:r>
      <w:r w:rsidRPr="00CC04A9">
        <w:tab/>
      </w:r>
      <w:r w:rsidRPr="00CC04A9">
        <w:rPr>
          <w:b/>
          <w:bCs/>
        </w:rPr>
        <w:t>Données et informations complémentaires</w:t>
      </w:r>
    </w:p>
    <w:p w14:paraId="561D39DD" w14:textId="571658F8" w:rsidR="00454181" w:rsidRPr="00CC04A9" w:rsidRDefault="00454181" w:rsidP="00AA4920">
      <w:pPr>
        <w:pStyle w:val="SingleTxtG"/>
        <w:ind w:left="2268"/>
        <w:rPr>
          <w:rFonts w:eastAsia="Times New Roman"/>
          <w:b/>
          <w:bCs/>
        </w:rPr>
      </w:pPr>
      <w:r w:rsidRPr="00CC04A9">
        <w:rPr>
          <w:b/>
          <w:bCs/>
        </w:rPr>
        <w:t xml:space="preserve">Pour </w:t>
      </w:r>
      <w:r>
        <w:rPr>
          <w:b/>
          <w:bCs/>
        </w:rPr>
        <w:t>que la méthode de simulation soit validée</w:t>
      </w:r>
      <w:r w:rsidRPr="00CC04A9">
        <w:rPr>
          <w:b/>
          <w:bCs/>
        </w:rPr>
        <w:t>, les informations ci-après doivent être fournies à l</w:t>
      </w:r>
      <w:r>
        <w:rPr>
          <w:b/>
          <w:bCs/>
        </w:rPr>
        <w:t>’</w:t>
      </w:r>
      <w:r w:rsidRPr="00CC04A9">
        <w:rPr>
          <w:b/>
          <w:bCs/>
        </w:rPr>
        <w:t>autorité d</w:t>
      </w:r>
      <w:r>
        <w:rPr>
          <w:b/>
          <w:bCs/>
        </w:rPr>
        <w:t>’</w:t>
      </w:r>
      <w:r w:rsidRPr="00CC04A9">
        <w:rPr>
          <w:b/>
          <w:bCs/>
        </w:rPr>
        <w:t>homologation et au service technique en plus des données et des dessins énumérés au paragraphe</w:t>
      </w:r>
      <w:r w:rsidR="00AA4920">
        <w:rPr>
          <w:b/>
          <w:bCs/>
        </w:rPr>
        <w:t> </w:t>
      </w:r>
      <w:r w:rsidRPr="00CC04A9">
        <w:rPr>
          <w:b/>
          <w:bCs/>
        </w:rPr>
        <w:t>3.2 du présent Règlement.</w:t>
      </w:r>
    </w:p>
    <w:p w14:paraId="3A41B78A" w14:textId="77777777" w:rsidR="00454181" w:rsidRPr="00CC04A9" w:rsidRDefault="00454181" w:rsidP="00AA4920">
      <w:pPr>
        <w:pStyle w:val="SingleTxtG"/>
        <w:tabs>
          <w:tab w:val="left" w:pos="2268"/>
        </w:tabs>
        <w:ind w:left="2268" w:hanging="1134"/>
        <w:rPr>
          <w:rFonts w:eastAsia="Times New Roman"/>
          <w:b/>
          <w:bCs/>
        </w:rPr>
      </w:pPr>
      <w:r w:rsidRPr="00CC04A9">
        <w:rPr>
          <w:b/>
          <w:bCs/>
        </w:rPr>
        <w:t>1.5.1</w:t>
      </w:r>
      <w:r w:rsidRPr="00CC04A9">
        <w:tab/>
      </w:r>
      <w:r w:rsidRPr="00CC04A9">
        <w:rPr>
          <w:b/>
          <w:bCs/>
        </w:rPr>
        <w:t>Une description de la méthode de simulation et de calcul qui a été appliquée, indiquant au moins, pour le modèle et le logiciel d</w:t>
      </w:r>
      <w:r>
        <w:rPr>
          <w:b/>
          <w:bCs/>
        </w:rPr>
        <w:t>’</w:t>
      </w:r>
      <w:r w:rsidRPr="00CC04A9">
        <w:rPr>
          <w:b/>
          <w:bCs/>
        </w:rPr>
        <w:t>analyse utilisés, le producteur, la désignation commerciale, la version et les coordonnées du développeur.</w:t>
      </w:r>
    </w:p>
    <w:p w14:paraId="062B0453" w14:textId="77777777" w:rsidR="00454181" w:rsidRPr="00CC04A9" w:rsidRDefault="00454181" w:rsidP="00AA4920">
      <w:pPr>
        <w:pStyle w:val="SingleTxtG"/>
        <w:tabs>
          <w:tab w:val="left" w:pos="2268"/>
        </w:tabs>
        <w:ind w:left="2268" w:hanging="1134"/>
        <w:rPr>
          <w:rFonts w:eastAsia="Times New Roman"/>
          <w:b/>
          <w:bCs/>
        </w:rPr>
      </w:pPr>
      <w:r w:rsidRPr="00CC04A9">
        <w:rPr>
          <w:b/>
          <w:bCs/>
        </w:rPr>
        <w:t>1.5.2</w:t>
      </w:r>
      <w:r w:rsidRPr="00CC04A9">
        <w:tab/>
      </w:r>
      <w:r w:rsidRPr="00CC04A9">
        <w:rPr>
          <w:b/>
          <w:bCs/>
        </w:rPr>
        <w:t>Une description des paramètres d</w:t>
      </w:r>
      <w:r>
        <w:rPr>
          <w:b/>
          <w:bCs/>
        </w:rPr>
        <w:t>’</w:t>
      </w:r>
      <w:r w:rsidRPr="00CC04A9">
        <w:rPr>
          <w:b/>
          <w:bCs/>
        </w:rPr>
        <w:t>entrée pour le codage des modèles utilisés, indiquant au moins les caractéristiques des fonctionnalités du système, les hypothèses mécaniques, les valeurs des masses définies, le centre de gravité, les moments d</w:t>
      </w:r>
      <w:r>
        <w:rPr>
          <w:b/>
          <w:bCs/>
        </w:rPr>
        <w:t>’</w:t>
      </w:r>
      <w:r w:rsidRPr="00CC04A9">
        <w:rPr>
          <w:b/>
          <w:bCs/>
        </w:rPr>
        <w:t>inertie et les conditions limites.</w:t>
      </w:r>
    </w:p>
    <w:p w14:paraId="3B5199CD" w14:textId="2457297E" w:rsidR="00454181" w:rsidRPr="00CC04A9" w:rsidRDefault="00454181" w:rsidP="00AA4920">
      <w:pPr>
        <w:pStyle w:val="SingleTxtG"/>
        <w:tabs>
          <w:tab w:val="left" w:pos="2268"/>
        </w:tabs>
        <w:ind w:left="2268" w:hanging="1134"/>
        <w:rPr>
          <w:rFonts w:eastAsia="Times New Roman"/>
          <w:b/>
          <w:bCs/>
        </w:rPr>
      </w:pPr>
      <w:r w:rsidRPr="00CC04A9">
        <w:rPr>
          <w:b/>
          <w:bCs/>
        </w:rPr>
        <w:t>1.5.3</w:t>
      </w:r>
      <w:r w:rsidRPr="00CC04A9">
        <w:tab/>
      </w:r>
      <w:r w:rsidRPr="00CC04A9">
        <w:rPr>
          <w:b/>
          <w:bCs/>
        </w:rPr>
        <w:t>Une définition du domaine de validité, en fonction des paramètres du véhicule (répartition de la</w:t>
      </w:r>
      <w:r w:rsidR="00AA4920">
        <w:rPr>
          <w:b/>
          <w:bCs/>
        </w:rPr>
        <w:t xml:space="preserve"> </w:t>
      </w:r>
      <w:r w:rsidRPr="00CC04A9">
        <w:rPr>
          <w:b/>
          <w:bCs/>
        </w:rPr>
        <w:t>masse, plages de vitesses, etc.) utilisés en application du paragraphe 1.1 de la présente annexe.</w:t>
      </w:r>
    </w:p>
    <w:p w14:paraId="44862969" w14:textId="77777777" w:rsidR="00454181" w:rsidRPr="00CC04A9" w:rsidRDefault="00454181" w:rsidP="00AA4920">
      <w:pPr>
        <w:pStyle w:val="SingleTxtG"/>
        <w:tabs>
          <w:tab w:val="left" w:pos="2268"/>
        </w:tabs>
        <w:ind w:left="2268" w:hanging="1134"/>
        <w:rPr>
          <w:rFonts w:eastAsia="Times New Roman"/>
          <w:b/>
          <w:bCs/>
        </w:rPr>
      </w:pPr>
      <w:r w:rsidRPr="00CC04A9">
        <w:rPr>
          <w:b/>
          <w:bCs/>
        </w:rPr>
        <w:t>1.5.4</w:t>
      </w:r>
      <w:r w:rsidRPr="00CC04A9">
        <w:tab/>
      </w:r>
      <w:r w:rsidRPr="00E878E0">
        <w:rPr>
          <w:b/>
          <w:bCs/>
        </w:rPr>
        <w:t>Une description détaillée de c</w:t>
      </w:r>
      <w:r w:rsidRPr="00DE22B1">
        <w:rPr>
          <w:b/>
          <w:bCs/>
        </w:rPr>
        <w:t>haque</w:t>
      </w:r>
      <w:r w:rsidRPr="00CC04A9">
        <w:rPr>
          <w:b/>
          <w:bCs/>
        </w:rPr>
        <w:t xml:space="preserve"> étape du calcul (prétraitement, traitement et post-traitement)</w:t>
      </w:r>
      <w:r>
        <w:rPr>
          <w:b/>
          <w:bCs/>
        </w:rPr>
        <w:t xml:space="preserve">, fournie </w:t>
      </w:r>
      <w:r w:rsidRPr="00CC04A9">
        <w:rPr>
          <w:b/>
          <w:bCs/>
        </w:rPr>
        <w:t>par le constructeur</w:t>
      </w:r>
      <w:r>
        <w:rPr>
          <w:b/>
          <w:bCs/>
        </w:rPr>
        <w:t xml:space="preserve">, dans le cadre de laquelle la preuve que </w:t>
      </w:r>
      <w:r w:rsidRPr="00CC04A9">
        <w:rPr>
          <w:b/>
          <w:bCs/>
        </w:rPr>
        <w:t>la simulation</w:t>
      </w:r>
      <w:r>
        <w:rPr>
          <w:b/>
          <w:bCs/>
        </w:rPr>
        <w:t xml:space="preserve"> a été correctement menée à terme doit être apportée</w:t>
      </w:r>
      <w:r w:rsidRPr="00CC04A9">
        <w:rPr>
          <w:b/>
          <w:bCs/>
        </w:rPr>
        <w:t xml:space="preserve"> (fichier journal de post-traitement, par exemple).</w:t>
      </w:r>
    </w:p>
    <w:p w14:paraId="69EF761C" w14:textId="21A91529" w:rsidR="00454181" w:rsidRPr="00CC04A9" w:rsidRDefault="00454181" w:rsidP="00AA4920">
      <w:pPr>
        <w:pStyle w:val="SingleTxtG"/>
        <w:tabs>
          <w:tab w:val="left" w:pos="2268"/>
        </w:tabs>
        <w:ind w:left="2268" w:hanging="1134"/>
        <w:rPr>
          <w:rFonts w:eastAsia="Times New Roman"/>
          <w:b/>
          <w:bCs/>
        </w:rPr>
      </w:pPr>
      <w:r w:rsidRPr="00CC04A9">
        <w:rPr>
          <w:b/>
          <w:bCs/>
        </w:rPr>
        <w:t>1.5.5</w:t>
      </w:r>
      <w:r w:rsidRPr="00CC04A9">
        <w:tab/>
      </w:r>
      <w:r w:rsidRPr="00CC04A9">
        <w:rPr>
          <w:b/>
          <w:bCs/>
        </w:rPr>
        <w:t xml:space="preserve">La méthode employée pour </w:t>
      </w:r>
      <w:r>
        <w:rPr>
          <w:b/>
          <w:bCs/>
        </w:rPr>
        <w:t>produire</w:t>
      </w:r>
      <w:r w:rsidRPr="00CC04A9">
        <w:rPr>
          <w:b/>
          <w:bCs/>
        </w:rPr>
        <w:t xml:space="preserve"> des données corrélées </w:t>
      </w:r>
      <w:r>
        <w:rPr>
          <w:b/>
          <w:bCs/>
        </w:rPr>
        <w:t>avec les</w:t>
      </w:r>
      <w:r w:rsidRPr="00CC04A9">
        <w:rPr>
          <w:b/>
          <w:bCs/>
        </w:rPr>
        <w:t xml:space="preserve"> essais (au moins </w:t>
      </w:r>
      <w:r>
        <w:rPr>
          <w:b/>
          <w:bCs/>
        </w:rPr>
        <w:t>le matériel</w:t>
      </w:r>
      <w:r w:rsidRPr="00CC04A9">
        <w:rPr>
          <w:b/>
          <w:bCs/>
        </w:rPr>
        <w:t xml:space="preserve"> d</w:t>
      </w:r>
      <w:r>
        <w:rPr>
          <w:b/>
          <w:bCs/>
        </w:rPr>
        <w:t>’</w:t>
      </w:r>
      <w:r w:rsidRPr="00CC04A9">
        <w:rPr>
          <w:b/>
          <w:bCs/>
        </w:rPr>
        <w:t>enregistrement des données, le traitement des données, le calcul des valeurs scalaires, les calculs statistiques, les valeurs des indicateurs de performance spécifiés au paragraphe</w:t>
      </w:r>
      <w:r w:rsidR="00AA4920">
        <w:rPr>
          <w:b/>
          <w:bCs/>
        </w:rPr>
        <w:t> </w:t>
      </w:r>
      <w:r w:rsidRPr="00CC04A9">
        <w:rPr>
          <w:b/>
          <w:bCs/>
        </w:rPr>
        <w:t>1.4.3, les résultats des calculs statistiques)</w:t>
      </w:r>
      <w:r>
        <w:rPr>
          <w:b/>
          <w:bCs/>
        </w:rPr>
        <w:t xml:space="preserve">, qui doit </w:t>
      </w:r>
      <w:r w:rsidRPr="00CC04A9">
        <w:rPr>
          <w:b/>
          <w:bCs/>
        </w:rPr>
        <w:t xml:space="preserve">être </w:t>
      </w:r>
      <w:r>
        <w:rPr>
          <w:b/>
          <w:bCs/>
        </w:rPr>
        <w:t>décrite</w:t>
      </w:r>
      <w:r w:rsidRPr="00CC04A9">
        <w:rPr>
          <w:b/>
          <w:bCs/>
        </w:rPr>
        <w:t xml:space="preserve"> dans le procès-verbal de simulation.</w:t>
      </w:r>
    </w:p>
    <w:p w14:paraId="22930FA1" w14:textId="77777777" w:rsidR="00454181" w:rsidRPr="00CC04A9" w:rsidRDefault="00454181" w:rsidP="00AA4920">
      <w:pPr>
        <w:pStyle w:val="SingleTxtG"/>
        <w:tabs>
          <w:tab w:val="left" w:pos="2268"/>
        </w:tabs>
        <w:ind w:left="2268" w:hanging="1134"/>
        <w:rPr>
          <w:rFonts w:eastAsia="Times New Roman"/>
          <w:b/>
          <w:bCs/>
        </w:rPr>
      </w:pPr>
      <w:r w:rsidRPr="00CC04A9">
        <w:rPr>
          <w:b/>
          <w:bCs/>
        </w:rPr>
        <w:t>1.5.6</w:t>
      </w:r>
      <w:r w:rsidRPr="00CC04A9">
        <w:tab/>
      </w:r>
      <w:r w:rsidRPr="00CC04A9">
        <w:rPr>
          <w:b/>
          <w:bCs/>
        </w:rPr>
        <w:t>Une description du système d</w:t>
      </w:r>
      <w:r>
        <w:rPr>
          <w:b/>
          <w:bCs/>
        </w:rPr>
        <w:t>’</w:t>
      </w:r>
      <w:r w:rsidRPr="00CC04A9">
        <w:rPr>
          <w:b/>
          <w:bCs/>
        </w:rPr>
        <w:t>archivage des données et du processus de gestion des mises à jour (conception du système de freinage, mises à jour progressives, amendements aux règlements)</w:t>
      </w:r>
      <w:r>
        <w:rPr>
          <w:b/>
          <w:bCs/>
        </w:rPr>
        <w:t xml:space="preserve">, </w:t>
      </w:r>
      <w:r w:rsidRPr="00CC04A9">
        <w:rPr>
          <w:b/>
          <w:bCs/>
        </w:rPr>
        <w:t>fournie par le constructeur.</w:t>
      </w:r>
    </w:p>
    <w:p w14:paraId="7ECB45D6" w14:textId="1832419F" w:rsidR="00454181" w:rsidRPr="00AA4920" w:rsidRDefault="00454181" w:rsidP="00AA4920">
      <w:pPr>
        <w:pStyle w:val="SingleTxtG"/>
        <w:tabs>
          <w:tab w:val="left" w:pos="2268"/>
        </w:tabs>
        <w:ind w:left="2268" w:hanging="1134"/>
        <w:rPr>
          <w:b/>
          <w:bCs/>
        </w:rPr>
      </w:pPr>
      <w:r w:rsidRPr="00AA4920">
        <w:rPr>
          <w:b/>
          <w:bCs/>
        </w:rPr>
        <w:t>2.</w:t>
      </w:r>
      <w:r w:rsidRPr="00AA4920">
        <w:rPr>
          <w:b/>
          <w:bCs/>
        </w:rPr>
        <w:tab/>
        <w:t>Résultats</w:t>
      </w:r>
      <w:r w:rsidR="00AA4920">
        <w:rPr>
          <w:b/>
          <w:bCs/>
        </w:rPr>
        <w:t xml:space="preserve"> </w:t>
      </w:r>
      <w:r w:rsidRPr="00AA4920">
        <w:rPr>
          <w:b/>
          <w:bCs/>
        </w:rPr>
        <w:t>de la simulation aux fins du processus d’homologation</w:t>
      </w:r>
    </w:p>
    <w:p w14:paraId="57432557" w14:textId="7B2A9197" w:rsidR="00454181" w:rsidRPr="00CC04A9" w:rsidRDefault="00454181" w:rsidP="00AA4920">
      <w:pPr>
        <w:pStyle w:val="SingleTxtG"/>
        <w:tabs>
          <w:tab w:val="left" w:pos="2268"/>
        </w:tabs>
        <w:ind w:left="2268" w:hanging="1134"/>
        <w:rPr>
          <w:rFonts w:eastAsia="Times New Roman"/>
          <w:b/>
          <w:bCs/>
        </w:rPr>
      </w:pPr>
      <w:r w:rsidRPr="00CC04A9">
        <w:rPr>
          <w:b/>
          <w:bCs/>
        </w:rPr>
        <w:t>2.1</w:t>
      </w:r>
      <w:r w:rsidRPr="00CC04A9">
        <w:tab/>
      </w:r>
      <w:r w:rsidRPr="00CC04A9">
        <w:rPr>
          <w:b/>
          <w:bCs/>
        </w:rPr>
        <w:t>Le constructeur ne peut fournir des résultats de simulation pour satisfaire aux prescriptions spécifiées aux paragraphes</w:t>
      </w:r>
      <w:r w:rsidR="00AA4920">
        <w:rPr>
          <w:b/>
          <w:bCs/>
        </w:rPr>
        <w:t> </w:t>
      </w:r>
      <w:r w:rsidRPr="00CC04A9">
        <w:rPr>
          <w:b/>
          <w:bCs/>
        </w:rPr>
        <w:t>6.4 à 6.6 du présent Règlement que si la méthode employée pour obtenir les résultats a déjà été évaluée et validée en application de la présente annexe.</w:t>
      </w:r>
    </w:p>
    <w:p w14:paraId="45FC6B86" w14:textId="56022AB4" w:rsidR="00454181" w:rsidRPr="00CC04A9" w:rsidRDefault="00454181" w:rsidP="00AA4920">
      <w:pPr>
        <w:pStyle w:val="SingleTxtG"/>
        <w:tabs>
          <w:tab w:val="left" w:pos="2268"/>
        </w:tabs>
        <w:ind w:left="2268" w:hanging="1134"/>
        <w:rPr>
          <w:rFonts w:eastAsia="Times New Roman"/>
          <w:b/>
          <w:bCs/>
        </w:rPr>
      </w:pPr>
      <w:r w:rsidRPr="00CC04A9">
        <w:rPr>
          <w:b/>
          <w:bCs/>
        </w:rPr>
        <w:t>2.2</w:t>
      </w:r>
      <w:r w:rsidRPr="00CC04A9">
        <w:tab/>
      </w:r>
      <w:r w:rsidRPr="00CC04A9">
        <w:rPr>
          <w:b/>
          <w:bCs/>
        </w:rPr>
        <w:t xml:space="preserve">Tous les résultats de simulation fournis par le constructeur </w:t>
      </w:r>
      <w:r>
        <w:rPr>
          <w:b/>
          <w:bCs/>
        </w:rPr>
        <w:t>dans la demande</w:t>
      </w:r>
      <w:r w:rsidRPr="00CC04A9">
        <w:rPr>
          <w:b/>
          <w:bCs/>
        </w:rPr>
        <w:t xml:space="preserve"> </w:t>
      </w:r>
      <w:r>
        <w:rPr>
          <w:b/>
          <w:bCs/>
        </w:rPr>
        <w:t>d’</w:t>
      </w:r>
      <w:r w:rsidRPr="00CC04A9">
        <w:rPr>
          <w:b/>
          <w:bCs/>
        </w:rPr>
        <w:t xml:space="preserve">homologation </w:t>
      </w:r>
      <w:r>
        <w:rPr>
          <w:b/>
          <w:bCs/>
        </w:rPr>
        <w:t xml:space="preserve">soumise </w:t>
      </w:r>
      <w:r w:rsidRPr="00CC04A9">
        <w:rPr>
          <w:b/>
          <w:bCs/>
        </w:rPr>
        <w:t>conformément au paragraphe 4 du présent Règlement</w:t>
      </w:r>
      <w:r w:rsidR="00AA4920">
        <w:rPr>
          <w:b/>
          <w:bCs/>
        </w:rPr>
        <w:t xml:space="preserve"> </w:t>
      </w:r>
      <w:r w:rsidRPr="00CC04A9">
        <w:rPr>
          <w:b/>
          <w:bCs/>
        </w:rPr>
        <w:t xml:space="preserve">doivent renvoyer à la méthode évaluée et validée </w:t>
      </w:r>
      <w:r>
        <w:rPr>
          <w:b/>
          <w:bCs/>
        </w:rPr>
        <w:t xml:space="preserve">au préalable </w:t>
      </w:r>
      <w:r w:rsidRPr="00CC04A9">
        <w:rPr>
          <w:b/>
          <w:bCs/>
        </w:rPr>
        <w:t>en application de la présente annexe.</w:t>
      </w:r>
    </w:p>
    <w:p w14:paraId="7FB5C340" w14:textId="77777777" w:rsidR="00454181" w:rsidRPr="00CC04A9" w:rsidRDefault="00454181" w:rsidP="00AA4920">
      <w:pPr>
        <w:pStyle w:val="SingleTxtG"/>
        <w:tabs>
          <w:tab w:val="left" w:pos="2268"/>
        </w:tabs>
        <w:ind w:left="2268" w:hanging="1134"/>
        <w:rPr>
          <w:rFonts w:eastAsia="Times New Roman"/>
          <w:b/>
          <w:bCs/>
        </w:rPr>
      </w:pPr>
      <w:r w:rsidRPr="00CC04A9">
        <w:rPr>
          <w:b/>
          <w:bCs/>
        </w:rPr>
        <w:t>2.3</w:t>
      </w:r>
      <w:r w:rsidRPr="00CC04A9">
        <w:tab/>
      </w:r>
      <w:r w:rsidRPr="00CC04A9">
        <w:rPr>
          <w:b/>
          <w:bCs/>
        </w:rPr>
        <w:t>En plus des résultats de simulation, au moins 30 % des essais effectués par simulation doivent aussi être réalisés physiquement.</w:t>
      </w:r>
      <w:r w:rsidRPr="00CC04A9">
        <w:t xml:space="preserve"> </w:t>
      </w:r>
      <w:r w:rsidRPr="00CC04A9">
        <w:rPr>
          <w:b/>
          <w:bCs/>
        </w:rPr>
        <w:t>Le service technique doit vérifier les résultats des essais simulés et des essais physiques individuellement pour repérer les différences au moyen de tests statistiques standards.</w:t>
      </w:r>
    </w:p>
    <w:p w14:paraId="7B106AB4" w14:textId="77777777" w:rsidR="00454181" w:rsidRPr="00CC04A9" w:rsidRDefault="00454181" w:rsidP="00AA4920">
      <w:pPr>
        <w:pStyle w:val="SingleTxtG"/>
        <w:tabs>
          <w:tab w:val="left" w:pos="2268"/>
        </w:tabs>
        <w:ind w:left="2268" w:hanging="1134"/>
        <w:rPr>
          <w:rFonts w:eastAsia="Times New Roman"/>
          <w:b/>
          <w:bCs/>
        </w:rPr>
      </w:pPr>
      <w:r w:rsidRPr="00CC04A9">
        <w:rPr>
          <w:b/>
          <w:bCs/>
        </w:rPr>
        <w:t>2.4</w:t>
      </w:r>
      <w:r w:rsidRPr="00CC04A9">
        <w:tab/>
      </w:r>
      <w:r w:rsidRPr="00CC04A9">
        <w:rPr>
          <w:b/>
          <w:bCs/>
        </w:rPr>
        <w:t>Données et informations complémentaires</w:t>
      </w:r>
    </w:p>
    <w:p w14:paraId="3FDA705B" w14:textId="6065CA05" w:rsidR="00454181" w:rsidRPr="00CC04A9" w:rsidRDefault="00454181" w:rsidP="00AA4920">
      <w:pPr>
        <w:pStyle w:val="SingleTxtG"/>
        <w:tabs>
          <w:tab w:val="left" w:pos="2268"/>
        </w:tabs>
        <w:ind w:left="2268"/>
        <w:rPr>
          <w:rFonts w:eastAsia="Times New Roman"/>
          <w:b/>
          <w:bCs/>
        </w:rPr>
      </w:pPr>
      <w:r w:rsidRPr="0064004E">
        <w:rPr>
          <w:b/>
          <w:bCs/>
        </w:rPr>
        <w:t xml:space="preserve">Pour </w:t>
      </w:r>
      <w:r>
        <w:rPr>
          <w:b/>
          <w:bCs/>
        </w:rPr>
        <w:t>que les résultats de la simulation soient utilisés aux fins du processus d’homologation</w:t>
      </w:r>
      <w:r w:rsidRPr="00CC04A9">
        <w:rPr>
          <w:b/>
          <w:bCs/>
        </w:rPr>
        <w:t>, les informations ci-après doivent être fournies au service technique en plus des données et des dessins énumérés au paragraphe</w:t>
      </w:r>
      <w:r w:rsidR="00AA4920">
        <w:rPr>
          <w:b/>
          <w:bCs/>
        </w:rPr>
        <w:t> </w:t>
      </w:r>
      <w:r w:rsidRPr="00CC04A9">
        <w:rPr>
          <w:b/>
          <w:bCs/>
        </w:rPr>
        <w:t>3.2 du présent Règlement.</w:t>
      </w:r>
    </w:p>
    <w:p w14:paraId="3A151B5D" w14:textId="77777777" w:rsidR="00454181" w:rsidRPr="00CC04A9" w:rsidRDefault="00454181" w:rsidP="00AA4920">
      <w:pPr>
        <w:pStyle w:val="SingleTxtG"/>
        <w:tabs>
          <w:tab w:val="left" w:pos="2268"/>
        </w:tabs>
        <w:ind w:left="2268" w:hanging="1134"/>
        <w:rPr>
          <w:rFonts w:eastAsia="Times New Roman"/>
          <w:b/>
          <w:bCs/>
        </w:rPr>
      </w:pPr>
      <w:r w:rsidRPr="00CC04A9">
        <w:rPr>
          <w:b/>
          <w:bCs/>
        </w:rPr>
        <w:t>2.4.1</w:t>
      </w:r>
      <w:r w:rsidRPr="00CC04A9">
        <w:tab/>
      </w:r>
      <w:r w:rsidRPr="00CC04A9">
        <w:rPr>
          <w:b/>
          <w:bCs/>
        </w:rPr>
        <w:t>Une description de la méthode de simulation et de calcul qui a été appliquée, indiquant au moins, pour le modèle et le logiciel d</w:t>
      </w:r>
      <w:r>
        <w:rPr>
          <w:b/>
          <w:bCs/>
        </w:rPr>
        <w:t>’</w:t>
      </w:r>
      <w:r w:rsidRPr="00CC04A9">
        <w:rPr>
          <w:b/>
          <w:bCs/>
        </w:rPr>
        <w:t>analyse utilisés, le producteur, la désignation commerciale, la version et les coordonnées du développeur.</w:t>
      </w:r>
    </w:p>
    <w:p w14:paraId="56C7A37D" w14:textId="77777777" w:rsidR="00454181" w:rsidRPr="00CC04A9" w:rsidRDefault="00454181" w:rsidP="00AA4920">
      <w:pPr>
        <w:pStyle w:val="SingleTxtG"/>
        <w:tabs>
          <w:tab w:val="left" w:pos="2268"/>
        </w:tabs>
        <w:ind w:left="2268" w:hanging="1134"/>
        <w:rPr>
          <w:rFonts w:eastAsia="Times New Roman"/>
          <w:b/>
          <w:bCs/>
        </w:rPr>
      </w:pPr>
      <w:r w:rsidRPr="00CC04A9">
        <w:rPr>
          <w:b/>
          <w:bCs/>
        </w:rPr>
        <w:lastRenderedPageBreak/>
        <w:t>2.4.2</w:t>
      </w:r>
      <w:r w:rsidRPr="00CC04A9">
        <w:tab/>
      </w:r>
      <w:r w:rsidRPr="00CC04A9">
        <w:rPr>
          <w:b/>
          <w:bCs/>
        </w:rPr>
        <w:t>Une description des paramètres d</w:t>
      </w:r>
      <w:r>
        <w:rPr>
          <w:b/>
          <w:bCs/>
        </w:rPr>
        <w:t>’</w:t>
      </w:r>
      <w:r w:rsidRPr="00CC04A9">
        <w:rPr>
          <w:b/>
          <w:bCs/>
        </w:rPr>
        <w:t>entrée pour le codage des modèles utilisés, indiquant au moins les caractéristiques des fonctionnalités du système, les hypothèses mécaniques, les valeurs des masses définies, le centre de gravité, les moments d</w:t>
      </w:r>
      <w:r>
        <w:rPr>
          <w:b/>
          <w:bCs/>
        </w:rPr>
        <w:t>’</w:t>
      </w:r>
      <w:r w:rsidRPr="00CC04A9">
        <w:rPr>
          <w:b/>
          <w:bCs/>
        </w:rPr>
        <w:t>inertie et les conditions limites.</w:t>
      </w:r>
    </w:p>
    <w:p w14:paraId="43D7D10B" w14:textId="77777777" w:rsidR="00454181" w:rsidRPr="00CC04A9" w:rsidRDefault="00454181" w:rsidP="00AA4920">
      <w:pPr>
        <w:pStyle w:val="SingleTxtG"/>
        <w:tabs>
          <w:tab w:val="left" w:pos="2268"/>
        </w:tabs>
        <w:ind w:left="2268" w:hanging="1134"/>
        <w:rPr>
          <w:rFonts w:eastAsia="Times New Roman"/>
          <w:b/>
          <w:bCs/>
        </w:rPr>
      </w:pPr>
      <w:r w:rsidRPr="00CC04A9">
        <w:rPr>
          <w:b/>
          <w:bCs/>
        </w:rPr>
        <w:t>2.4.3</w:t>
      </w:r>
      <w:r w:rsidRPr="00CC04A9">
        <w:tab/>
      </w:r>
      <w:r w:rsidRPr="00CC04A9">
        <w:rPr>
          <w:b/>
          <w:bCs/>
        </w:rPr>
        <w:t>Un renvoi à la méthode de simulation validée qui a été utilisée en application du paragraphe 1 de la présente annexe.</w:t>
      </w:r>
    </w:p>
    <w:p w14:paraId="497B7CA5" w14:textId="77777777" w:rsidR="00454181" w:rsidRPr="00CC04A9" w:rsidRDefault="00454181" w:rsidP="00AA4920">
      <w:pPr>
        <w:pStyle w:val="SingleTxtG"/>
        <w:tabs>
          <w:tab w:val="left" w:pos="2268"/>
        </w:tabs>
        <w:ind w:left="2268" w:hanging="1134"/>
        <w:rPr>
          <w:rFonts w:eastAsia="Times New Roman"/>
        </w:rPr>
      </w:pPr>
      <w:r w:rsidRPr="00CC04A9">
        <w:rPr>
          <w:b/>
          <w:bCs/>
        </w:rPr>
        <w:t>2.4.4</w:t>
      </w:r>
      <w:r w:rsidRPr="00CC04A9">
        <w:tab/>
      </w:r>
      <w:r>
        <w:rPr>
          <w:b/>
          <w:bCs/>
        </w:rPr>
        <w:t>Une description détaillée de c</w:t>
      </w:r>
      <w:r w:rsidRPr="00CC04A9">
        <w:rPr>
          <w:b/>
          <w:bCs/>
        </w:rPr>
        <w:t>haque étape du calcul (prétraitement, traitement et post-traitement)</w:t>
      </w:r>
      <w:r>
        <w:rPr>
          <w:b/>
          <w:bCs/>
        </w:rPr>
        <w:t xml:space="preserve">, fournie </w:t>
      </w:r>
      <w:r w:rsidRPr="00CC04A9">
        <w:rPr>
          <w:b/>
          <w:bCs/>
        </w:rPr>
        <w:t xml:space="preserve">par le constructeur, </w:t>
      </w:r>
      <w:r>
        <w:rPr>
          <w:b/>
          <w:bCs/>
        </w:rPr>
        <w:t>dans le cadre de laquelle la preuve que la</w:t>
      </w:r>
      <w:r w:rsidRPr="00CC04A9">
        <w:rPr>
          <w:b/>
          <w:bCs/>
        </w:rPr>
        <w:t xml:space="preserve"> simulation</w:t>
      </w:r>
      <w:r>
        <w:rPr>
          <w:b/>
          <w:bCs/>
        </w:rPr>
        <w:t xml:space="preserve"> a été correctement menée à terme doit être apportée</w:t>
      </w:r>
      <w:r w:rsidRPr="00CC04A9">
        <w:rPr>
          <w:b/>
          <w:bCs/>
        </w:rPr>
        <w:t>.</w:t>
      </w:r>
      <w:r w:rsidRPr="00CC04A9">
        <w:t> ».</w:t>
      </w:r>
    </w:p>
    <w:p w14:paraId="2169A421" w14:textId="77777777" w:rsidR="00454181" w:rsidRPr="009925A4" w:rsidRDefault="00454181" w:rsidP="00AA4920">
      <w:pPr>
        <w:pStyle w:val="HChG"/>
        <w:rPr>
          <w:lang w:val="fr-FR"/>
        </w:rPr>
      </w:pPr>
      <w:r>
        <w:rPr>
          <w:lang w:val="fr-FR"/>
        </w:rPr>
        <w:tab/>
      </w:r>
      <w:r w:rsidRPr="009925A4">
        <w:rPr>
          <w:lang w:val="fr-FR"/>
        </w:rPr>
        <w:t>II.</w:t>
      </w:r>
      <w:r w:rsidRPr="009925A4">
        <w:rPr>
          <w:lang w:val="fr-FR"/>
        </w:rPr>
        <w:tab/>
        <w:t>Justification</w:t>
      </w:r>
    </w:p>
    <w:p w14:paraId="6CCA45D3" w14:textId="11648E9F" w:rsidR="00454181" w:rsidRPr="00AA4920" w:rsidRDefault="00454181" w:rsidP="00AA4920">
      <w:pPr>
        <w:pStyle w:val="SingleTxtG"/>
      </w:pPr>
      <w:r w:rsidRPr="00AA4920">
        <w:t>1.</w:t>
      </w:r>
      <w:r w:rsidRPr="00AA4920">
        <w:tab/>
        <w:t>La présente proposition vise à donner au demandeur la possibilité d’avoir recours à des essais virtuels à la place des essais physiques. Selon cette approche, déjà définie dans le cadre du système européen de réception par type de l’ensemble du véhicule, d’autres règlements ou des activités menées sur les systèmes de conduite automatisés par le sous</w:t>
      </w:r>
      <w:r w:rsidR="00AA4920">
        <w:noBreakHyphen/>
      </w:r>
      <w:r w:rsidRPr="00AA4920">
        <w:t>groupe 2 du groupe de travail informel des méthodes de validation pour la conduite automatisée (VMAD), la méthode à utiliser doit être évaluée au préalable.</w:t>
      </w:r>
    </w:p>
    <w:p w14:paraId="26E5A691" w14:textId="77777777" w:rsidR="00454181" w:rsidRPr="00AA4920" w:rsidRDefault="00454181" w:rsidP="00AA4920">
      <w:pPr>
        <w:pStyle w:val="SingleTxtG"/>
      </w:pPr>
      <w:r w:rsidRPr="00AA4920">
        <w:t>2.</w:t>
      </w:r>
      <w:r w:rsidRPr="00AA4920">
        <w:tab/>
        <w:t>La présente proposition définit une approche pratique permettant de garantir le respect des grands principes de sécurité tout en laissant de la souplesse au demandeur quant au choix des outils virtuels.</w:t>
      </w:r>
    </w:p>
    <w:p w14:paraId="5333C657" w14:textId="77777777" w:rsidR="00454181" w:rsidRPr="00AA4920" w:rsidRDefault="00454181" w:rsidP="00AA4920">
      <w:pPr>
        <w:pStyle w:val="SingleTxtG"/>
      </w:pPr>
      <w:r w:rsidRPr="00AA4920">
        <w:t>3.</w:t>
      </w:r>
      <w:r w:rsidRPr="00AA4920">
        <w:tab/>
        <w:t>Un exemple d’application est présenté dans le document informel GRVA-15-20.</w:t>
      </w:r>
    </w:p>
    <w:p w14:paraId="044CE441" w14:textId="0DE6D90E" w:rsidR="00454181" w:rsidRPr="00CC04A9" w:rsidRDefault="00454181" w:rsidP="00AA4920">
      <w:pPr>
        <w:pStyle w:val="SingleTxtG"/>
        <w:rPr>
          <w:lang w:val="fr-FR"/>
        </w:rPr>
      </w:pPr>
      <w:r w:rsidRPr="00CC04A9">
        <w:rPr>
          <w:lang w:val="fr-FR"/>
        </w:rPr>
        <w:t>Note du secrétariat : si la présente proposition d</w:t>
      </w:r>
      <w:r>
        <w:rPr>
          <w:lang w:val="fr-FR"/>
        </w:rPr>
        <w:t>’</w:t>
      </w:r>
      <w:r w:rsidRPr="00CC04A9">
        <w:rPr>
          <w:lang w:val="fr-FR"/>
        </w:rPr>
        <w:t>amendements est adoptée comme complément à la série 02 d</w:t>
      </w:r>
      <w:r>
        <w:rPr>
          <w:lang w:val="fr-FR"/>
        </w:rPr>
        <w:t>’</w:t>
      </w:r>
      <w:r w:rsidRPr="00CC04A9">
        <w:rPr>
          <w:lang w:val="fr-FR"/>
        </w:rPr>
        <w:t>amendements, il sera nécessaire d</w:t>
      </w:r>
      <w:r>
        <w:rPr>
          <w:lang w:val="fr-FR"/>
        </w:rPr>
        <w:t xml:space="preserve">’y </w:t>
      </w:r>
      <w:r w:rsidRPr="00CC04A9">
        <w:rPr>
          <w:lang w:val="fr-FR"/>
        </w:rPr>
        <w:t>apporter des ajustements, car le paragraphe</w:t>
      </w:r>
      <w:r w:rsidR="00AA4920">
        <w:rPr>
          <w:lang w:val="fr-FR"/>
        </w:rPr>
        <w:t> </w:t>
      </w:r>
      <w:r w:rsidRPr="00CC04A9">
        <w:rPr>
          <w:lang w:val="fr-FR"/>
        </w:rPr>
        <w:t xml:space="preserve">6.7 existe déjà, sous le titre suivant : </w:t>
      </w:r>
    </w:p>
    <w:p w14:paraId="14DD53A1" w14:textId="217EF271" w:rsidR="00454181" w:rsidRDefault="00454181" w:rsidP="00AA4920">
      <w:pPr>
        <w:pStyle w:val="SingleTxtG"/>
        <w:rPr>
          <w:lang w:val="fr-FR"/>
        </w:rPr>
      </w:pPr>
      <w:r w:rsidRPr="00CC04A9">
        <w:rPr>
          <w:lang w:val="fr-FR"/>
        </w:rPr>
        <w:t>« 6.7</w:t>
      </w:r>
      <w:r w:rsidRPr="00CC04A9">
        <w:rPr>
          <w:lang w:val="fr-FR"/>
        </w:rPr>
        <w:tab/>
        <w:t>Essai d</w:t>
      </w:r>
      <w:r>
        <w:rPr>
          <w:lang w:val="fr-FR"/>
        </w:rPr>
        <w:t>’</w:t>
      </w:r>
      <w:r w:rsidRPr="00CC04A9">
        <w:rPr>
          <w:lang w:val="fr-FR"/>
        </w:rPr>
        <w:t>avertissement et d</w:t>
      </w:r>
      <w:r>
        <w:rPr>
          <w:lang w:val="fr-FR"/>
        </w:rPr>
        <w:t>’</w:t>
      </w:r>
      <w:r w:rsidRPr="00CC04A9">
        <w:rPr>
          <w:lang w:val="fr-FR"/>
        </w:rPr>
        <w:t>activation du système avec comme cible une bicyclette ».</w:t>
      </w:r>
    </w:p>
    <w:p w14:paraId="1E279AD7" w14:textId="237C2988" w:rsidR="00AA4920" w:rsidRPr="00AA4920" w:rsidRDefault="00AA4920" w:rsidP="00AA4920">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AA4920" w:rsidRPr="00AA4920" w:rsidSect="00454181">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1A85" w14:textId="77777777" w:rsidR="00B84C90" w:rsidRDefault="00B84C90" w:rsidP="00F95C08">
      <w:pPr>
        <w:spacing w:line="240" w:lineRule="auto"/>
      </w:pPr>
    </w:p>
  </w:endnote>
  <w:endnote w:type="continuationSeparator" w:id="0">
    <w:p w14:paraId="0C57C849" w14:textId="77777777" w:rsidR="00B84C90" w:rsidRPr="00AC3823" w:rsidRDefault="00B84C90" w:rsidP="00AC3823">
      <w:pPr>
        <w:pStyle w:val="Pieddepage"/>
      </w:pPr>
    </w:p>
  </w:endnote>
  <w:endnote w:type="continuationNotice" w:id="1">
    <w:p w14:paraId="2CC5E4DA" w14:textId="77777777" w:rsidR="00B84C90" w:rsidRDefault="00B84C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DE0F" w14:textId="0E1A83D4" w:rsidR="00454181" w:rsidRPr="00454181" w:rsidRDefault="00454181" w:rsidP="00454181">
    <w:pPr>
      <w:pStyle w:val="Pieddepage"/>
      <w:tabs>
        <w:tab w:val="right" w:pos="9638"/>
      </w:tabs>
    </w:pPr>
    <w:r w:rsidRPr="00454181">
      <w:rPr>
        <w:b/>
        <w:sz w:val="18"/>
      </w:rPr>
      <w:fldChar w:fldCharType="begin"/>
    </w:r>
    <w:r w:rsidRPr="00454181">
      <w:rPr>
        <w:b/>
        <w:sz w:val="18"/>
      </w:rPr>
      <w:instrText xml:space="preserve"> PAGE  \* MERGEFORMAT </w:instrText>
    </w:r>
    <w:r w:rsidRPr="00454181">
      <w:rPr>
        <w:b/>
        <w:sz w:val="18"/>
      </w:rPr>
      <w:fldChar w:fldCharType="separate"/>
    </w:r>
    <w:r w:rsidRPr="00454181">
      <w:rPr>
        <w:b/>
        <w:noProof/>
        <w:sz w:val="18"/>
      </w:rPr>
      <w:t>2</w:t>
    </w:r>
    <w:r w:rsidRPr="00454181">
      <w:rPr>
        <w:b/>
        <w:sz w:val="18"/>
      </w:rPr>
      <w:fldChar w:fldCharType="end"/>
    </w:r>
    <w:r>
      <w:rPr>
        <w:b/>
        <w:sz w:val="18"/>
      </w:rPr>
      <w:tab/>
    </w:r>
    <w:r>
      <w:t>GE.23-13334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F6E2" w14:textId="7DBECAF2" w:rsidR="00454181" w:rsidRPr="00454181" w:rsidRDefault="00454181" w:rsidP="00454181">
    <w:pPr>
      <w:pStyle w:val="Pieddepage"/>
      <w:tabs>
        <w:tab w:val="right" w:pos="9638"/>
      </w:tabs>
      <w:rPr>
        <w:b/>
        <w:sz w:val="18"/>
      </w:rPr>
    </w:pPr>
    <w:r>
      <w:t>GE.23-13334</w:t>
    </w:r>
    <w:r>
      <w:tab/>
    </w:r>
    <w:r w:rsidRPr="00454181">
      <w:rPr>
        <w:b/>
        <w:sz w:val="18"/>
      </w:rPr>
      <w:fldChar w:fldCharType="begin"/>
    </w:r>
    <w:r w:rsidRPr="00454181">
      <w:rPr>
        <w:b/>
        <w:sz w:val="18"/>
      </w:rPr>
      <w:instrText xml:space="preserve"> PAGE  \* MERGEFORMAT </w:instrText>
    </w:r>
    <w:r w:rsidRPr="00454181">
      <w:rPr>
        <w:b/>
        <w:sz w:val="18"/>
      </w:rPr>
      <w:fldChar w:fldCharType="separate"/>
    </w:r>
    <w:r w:rsidRPr="00454181">
      <w:rPr>
        <w:b/>
        <w:noProof/>
        <w:sz w:val="18"/>
      </w:rPr>
      <w:t>3</w:t>
    </w:r>
    <w:r w:rsidRPr="004541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E370" w14:textId="6818DC7C" w:rsidR="007F20FA" w:rsidRPr="00454181" w:rsidRDefault="00454181" w:rsidP="00454181">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A51E729" wp14:editId="068C7ED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23-13334  (F)</w:t>
    </w:r>
    <w:r>
      <w:rPr>
        <w:noProof/>
        <w:sz w:val="20"/>
      </w:rPr>
      <w:drawing>
        <wp:anchor distT="0" distB="0" distL="114300" distR="114300" simplePos="0" relativeHeight="251660288" behindDoc="0" locked="0" layoutInCell="1" allowOverlap="1" wp14:anchorId="212C3AC8" wp14:editId="249B8935">
          <wp:simplePos x="0" y="0"/>
          <wp:positionH relativeFrom="margin">
            <wp:posOffset>5489575</wp:posOffset>
          </wp:positionH>
          <wp:positionV relativeFrom="margin">
            <wp:posOffset>8891905</wp:posOffset>
          </wp:positionV>
          <wp:extent cx="638175" cy="638175"/>
          <wp:effectExtent l="0" t="0" r="9525" b="9525"/>
          <wp:wrapNone/>
          <wp:docPr id="4797327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040823    0</w:t>
    </w:r>
    <w:r w:rsidR="003E78E2">
      <w:rPr>
        <w:sz w:val="20"/>
      </w:rPr>
      <w:t>4</w:t>
    </w:r>
    <w:r>
      <w:rPr>
        <w:sz w:val="20"/>
      </w:rPr>
      <w:t>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AA03" w14:textId="77777777" w:rsidR="00B84C90" w:rsidRPr="00AC3823" w:rsidRDefault="00B84C90" w:rsidP="00AC3823">
      <w:pPr>
        <w:pStyle w:val="Pieddepage"/>
        <w:tabs>
          <w:tab w:val="right" w:pos="2155"/>
        </w:tabs>
        <w:spacing w:after="80" w:line="240" w:lineRule="atLeast"/>
        <w:ind w:left="680"/>
        <w:rPr>
          <w:u w:val="single"/>
        </w:rPr>
      </w:pPr>
      <w:r>
        <w:rPr>
          <w:u w:val="single"/>
        </w:rPr>
        <w:tab/>
      </w:r>
    </w:p>
  </w:footnote>
  <w:footnote w:type="continuationSeparator" w:id="0">
    <w:p w14:paraId="70BC7835" w14:textId="77777777" w:rsidR="00B84C90" w:rsidRPr="00AC3823" w:rsidRDefault="00B84C90" w:rsidP="00AC3823">
      <w:pPr>
        <w:pStyle w:val="Pieddepage"/>
        <w:tabs>
          <w:tab w:val="right" w:pos="2155"/>
        </w:tabs>
        <w:spacing w:after="80" w:line="240" w:lineRule="atLeast"/>
        <w:ind w:left="680"/>
        <w:rPr>
          <w:u w:val="single"/>
        </w:rPr>
      </w:pPr>
      <w:r>
        <w:rPr>
          <w:u w:val="single"/>
        </w:rPr>
        <w:tab/>
      </w:r>
    </w:p>
  </w:footnote>
  <w:footnote w:type="continuationNotice" w:id="1">
    <w:p w14:paraId="3E48BCDE" w14:textId="77777777" w:rsidR="00B84C90" w:rsidRPr="00AC3823" w:rsidRDefault="00B84C90">
      <w:pPr>
        <w:spacing w:line="240" w:lineRule="auto"/>
        <w:rPr>
          <w:sz w:val="2"/>
          <w:szCs w:val="2"/>
        </w:rPr>
      </w:pPr>
    </w:p>
  </w:footnote>
  <w:footnote w:id="2">
    <w:p w14:paraId="57128325" w14:textId="01E2563D" w:rsidR="00454181" w:rsidRDefault="003E78E2" w:rsidP="003E78E2">
      <w:pPr>
        <w:pStyle w:val="Notedebasdepage"/>
      </w:pPr>
      <w:r>
        <w:rPr>
          <w:vertAlign w:val="superscript"/>
        </w:rPr>
        <w:tab/>
      </w:r>
      <w:r w:rsidR="00454181" w:rsidRPr="003E78E2">
        <w:rPr>
          <w:sz w:val="20"/>
          <w:szCs w:val="22"/>
        </w:rPr>
        <w:t>*</w:t>
      </w:r>
      <w:r>
        <w:rPr>
          <w:vertAlign w:val="superscript"/>
        </w:rPr>
        <w:tab/>
      </w:r>
      <w:r w:rsidR="00454181" w:rsidRPr="00225C9B">
        <w:tab/>
        <w:t>Conformément au programme de travail du Comité des transports intérieurs pour 2023 tel qu</w:t>
      </w:r>
      <w:r w:rsidR="00454181">
        <w:t>’</w:t>
      </w:r>
      <w:r w:rsidR="00454181" w:rsidRPr="00225C9B">
        <w:t>il figure dans le projet de budget-programme pour 2023 (A/77/6 (Sect. 20), par. 20.6), le Forum mondial a pour mission d</w:t>
      </w:r>
      <w:r w:rsidR="00454181">
        <w:t>’</w:t>
      </w:r>
      <w:r w:rsidR="00454181" w:rsidRPr="00225C9B">
        <w:t>élaborer, d</w:t>
      </w:r>
      <w:r w:rsidR="00454181">
        <w:t>’</w:t>
      </w:r>
      <w:r w:rsidR="00454181" w:rsidRPr="00225C9B">
        <w:t>harmoniser et de mettre à jour les Règlements ONU en vue d</w:t>
      </w:r>
      <w:r w:rsidR="00454181">
        <w:t>’</w:t>
      </w:r>
      <w:r w:rsidR="00454181" w:rsidRPr="00225C9B">
        <w:t>améliorer les caractéristiques fonctionnelles des véhicules. Le présent document est soumis en vertu de ce mandat.</w:t>
      </w:r>
    </w:p>
    <w:p w14:paraId="631321B3" w14:textId="77777777" w:rsidR="003E78E2" w:rsidRPr="00225C9B" w:rsidRDefault="003E78E2" w:rsidP="003E78E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D0D8" w14:textId="410A2957" w:rsidR="00454181" w:rsidRPr="00454181" w:rsidRDefault="00454181">
    <w:pPr>
      <w:pStyle w:val="En-tte"/>
    </w:pPr>
    <w:fldSimple w:instr=" TITLE  \* MERGEFORMAT ">
      <w:r w:rsidR="000D6ED4">
        <w:t>ECE/TRANS/WP.29/GRVA/2023/22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CC79" w14:textId="749EA1C3" w:rsidR="00454181" w:rsidRPr="00454181" w:rsidRDefault="00454181" w:rsidP="00454181">
    <w:pPr>
      <w:pStyle w:val="En-tte"/>
      <w:jc w:val="right"/>
    </w:pPr>
    <w:fldSimple w:instr=" TITLE  \* MERGEFORMAT ">
      <w:r w:rsidR="000D6ED4">
        <w:t>ECE/TRANS/WP.29/GRVA/2023/22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53421372">
    <w:abstractNumId w:val="12"/>
  </w:num>
  <w:num w:numId="2" w16cid:durableId="239756963">
    <w:abstractNumId w:val="11"/>
  </w:num>
  <w:num w:numId="3" w16cid:durableId="416293009">
    <w:abstractNumId w:val="10"/>
  </w:num>
  <w:num w:numId="4" w16cid:durableId="1611006876">
    <w:abstractNumId w:val="8"/>
  </w:num>
  <w:num w:numId="5" w16cid:durableId="743189403">
    <w:abstractNumId w:val="3"/>
  </w:num>
  <w:num w:numId="6" w16cid:durableId="1361710835">
    <w:abstractNumId w:val="2"/>
  </w:num>
  <w:num w:numId="7" w16cid:durableId="455879832">
    <w:abstractNumId w:val="1"/>
  </w:num>
  <w:num w:numId="8" w16cid:durableId="321469412">
    <w:abstractNumId w:val="0"/>
  </w:num>
  <w:num w:numId="9" w16cid:durableId="1382679277">
    <w:abstractNumId w:val="9"/>
  </w:num>
  <w:num w:numId="10" w16cid:durableId="1864244853">
    <w:abstractNumId w:val="7"/>
  </w:num>
  <w:num w:numId="11" w16cid:durableId="1257859275">
    <w:abstractNumId w:val="6"/>
  </w:num>
  <w:num w:numId="12" w16cid:durableId="759328370">
    <w:abstractNumId w:val="5"/>
  </w:num>
  <w:num w:numId="13" w16cid:durableId="101188090">
    <w:abstractNumId w:val="4"/>
  </w:num>
  <w:num w:numId="14" w16cid:durableId="1586647067">
    <w:abstractNumId w:val="12"/>
  </w:num>
  <w:num w:numId="15" w16cid:durableId="884292400">
    <w:abstractNumId w:val="11"/>
  </w:num>
  <w:num w:numId="16" w16cid:durableId="345909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90"/>
    <w:rsid w:val="00017F94"/>
    <w:rsid w:val="00023842"/>
    <w:rsid w:val="000334F9"/>
    <w:rsid w:val="00045FEB"/>
    <w:rsid w:val="0007796D"/>
    <w:rsid w:val="000B7790"/>
    <w:rsid w:val="000D6ED4"/>
    <w:rsid w:val="00111F2F"/>
    <w:rsid w:val="0014365E"/>
    <w:rsid w:val="00143C66"/>
    <w:rsid w:val="00176178"/>
    <w:rsid w:val="001F525A"/>
    <w:rsid w:val="00201148"/>
    <w:rsid w:val="00223272"/>
    <w:rsid w:val="0024779E"/>
    <w:rsid w:val="00257168"/>
    <w:rsid w:val="002744B8"/>
    <w:rsid w:val="002832AC"/>
    <w:rsid w:val="002D7C93"/>
    <w:rsid w:val="00305801"/>
    <w:rsid w:val="003916DE"/>
    <w:rsid w:val="003E78E2"/>
    <w:rsid w:val="00421996"/>
    <w:rsid w:val="00441C3B"/>
    <w:rsid w:val="00446FE5"/>
    <w:rsid w:val="00452396"/>
    <w:rsid w:val="00454181"/>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3029F"/>
    <w:rsid w:val="00A30353"/>
    <w:rsid w:val="00A60D2D"/>
    <w:rsid w:val="00AA4920"/>
    <w:rsid w:val="00AC3823"/>
    <w:rsid w:val="00AD6C4E"/>
    <w:rsid w:val="00AE323C"/>
    <w:rsid w:val="00AF0CB5"/>
    <w:rsid w:val="00B00181"/>
    <w:rsid w:val="00B00B0D"/>
    <w:rsid w:val="00B45F2E"/>
    <w:rsid w:val="00B765F7"/>
    <w:rsid w:val="00B77993"/>
    <w:rsid w:val="00B84C90"/>
    <w:rsid w:val="00BA0CA9"/>
    <w:rsid w:val="00BE4B0A"/>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3556D"/>
  <w15:docId w15:val="{598933B8-D9DE-4170-9754-38D310C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basedOn w:val="Policepardfaut"/>
    <w:link w:val="SingleTxtG"/>
    <w:qFormat/>
    <w:rsid w:val="00454181"/>
    <w:rPr>
      <w:rFonts w:ascii="Times New Roman" w:eastAsiaTheme="minorHAnsi" w:hAnsi="Times New Roman" w:cs="Times New Roman"/>
      <w:sz w:val="20"/>
      <w:szCs w:val="20"/>
      <w:lang w:eastAsia="en-US"/>
    </w:rPr>
  </w:style>
  <w:style w:type="character" w:customStyle="1" w:styleId="HChGChar">
    <w:name w:val="_ H _Ch_G Char"/>
    <w:link w:val="HChG"/>
    <w:rsid w:val="00454181"/>
    <w:rPr>
      <w:rFonts w:ascii="Times New Roman" w:eastAsiaTheme="minorHAnsi" w:hAnsi="Times New Roman" w:cs="Times New Roman"/>
      <w:b/>
      <w:sz w:val="28"/>
      <w:szCs w:val="20"/>
      <w:lang w:eastAsia="en-US"/>
    </w:rPr>
  </w:style>
  <w:style w:type="character" w:customStyle="1" w:styleId="H1GChar">
    <w:name w:val="_ H_1_G Char"/>
    <w:link w:val="H1G"/>
    <w:rsid w:val="00454181"/>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784A-4E24-4983-B374-FCACEDE31131}"/>
</file>

<file path=customXml/itemProps2.xml><?xml version="1.0" encoding="utf-8"?>
<ds:datastoreItem xmlns:ds="http://schemas.openxmlformats.org/officeDocument/2006/customXml" ds:itemID="{076C885C-6BB6-4402-BC4A-567E40800280}"/>
</file>

<file path=docProps/app.xml><?xml version="1.0" encoding="utf-8"?>
<Properties xmlns="http://schemas.openxmlformats.org/officeDocument/2006/extended-properties" xmlns:vt="http://schemas.openxmlformats.org/officeDocument/2006/docPropsVTypes">
  <Template>ECE_TRANS.dotm</Template>
  <TotalTime>3</TotalTime>
  <Pages>7</Pages>
  <Words>2504</Words>
  <Characters>13781</Characters>
  <Application>Microsoft Office Word</Application>
  <DocSecurity>0</DocSecurity>
  <Lines>269</Lines>
  <Paragraphs>104</Paragraphs>
  <ScaleCrop>false</ScaleCrop>
  <HeadingPairs>
    <vt:vector size="2" baseType="variant">
      <vt:variant>
        <vt:lpstr>Titre</vt:lpstr>
      </vt:variant>
      <vt:variant>
        <vt:i4>1</vt:i4>
      </vt:variant>
    </vt:vector>
  </HeadingPairs>
  <TitlesOfParts>
    <vt:vector size="1" baseType="lpstr">
      <vt:lpstr>ECE/TRANS/WP.29/GRVA/2023/22</vt:lpstr>
    </vt:vector>
  </TitlesOfParts>
  <Company>DCM</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ECE/TRANS/WP.29/GRVA/2023/22</dc:title>
  <dc:subject/>
  <dc:creator>Christine CHAUTAGNAT</dc:creator>
  <cp:keywords/>
  <cp:lastModifiedBy>Christine Chautagnat</cp:lastModifiedBy>
  <cp:revision>3</cp:revision>
  <cp:lastPrinted>2023-08-04T15:05:00Z</cp:lastPrinted>
  <dcterms:created xsi:type="dcterms:W3CDTF">2023-08-04T15:05:00Z</dcterms:created>
  <dcterms:modified xsi:type="dcterms:W3CDTF">2023-08-04T15:09:00Z</dcterms:modified>
</cp:coreProperties>
</file>