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520E08B" w14:textId="77777777" w:rsidTr="00387CD4">
        <w:trPr>
          <w:trHeight w:hRule="exact" w:val="851"/>
        </w:trPr>
        <w:tc>
          <w:tcPr>
            <w:tcW w:w="142" w:type="dxa"/>
            <w:tcBorders>
              <w:bottom w:val="single" w:sz="4" w:space="0" w:color="auto"/>
            </w:tcBorders>
          </w:tcPr>
          <w:p w14:paraId="25A4163F" w14:textId="77777777" w:rsidR="002D5AAC" w:rsidRDefault="002D5AAC" w:rsidP="00AE762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2F6346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A45DC4A" w14:textId="12DA2645" w:rsidR="002D5AAC" w:rsidRDefault="00AE7626" w:rsidP="00AE7626">
            <w:pPr>
              <w:jc w:val="right"/>
            </w:pPr>
            <w:r w:rsidRPr="00AE7626">
              <w:rPr>
                <w:sz w:val="40"/>
              </w:rPr>
              <w:t>ECE</w:t>
            </w:r>
            <w:r>
              <w:t>/TRANS/WP.29/GRSG/2023/17</w:t>
            </w:r>
          </w:p>
        </w:tc>
      </w:tr>
      <w:tr w:rsidR="002D5AAC" w:rsidRPr="001C4077" w14:paraId="66A1D88D" w14:textId="77777777" w:rsidTr="00387CD4">
        <w:trPr>
          <w:trHeight w:hRule="exact" w:val="2835"/>
        </w:trPr>
        <w:tc>
          <w:tcPr>
            <w:tcW w:w="1280" w:type="dxa"/>
            <w:gridSpan w:val="2"/>
            <w:tcBorders>
              <w:top w:val="single" w:sz="4" w:space="0" w:color="auto"/>
              <w:bottom w:val="single" w:sz="12" w:space="0" w:color="auto"/>
            </w:tcBorders>
          </w:tcPr>
          <w:p w14:paraId="19531049" w14:textId="77777777" w:rsidR="002D5AAC" w:rsidRDefault="002E5067" w:rsidP="00387CD4">
            <w:pPr>
              <w:spacing w:before="120"/>
              <w:jc w:val="center"/>
            </w:pPr>
            <w:r>
              <w:rPr>
                <w:noProof/>
                <w:lang w:val="fr-CH" w:eastAsia="fr-CH"/>
              </w:rPr>
              <w:drawing>
                <wp:inline distT="0" distB="0" distL="0" distR="0" wp14:anchorId="1B5ED2AA" wp14:editId="1FC4747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2A4878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0F5DD53" w14:textId="77777777" w:rsidR="001C4077" w:rsidRPr="001C4077" w:rsidRDefault="001C4077" w:rsidP="001C4077">
            <w:pPr>
              <w:spacing w:before="240" w:line="240" w:lineRule="exact"/>
              <w:rPr>
                <w:lang w:val="en-US"/>
              </w:rPr>
            </w:pPr>
            <w:r w:rsidRPr="001C4077">
              <w:rPr>
                <w:lang w:val="en-US"/>
              </w:rPr>
              <w:t>Distr.: General</w:t>
            </w:r>
          </w:p>
          <w:p w14:paraId="633886DA" w14:textId="77777777" w:rsidR="001C4077" w:rsidRPr="001C4077" w:rsidRDefault="001C4077" w:rsidP="001C4077">
            <w:pPr>
              <w:spacing w:line="240" w:lineRule="exact"/>
              <w:rPr>
                <w:lang w:val="en-US"/>
              </w:rPr>
            </w:pPr>
            <w:r w:rsidRPr="001C4077">
              <w:rPr>
                <w:lang w:val="en-US"/>
              </w:rPr>
              <w:t>19 July 2023</w:t>
            </w:r>
          </w:p>
          <w:p w14:paraId="0A9A40E6" w14:textId="1DBBAB2A" w:rsidR="001C4077" w:rsidRPr="001C4077" w:rsidRDefault="001C4077" w:rsidP="001C4077">
            <w:pPr>
              <w:spacing w:line="240" w:lineRule="exact"/>
              <w:rPr>
                <w:lang w:val="en-US"/>
              </w:rPr>
            </w:pPr>
            <w:r>
              <w:rPr>
                <w:lang w:val="en-US"/>
              </w:rPr>
              <w:t>Russian</w:t>
            </w:r>
          </w:p>
          <w:p w14:paraId="1CF10D8F" w14:textId="5AB87A04" w:rsidR="00AE7626" w:rsidRPr="001C4077" w:rsidRDefault="001C4077" w:rsidP="001C4077">
            <w:pPr>
              <w:spacing w:line="240" w:lineRule="exact"/>
              <w:rPr>
                <w:lang w:val="en-US"/>
              </w:rPr>
            </w:pPr>
            <w:r w:rsidRPr="001C4077">
              <w:rPr>
                <w:lang w:val="en-US"/>
              </w:rPr>
              <w:t>Original: English</w:t>
            </w:r>
          </w:p>
        </w:tc>
      </w:tr>
    </w:tbl>
    <w:p w14:paraId="69FD7C8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F317206" w14:textId="77777777" w:rsidR="001C4077" w:rsidRPr="00EF4ABB" w:rsidRDefault="001C4077" w:rsidP="001C4077">
      <w:pPr>
        <w:spacing w:before="120"/>
        <w:rPr>
          <w:sz w:val="28"/>
          <w:szCs w:val="28"/>
        </w:rPr>
      </w:pPr>
      <w:r w:rsidRPr="00EF4ABB">
        <w:rPr>
          <w:sz w:val="28"/>
          <w:szCs w:val="28"/>
        </w:rPr>
        <w:t>Комитет по внутреннему транспорту</w:t>
      </w:r>
    </w:p>
    <w:p w14:paraId="56F0443E" w14:textId="77777777" w:rsidR="001C4077" w:rsidRPr="00EF4ABB" w:rsidRDefault="001C4077" w:rsidP="001C4077">
      <w:pPr>
        <w:spacing w:before="120"/>
        <w:rPr>
          <w:b/>
          <w:sz w:val="24"/>
          <w:szCs w:val="24"/>
        </w:rPr>
      </w:pPr>
      <w:r w:rsidRPr="00EF4ABB">
        <w:rPr>
          <w:b/>
          <w:bCs/>
          <w:sz w:val="24"/>
          <w:szCs w:val="24"/>
        </w:rPr>
        <w:t>Всемирный форум для согласования правил</w:t>
      </w:r>
      <w:r w:rsidRPr="00EF4ABB">
        <w:rPr>
          <w:b/>
          <w:bCs/>
          <w:sz w:val="24"/>
          <w:szCs w:val="24"/>
        </w:rPr>
        <w:br/>
        <w:t>в области транспортных средств</w:t>
      </w:r>
    </w:p>
    <w:p w14:paraId="5A76E64C" w14:textId="42B85AE6" w:rsidR="001C4077" w:rsidRPr="00EF4ABB" w:rsidRDefault="001C4077" w:rsidP="001C4077">
      <w:pPr>
        <w:spacing w:before="120"/>
        <w:rPr>
          <w:b/>
        </w:rPr>
      </w:pPr>
      <w:r w:rsidRPr="00EF4ABB">
        <w:rPr>
          <w:b/>
          <w:bCs/>
        </w:rPr>
        <w:t xml:space="preserve">Рабочая группа по общим предписаниям, </w:t>
      </w:r>
      <w:r w:rsidR="00D25AAC">
        <w:rPr>
          <w:b/>
          <w:bCs/>
        </w:rPr>
        <w:br/>
      </w:r>
      <w:r w:rsidRPr="00EF4ABB">
        <w:rPr>
          <w:b/>
          <w:bCs/>
        </w:rPr>
        <w:t>касающимся безопасности</w:t>
      </w:r>
    </w:p>
    <w:p w14:paraId="1E6DE168" w14:textId="77777777" w:rsidR="001C4077" w:rsidRPr="00EF4ABB" w:rsidRDefault="001C4077" w:rsidP="001C4077">
      <w:pPr>
        <w:spacing w:before="120"/>
        <w:rPr>
          <w:b/>
        </w:rPr>
      </w:pPr>
      <w:r w:rsidRPr="00EF4ABB">
        <w:rPr>
          <w:b/>
          <w:bCs/>
        </w:rPr>
        <w:t>Сто двадцать шестая сессия</w:t>
      </w:r>
    </w:p>
    <w:p w14:paraId="786D068E" w14:textId="77777777" w:rsidR="001C4077" w:rsidRPr="00EF4ABB" w:rsidRDefault="001C4077" w:rsidP="001C4077">
      <w:r w:rsidRPr="00EF4ABB">
        <w:t>Женева, 10–13 октября 2023 года</w:t>
      </w:r>
    </w:p>
    <w:p w14:paraId="09A16322" w14:textId="77777777" w:rsidR="001C4077" w:rsidRPr="00EF4ABB" w:rsidRDefault="001C4077" w:rsidP="001C4077">
      <w:r w:rsidRPr="00EF4ABB">
        <w:t>Пункт 1 предварительной повестки дня</w:t>
      </w:r>
    </w:p>
    <w:p w14:paraId="0F64D869" w14:textId="77777777" w:rsidR="001C4077" w:rsidRPr="00EF4ABB" w:rsidRDefault="001C4077" w:rsidP="001C4077">
      <w:pPr>
        <w:rPr>
          <w:b/>
        </w:rPr>
      </w:pPr>
      <w:r w:rsidRPr="00EF4ABB">
        <w:rPr>
          <w:b/>
          <w:bCs/>
        </w:rPr>
        <w:t>Утверждение повестки дня</w:t>
      </w:r>
    </w:p>
    <w:p w14:paraId="2ACEEB71" w14:textId="7E5BB9B9" w:rsidR="001C4077" w:rsidRPr="00D7213D" w:rsidRDefault="001C4077" w:rsidP="001C4077">
      <w:pPr>
        <w:pStyle w:val="HChG"/>
        <w:tabs>
          <w:tab w:val="clear" w:pos="851"/>
        </w:tabs>
        <w:ind w:firstLine="0"/>
      </w:pPr>
      <w:r w:rsidRPr="00EF4ABB">
        <w:t>Предварительная повестка дня сто двадцать шестой сессии</w:t>
      </w:r>
      <w:r w:rsidRPr="00D25AAC">
        <w:rPr>
          <w:rStyle w:val="aa"/>
          <w:b w:val="0"/>
          <w:sz w:val="20"/>
          <w:vertAlign w:val="baseline"/>
        </w:rPr>
        <w:footnoteReference w:customMarkFollows="1" w:id="1"/>
        <w:t>*</w:t>
      </w:r>
      <w:r w:rsidR="00D25AAC" w:rsidRPr="00D25AAC">
        <w:rPr>
          <w:sz w:val="20"/>
        </w:rPr>
        <w:t xml:space="preserve"> </w:t>
      </w:r>
      <w:r w:rsidRPr="00D25AAC">
        <w:rPr>
          <w:rStyle w:val="aa"/>
          <w:b w:val="0"/>
          <w:sz w:val="20"/>
          <w:vertAlign w:val="baseline"/>
        </w:rPr>
        <w:footnoteReference w:customMarkFollows="1" w:id="2"/>
        <w:t>**</w:t>
      </w:r>
      <w:r w:rsidR="00D7213D" w:rsidRPr="00D7213D">
        <w:t>,</w:t>
      </w:r>
    </w:p>
    <w:p w14:paraId="5F2B29D6" w14:textId="62842559" w:rsidR="001C4077" w:rsidRPr="001C4D12" w:rsidRDefault="001C4077" w:rsidP="00D25AAC">
      <w:pPr>
        <w:pStyle w:val="SingleTxtG"/>
      </w:pPr>
      <w:r w:rsidRPr="00EF4ABB">
        <w:t xml:space="preserve">которая состоится во Дворце Наций в Женеве, начнется в 9 ч 30 мин по центральноевропейскому времени во вторник, 10 октября 2023 года, и завершится </w:t>
      </w:r>
      <w:r w:rsidR="00D25AAC">
        <w:br/>
      </w:r>
      <w:r w:rsidRPr="00EF4ABB">
        <w:t>в 12 ч 30 мин 13 октября 2023 года</w:t>
      </w:r>
    </w:p>
    <w:p w14:paraId="15F0E424" w14:textId="77777777" w:rsidR="001C4077" w:rsidRPr="00EF4ABB" w:rsidRDefault="001C4077" w:rsidP="001C4077">
      <w:pPr>
        <w:pStyle w:val="SingleTxtG"/>
        <w:rPr>
          <w:b/>
          <w:bCs/>
        </w:rPr>
      </w:pPr>
      <w:r w:rsidRPr="00EF4ABB">
        <w:br w:type="page"/>
      </w:r>
    </w:p>
    <w:p w14:paraId="556CF40C" w14:textId="77777777" w:rsidR="001C4077" w:rsidRPr="00EF4ABB" w:rsidRDefault="001C4077" w:rsidP="001C4077">
      <w:pPr>
        <w:pStyle w:val="HChG"/>
        <w:tabs>
          <w:tab w:val="clear" w:pos="851"/>
        </w:tabs>
        <w:ind w:hanging="567"/>
      </w:pPr>
      <w:r w:rsidRPr="00EF4ABB">
        <w:rPr>
          <w:bCs/>
        </w:rPr>
        <w:lastRenderedPageBreak/>
        <w:t>I.</w:t>
      </w:r>
      <w:r w:rsidRPr="00EF4ABB">
        <w:tab/>
      </w:r>
      <w:r w:rsidRPr="00EF4ABB">
        <w:rPr>
          <w:bCs/>
        </w:rPr>
        <w:t>Предварительная повестка дня</w:t>
      </w:r>
    </w:p>
    <w:p w14:paraId="4FDB4853" w14:textId="1A61BFEC" w:rsidR="001C4077" w:rsidRPr="00D7213D" w:rsidRDefault="001C4077" w:rsidP="001C4077">
      <w:pPr>
        <w:pStyle w:val="SingleTxtG"/>
        <w:widowControl w:val="0"/>
        <w:spacing w:after="80"/>
        <w:ind w:left="1138"/>
      </w:pPr>
      <w:bookmarkStart w:id="0" w:name="_Hlk29905306"/>
      <w:r w:rsidRPr="00EF4ABB">
        <w:t>1.</w:t>
      </w:r>
      <w:r w:rsidRPr="00EF4ABB">
        <w:tab/>
        <w:t>Утверждение повестки дня</w:t>
      </w:r>
      <w:r w:rsidR="00D7213D" w:rsidRPr="00D7213D">
        <w:t>.</w:t>
      </w:r>
    </w:p>
    <w:p w14:paraId="2A727B6F" w14:textId="77777777" w:rsidR="001C4077" w:rsidRPr="00EF4ABB" w:rsidRDefault="001C4077" w:rsidP="001C4077">
      <w:pPr>
        <w:pStyle w:val="SingleTxtG"/>
        <w:widowControl w:val="0"/>
        <w:spacing w:after="80"/>
        <w:ind w:left="1140"/>
      </w:pPr>
      <w:r w:rsidRPr="00EF4ABB">
        <w:t>2.</w:t>
      </w:r>
      <w:r w:rsidRPr="00EF4ABB">
        <w:tab/>
        <w:t>Поправки к правилам, касающимся городских и междугородных автобусов:</w:t>
      </w:r>
    </w:p>
    <w:p w14:paraId="04F61EA7" w14:textId="5D9E4E44" w:rsidR="001C4077" w:rsidRPr="00EF4ABB" w:rsidRDefault="001C4077" w:rsidP="001C4077">
      <w:pPr>
        <w:pStyle w:val="SingleTxtG"/>
        <w:widowControl w:val="0"/>
        <w:spacing w:after="80"/>
      </w:pPr>
      <w:r w:rsidRPr="00EF4ABB">
        <w:tab/>
        <w:t>Правила № 107 ООН (транспортные средства категорий M</w:t>
      </w:r>
      <w:r w:rsidRPr="00EF4ABB">
        <w:rPr>
          <w:vertAlign w:val="subscript"/>
        </w:rPr>
        <w:t>2</w:t>
      </w:r>
      <w:r w:rsidRPr="00EF4ABB">
        <w:t xml:space="preserve"> и M</w:t>
      </w:r>
      <w:r w:rsidRPr="00EF4ABB">
        <w:rPr>
          <w:vertAlign w:val="subscript"/>
        </w:rPr>
        <w:t>3</w:t>
      </w:r>
      <w:r w:rsidRPr="00EF4ABB">
        <w:t>).</w:t>
      </w:r>
    </w:p>
    <w:p w14:paraId="7102B186" w14:textId="77777777" w:rsidR="001C4077" w:rsidRPr="00EF4ABB" w:rsidRDefault="001C4077" w:rsidP="001C4077">
      <w:pPr>
        <w:pStyle w:val="SingleTxtG"/>
        <w:spacing w:after="80"/>
        <w:ind w:left="1140"/>
      </w:pPr>
      <w:r w:rsidRPr="00EF4ABB">
        <w:t>3.</w:t>
      </w:r>
      <w:r w:rsidRPr="00EF4ABB">
        <w:tab/>
        <w:t xml:space="preserve">Поправки к правилам, касающимся безопасных </w:t>
      </w:r>
      <w:proofErr w:type="spellStart"/>
      <w:r w:rsidRPr="00EF4ABB">
        <w:t>стекловых</w:t>
      </w:r>
      <w:proofErr w:type="spellEnd"/>
      <w:r w:rsidRPr="00EF4ABB">
        <w:t xml:space="preserve"> материалов:</w:t>
      </w:r>
    </w:p>
    <w:p w14:paraId="0F615F1D" w14:textId="77777777" w:rsidR="001C4077" w:rsidRPr="00EF4ABB" w:rsidRDefault="001C4077" w:rsidP="001C4077">
      <w:pPr>
        <w:pStyle w:val="SingleTxtG"/>
        <w:spacing w:after="80"/>
        <w:ind w:left="2268" w:hanging="567"/>
      </w:pPr>
      <w:r w:rsidRPr="00EF4ABB">
        <w:t>a)</w:t>
      </w:r>
      <w:r w:rsidRPr="00EF4ABB">
        <w:tab/>
        <w:t xml:space="preserve">Глобальные технические правила № 6 ООН (безопасные </w:t>
      </w:r>
      <w:proofErr w:type="spellStart"/>
      <w:r w:rsidRPr="00EF4ABB">
        <w:t>стекловые</w:t>
      </w:r>
      <w:proofErr w:type="spellEnd"/>
      <w:r w:rsidRPr="00EF4ABB">
        <w:t xml:space="preserve"> материалы);</w:t>
      </w:r>
    </w:p>
    <w:p w14:paraId="258A91B6" w14:textId="77777777" w:rsidR="001C4077" w:rsidRPr="00EF4ABB" w:rsidRDefault="001C4077" w:rsidP="001C4077">
      <w:pPr>
        <w:pStyle w:val="SingleTxtG"/>
        <w:spacing w:after="80"/>
        <w:ind w:left="1140" w:firstLine="561"/>
      </w:pPr>
      <w:r w:rsidRPr="00EF4ABB">
        <w:t>b)</w:t>
      </w:r>
      <w:r w:rsidRPr="00EF4ABB">
        <w:tab/>
        <w:t xml:space="preserve">Правила № 43 ООН (безопасные </w:t>
      </w:r>
      <w:proofErr w:type="spellStart"/>
      <w:r w:rsidRPr="00EF4ABB">
        <w:t>стекловые</w:t>
      </w:r>
      <w:proofErr w:type="spellEnd"/>
      <w:r w:rsidRPr="00EF4ABB">
        <w:t xml:space="preserve"> материалы).</w:t>
      </w:r>
    </w:p>
    <w:p w14:paraId="5004B31B" w14:textId="77777777" w:rsidR="001C4077" w:rsidRPr="00EF4ABB" w:rsidRDefault="001C4077" w:rsidP="001C4077">
      <w:pPr>
        <w:pStyle w:val="SingleTxtG"/>
        <w:spacing w:after="80"/>
        <w:ind w:left="1700" w:hanging="560"/>
      </w:pPr>
      <w:r w:rsidRPr="00EF4ABB">
        <w:t>4.</w:t>
      </w:r>
      <w:r w:rsidRPr="00EF4ABB">
        <w:tab/>
        <w:t>Предупреждение о присутствии уязвимых участников дорожного движения в непосредственной близости:</w:t>
      </w:r>
    </w:p>
    <w:p w14:paraId="5F57F14B" w14:textId="77777777" w:rsidR="001C4077" w:rsidRPr="00EF4ABB" w:rsidRDefault="001C4077" w:rsidP="001C4077">
      <w:pPr>
        <w:pStyle w:val="SingleTxtG"/>
        <w:spacing w:after="80"/>
        <w:ind w:left="1701"/>
      </w:pPr>
      <w:r w:rsidRPr="00EF4ABB">
        <w:t>a)</w:t>
      </w:r>
      <w:r w:rsidRPr="00EF4ABB">
        <w:tab/>
        <w:t>Правила № 46 ООН (устройства непрямого обзора);</w:t>
      </w:r>
    </w:p>
    <w:p w14:paraId="4BD0A5F5" w14:textId="77777777" w:rsidR="001C4077" w:rsidRPr="00EF4ABB" w:rsidRDefault="001C4077" w:rsidP="001C4077">
      <w:pPr>
        <w:pStyle w:val="SingleTxtG"/>
        <w:spacing w:after="80"/>
        <w:ind w:left="1701"/>
      </w:pPr>
      <w:r w:rsidRPr="00EF4ABB">
        <w:t>b)</w:t>
      </w:r>
      <w:r w:rsidRPr="00EF4ABB">
        <w:tab/>
        <w:t>Правила № 158 ООН (движение задним ходом);</w:t>
      </w:r>
    </w:p>
    <w:p w14:paraId="1E7B8E6F" w14:textId="77777777" w:rsidR="001C4077" w:rsidRPr="00EF4ABB" w:rsidRDefault="001C4077" w:rsidP="001C4077">
      <w:pPr>
        <w:pStyle w:val="SingleTxtG"/>
        <w:spacing w:after="80"/>
        <w:ind w:left="1140" w:firstLine="561"/>
      </w:pPr>
      <w:r w:rsidRPr="00EF4ABB">
        <w:t>c)</w:t>
      </w:r>
      <w:r w:rsidRPr="00EF4ABB">
        <w:tab/>
        <w:t>Правила № 159 ООН (система информирования при трогании с места);</w:t>
      </w:r>
    </w:p>
    <w:p w14:paraId="0513F76B" w14:textId="77777777" w:rsidR="001C4077" w:rsidRPr="00EF4ABB" w:rsidRDefault="001C4077" w:rsidP="001C4077">
      <w:pPr>
        <w:pStyle w:val="SingleTxtG"/>
        <w:spacing w:after="80"/>
        <w:ind w:left="2250" w:hanging="549"/>
      </w:pPr>
      <w:r w:rsidRPr="00EF4ABB">
        <w:t>d)</w:t>
      </w:r>
      <w:r w:rsidRPr="00EF4ABB">
        <w:tab/>
        <w:t>Правила № 166 ООН (присутствие уязвимых участников дорожного движения в непосредственной близости спереди и сбоку);</w:t>
      </w:r>
    </w:p>
    <w:p w14:paraId="6A077519" w14:textId="77777777" w:rsidR="001C4077" w:rsidRPr="00EF4ABB" w:rsidRDefault="001C4077" w:rsidP="001C4077">
      <w:pPr>
        <w:pStyle w:val="SingleTxtG"/>
        <w:spacing w:after="80"/>
        <w:ind w:left="2250" w:hanging="549"/>
      </w:pPr>
      <w:r w:rsidRPr="00EF4ABB">
        <w:t>e)</w:t>
      </w:r>
      <w:r w:rsidRPr="00EF4ABB">
        <w:tab/>
        <w:t>Правила № 167 ООН (прямой обзор уязвимых участников дорожного движения).</w:t>
      </w:r>
      <w:bookmarkStart w:id="1" w:name="_Hlk123552663"/>
      <w:bookmarkEnd w:id="1"/>
    </w:p>
    <w:p w14:paraId="3B2426E2" w14:textId="77777777" w:rsidR="001C4077" w:rsidRPr="00EF4ABB" w:rsidRDefault="001C4077" w:rsidP="001C4077">
      <w:pPr>
        <w:pStyle w:val="SingleTxtG"/>
        <w:spacing w:after="80"/>
        <w:ind w:left="1140"/>
      </w:pPr>
      <w:r w:rsidRPr="00EF4ABB">
        <w:t>5.</w:t>
      </w:r>
      <w:r w:rsidRPr="00EF4ABB">
        <w:tab/>
        <w:t>Поправки к правилам, касающимся наружных выступов:</w:t>
      </w:r>
    </w:p>
    <w:p w14:paraId="74F48E08" w14:textId="77777777" w:rsidR="001C4077" w:rsidRPr="00EF4ABB" w:rsidRDefault="001C4077" w:rsidP="001C4077">
      <w:pPr>
        <w:pStyle w:val="SingleTxtG"/>
        <w:spacing w:after="80"/>
        <w:ind w:left="1140" w:firstLine="561"/>
      </w:pPr>
      <w:r w:rsidRPr="00EF4ABB">
        <w:t>a)</w:t>
      </w:r>
      <w:r w:rsidRPr="00EF4ABB">
        <w:tab/>
        <w:t>Правила № 26 ООН (наружные выступы легковых автомобилей);</w:t>
      </w:r>
    </w:p>
    <w:p w14:paraId="64F9B241" w14:textId="77777777" w:rsidR="001C4077" w:rsidRPr="00EF4ABB" w:rsidRDefault="001C4077" w:rsidP="001C4077">
      <w:pPr>
        <w:pStyle w:val="SingleTxtG"/>
        <w:spacing w:after="80"/>
        <w:ind w:left="2268" w:hanging="567"/>
      </w:pPr>
      <w:r w:rsidRPr="00EF4ABB">
        <w:t>b)</w:t>
      </w:r>
      <w:r w:rsidRPr="00EF4ABB">
        <w:tab/>
        <w:t>Правила № 61 ООН (наружные выступы грузовых транспортных средств).</w:t>
      </w:r>
    </w:p>
    <w:p w14:paraId="5A385070" w14:textId="77777777" w:rsidR="001C4077" w:rsidRPr="00EF4ABB" w:rsidRDefault="001C4077" w:rsidP="001C4077">
      <w:pPr>
        <w:pStyle w:val="SingleTxtG"/>
        <w:spacing w:after="80"/>
        <w:ind w:left="1140"/>
      </w:pPr>
      <w:r w:rsidRPr="00EF4ABB">
        <w:t>6.</w:t>
      </w:r>
      <w:r w:rsidRPr="00EF4ABB">
        <w:tab/>
        <w:t>Правила № 39 ООН (механизм для измерения скорости и одометр).</w:t>
      </w:r>
    </w:p>
    <w:p w14:paraId="3D72B6F3" w14:textId="77777777" w:rsidR="001C4077" w:rsidRPr="00EF4ABB" w:rsidRDefault="001C4077" w:rsidP="001C4077">
      <w:pPr>
        <w:pStyle w:val="SingleTxtG"/>
        <w:spacing w:after="80"/>
        <w:ind w:left="1140"/>
      </w:pPr>
      <w:r w:rsidRPr="00EF4ABB">
        <w:t>7.</w:t>
      </w:r>
      <w:r w:rsidRPr="00EF4ABB">
        <w:tab/>
        <w:t>Правила № 55 ООН (механические сцепные устройства).</w:t>
      </w:r>
    </w:p>
    <w:p w14:paraId="74E14F15" w14:textId="77777777" w:rsidR="001C4077" w:rsidRPr="00EF4ABB" w:rsidRDefault="001C4077" w:rsidP="001C4077">
      <w:pPr>
        <w:pStyle w:val="SingleTxtG"/>
        <w:spacing w:after="80"/>
        <w:ind w:left="1140"/>
      </w:pPr>
      <w:r w:rsidRPr="00EF4ABB">
        <w:t>8.</w:t>
      </w:r>
      <w:r w:rsidRPr="00EF4ABB">
        <w:tab/>
        <w:t>Правила № 66 ООН (прочность силовой структуры (автобусы)).</w:t>
      </w:r>
    </w:p>
    <w:p w14:paraId="02A3CB6C" w14:textId="77777777" w:rsidR="001C4077" w:rsidRPr="00EF4ABB" w:rsidRDefault="001C4077" w:rsidP="001C4077">
      <w:pPr>
        <w:pStyle w:val="SingleTxtG"/>
        <w:spacing w:after="80"/>
        <w:ind w:left="1140"/>
      </w:pPr>
      <w:r w:rsidRPr="00EF4ABB">
        <w:t>9.</w:t>
      </w:r>
      <w:r w:rsidRPr="00EF4ABB">
        <w:tab/>
        <w:t>Поправки к правилам, касающимся газомоторных транспортных средств:</w:t>
      </w:r>
    </w:p>
    <w:p w14:paraId="60BFAC33" w14:textId="77777777" w:rsidR="001C4077" w:rsidRPr="00EF4ABB" w:rsidRDefault="001C4077" w:rsidP="001C4077">
      <w:pPr>
        <w:pStyle w:val="SingleTxtG"/>
        <w:spacing w:after="80"/>
        <w:ind w:left="2265" w:hanging="564"/>
      </w:pPr>
      <w:r w:rsidRPr="00EF4ABB">
        <w:t>a)</w:t>
      </w:r>
      <w:r w:rsidRPr="00EF4ABB">
        <w:tab/>
        <w:t>Правила № 67 ООН (транспортные средства, работающие на сжиженном нефтяном газе);</w:t>
      </w:r>
    </w:p>
    <w:p w14:paraId="343E02B0" w14:textId="77777777" w:rsidR="001C4077" w:rsidRPr="00EF4ABB" w:rsidRDefault="001C4077" w:rsidP="001C4077">
      <w:pPr>
        <w:pStyle w:val="SingleTxtG"/>
        <w:spacing w:after="80"/>
        <w:ind w:left="2265" w:hanging="1125"/>
      </w:pPr>
      <w:r w:rsidRPr="00EF4ABB">
        <w:tab/>
        <w:t>b)</w:t>
      </w:r>
      <w:r w:rsidRPr="00EF4ABB">
        <w:tab/>
        <w:t>Правила № 110 ООН (транспортные средства, работающие на компримированном природном газе и сжиженном природном газе).</w:t>
      </w:r>
    </w:p>
    <w:p w14:paraId="49F9E278" w14:textId="77777777" w:rsidR="001C4077" w:rsidRPr="00EF4ABB" w:rsidRDefault="001C4077" w:rsidP="001C4077">
      <w:pPr>
        <w:pStyle w:val="SingleTxtG"/>
        <w:spacing w:after="80"/>
        <w:ind w:left="1140"/>
      </w:pPr>
      <w:bookmarkStart w:id="2" w:name="_Hlk123551457"/>
      <w:r w:rsidRPr="00EF4ABB">
        <w:t>10.</w:t>
      </w:r>
      <w:r w:rsidRPr="00EF4ABB">
        <w:tab/>
        <w:t>Правила № 122 ООН (системы отопления).</w:t>
      </w:r>
    </w:p>
    <w:bookmarkEnd w:id="2"/>
    <w:p w14:paraId="1271E8D8" w14:textId="77777777" w:rsidR="001C4077" w:rsidRPr="00EF4ABB" w:rsidRDefault="001C4077" w:rsidP="001C4077">
      <w:pPr>
        <w:pStyle w:val="SingleTxtG"/>
        <w:spacing w:after="80"/>
        <w:ind w:left="1140"/>
      </w:pPr>
      <w:r w:rsidRPr="00EF4ABB">
        <w:t>11.</w:t>
      </w:r>
      <w:r w:rsidRPr="00EF4ABB">
        <w:tab/>
        <w:t>Правила № 125 ООН (поле обзора водителя спереди).</w:t>
      </w:r>
    </w:p>
    <w:p w14:paraId="36FE5261" w14:textId="77777777" w:rsidR="001C4077" w:rsidRPr="00EF4ABB" w:rsidRDefault="001C4077" w:rsidP="001C4077">
      <w:pPr>
        <w:pStyle w:val="SingleTxtG"/>
        <w:spacing w:after="80"/>
        <w:ind w:left="1140"/>
      </w:pPr>
      <w:r w:rsidRPr="00EF4ABB">
        <w:t>12.</w:t>
      </w:r>
      <w:r w:rsidRPr="00EF4ABB">
        <w:tab/>
        <w:t>Регистратор данных о событиях:</w:t>
      </w:r>
    </w:p>
    <w:p w14:paraId="55AB17A6" w14:textId="77777777" w:rsidR="001C4077" w:rsidRPr="00EF4ABB" w:rsidRDefault="001C4077" w:rsidP="001C4077">
      <w:pPr>
        <w:pStyle w:val="SingleTxtG"/>
        <w:spacing w:after="80"/>
        <w:ind w:left="2268" w:hanging="561"/>
      </w:pPr>
      <w:r w:rsidRPr="00EF4ABB">
        <w:t>a)</w:t>
      </w:r>
      <w:r w:rsidRPr="00EF4ABB">
        <w:tab/>
        <w:t>Руководящие указания в отношении эксплуатационных характеристик регистраторов данных о событиях, которые могут быть приняты в рамках резолюций и правил, касающихся соглашений 1958 и 1998 годов;</w:t>
      </w:r>
    </w:p>
    <w:p w14:paraId="1FB70EED" w14:textId="77777777" w:rsidR="001C4077" w:rsidRPr="00EF4ABB" w:rsidRDefault="001C4077" w:rsidP="001C4077">
      <w:pPr>
        <w:pStyle w:val="SingleTxtG"/>
        <w:spacing w:after="80"/>
        <w:ind w:left="1701"/>
      </w:pPr>
      <w:r w:rsidRPr="00EF4ABB">
        <w:t>b)</w:t>
      </w:r>
      <w:r w:rsidRPr="00EF4ABB">
        <w:tab/>
        <w:t>Правила № 160 ООН (регистратор данных о событиях);</w:t>
      </w:r>
    </w:p>
    <w:p w14:paraId="4CC468D9" w14:textId="77777777" w:rsidR="001C4077" w:rsidRPr="00EF4ABB" w:rsidRDefault="001C4077" w:rsidP="001C4077">
      <w:pPr>
        <w:pStyle w:val="SingleTxtG"/>
        <w:spacing w:after="80"/>
        <w:ind w:left="2268" w:hanging="567"/>
      </w:pPr>
      <w:r w:rsidRPr="00EF4ABB">
        <w:t>c)</w:t>
      </w:r>
      <w:r w:rsidRPr="00EF4ABB">
        <w:tab/>
        <w:t>новые правила ООН, касающиеся регистратора данных о событиях для транспортных средств большой грузоподъемности.</w:t>
      </w:r>
    </w:p>
    <w:p w14:paraId="25F72300" w14:textId="77777777" w:rsidR="001C4077" w:rsidRPr="00EF4ABB" w:rsidRDefault="001C4077" w:rsidP="001C4077">
      <w:pPr>
        <w:pStyle w:val="SingleTxtG"/>
        <w:spacing w:after="80"/>
        <w:ind w:left="1700" w:hanging="560"/>
      </w:pPr>
      <w:r w:rsidRPr="00EF4ABB">
        <w:t>13.</w:t>
      </w:r>
      <w:r w:rsidRPr="00EF4ABB">
        <w:tab/>
        <w:t>Правила № 0 ООН (международная система официального утверждения типа комплектного транспортного средства).</w:t>
      </w:r>
    </w:p>
    <w:p w14:paraId="15068C7F" w14:textId="77777777" w:rsidR="001C4077" w:rsidRPr="00EF4ABB" w:rsidRDefault="001C4077" w:rsidP="001C4077">
      <w:pPr>
        <w:pStyle w:val="SingleTxtG"/>
        <w:spacing w:after="80"/>
        <w:ind w:left="1140"/>
      </w:pPr>
      <w:r w:rsidRPr="00EF4ABB">
        <w:t>14.</w:t>
      </w:r>
      <w:r w:rsidRPr="00EF4ABB">
        <w:tab/>
        <w:t>Сводная резолюция о конструкции транспортных средств.</w:t>
      </w:r>
    </w:p>
    <w:p w14:paraId="3748A147" w14:textId="77777777" w:rsidR="001C4077" w:rsidRPr="00EF4ABB" w:rsidRDefault="001C4077" w:rsidP="001C4077">
      <w:pPr>
        <w:pStyle w:val="SingleTxtG"/>
        <w:spacing w:after="80"/>
        <w:ind w:left="1710" w:hanging="570"/>
      </w:pPr>
      <w:r w:rsidRPr="00EF4ABB">
        <w:t>15.</w:t>
      </w:r>
      <w:r w:rsidRPr="00EF4ABB">
        <w:tab/>
        <w:t>Специальная резолюция № 1, касающаяся общих определений категорий, масс и размеров транспортных средств.</w:t>
      </w:r>
    </w:p>
    <w:p w14:paraId="78600305" w14:textId="77777777" w:rsidR="001C4077" w:rsidRPr="00EF4ABB" w:rsidRDefault="001C4077" w:rsidP="001C4077">
      <w:pPr>
        <w:pStyle w:val="SingleTxtG"/>
        <w:spacing w:after="80"/>
        <w:ind w:left="1140"/>
      </w:pPr>
      <w:r w:rsidRPr="00EF4ABB">
        <w:t>16.</w:t>
      </w:r>
      <w:r w:rsidRPr="00EF4ABB">
        <w:tab/>
        <w:t>Обмен мнениями по вопросу об автоматизации транспортных средств.</w:t>
      </w:r>
    </w:p>
    <w:p w14:paraId="1660DC0B" w14:textId="77777777" w:rsidR="001C4077" w:rsidRPr="00EF4ABB" w:rsidRDefault="001C4077" w:rsidP="001C4077">
      <w:pPr>
        <w:pStyle w:val="SingleTxtG"/>
        <w:spacing w:after="80"/>
        <w:ind w:left="1140"/>
      </w:pPr>
      <w:r w:rsidRPr="00EF4ABB">
        <w:t>17.</w:t>
      </w:r>
      <w:r w:rsidRPr="00EF4ABB">
        <w:tab/>
        <w:t>Выборы должностных лиц.</w:t>
      </w:r>
    </w:p>
    <w:p w14:paraId="1CE643FA" w14:textId="77777777" w:rsidR="001C4077" w:rsidRPr="00EF4ABB" w:rsidRDefault="001C4077" w:rsidP="001C4077">
      <w:pPr>
        <w:pStyle w:val="SingleTxtG"/>
        <w:spacing w:after="80"/>
        <w:ind w:left="1140"/>
      </w:pPr>
      <w:r w:rsidRPr="00EF4ABB">
        <w:t>18.</w:t>
      </w:r>
      <w:r w:rsidRPr="00EF4ABB">
        <w:tab/>
        <w:t>Прочие вопросы:</w:t>
      </w:r>
    </w:p>
    <w:p w14:paraId="48CA8737" w14:textId="77777777" w:rsidR="001C4077" w:rsidRPr="00EF4ABB" w:rsidRDefault="001C4077" w:rsidP="001C4077">
      <w:pPr>
        <w:pStyle w:val="SingleTxtG"/>
        <w:spacing w:after="80"/>
        <w:ind w:left="2268" w:hanging="567"/>
      </w:pPr>
      <w:r w:rsidRPr="00EF4ABB">
        <w:lastRenderedPageBreak/>
        <w:t>a)</w:t>
      </w:r>
      <w:r w:rsidRPr="00EF4ABB">
        <w:tab/>
        <w:t>обмен мнениями о будущей деятельности Рабочей группы по общим предписаниям, касающимся безопасности;</w:t>
      </w:r>
    </w:p>
    <w:p w14:paraId="1CB22811" w14:textId="77777777" w:rsidR="001C4077" w:rsidRPr="00EF4ABB" w:rsidRDefault="001C4077" w:rsidP="001C4077">
      <w:pPr>
        <w:pStyle w:val="SingleTxtG"/>
        <w:spacing w:after="80"/>
        <w:ind w:left="1701"/>
      </w:pPr>
      <w:r w:rsidRPr="00EF4ABB">
        <w:t>b)</w:t>
      </w:r>
      <w:r w:rsidRPr="00EF4ABB">
        <w:tab/>
        <w:t>периодические технические осмотры;</w:t>
      </w:r>
    </w:p>
    <w:p w14:paraId="79B7DAE8" w14:textId="77777777" w:rsidR="001C4077" w:rsidRPr="00EF4ABB" w:rsidRDefault="001C4077" w:rsidP="001C4077">
      <w:pPr>
        <w:pStyle w:val="SingleTxtG"/>
        <w:spacing w:after="80"/>
        <w:ind w:left="2268" w:hanging="567"/>
      </w:pPr>
      <w:r w:rsidRPr="00507C47">
        <w:t>c)</w:t>
      </w:r>
      <w:r w:rsidRPr="00507C47">
        <w:tab/>
        <w:t>основные вопросы, рассмотренные на сессиях Всемирного форума для согласования правил в области транспортных средств, состоявшихся в ноябре 2022 года и марте 2023 года;</w:t>
      </w:r>
    </w:p>
    <w:p w14:paraId="1D55E21B" w14:textId="77777777" w:rsidR="001C4077" w:rsidRPr="00EF4ABB" w:rsidRDefault="001C4077" w:rsidP="001C4077">
      <w:pPr>
        <w:pStyle w:val="SingleTxtG"/>
        <w:spacing w:after="80"/>
        <w:ind w:left="1701"/>
      </w:pPr>
      <w:r w:rsidRPr="00EF4ABB">
        <w:t>d)</w:t>
      </w:r>
      <w:r w:rsidRPr="00EF4ABB">
        <w:tab/>
        <w:t>объемный механизм определения точки Н;</w:t>
      </w:r>
    </w:p>
    <w:p w14:paraId="02CFE7F9" w14:textId="77777777" w:rsidR="001C4077" w:rsidRPr="00EF4ABB" w:rsidRDefault="001C4077" w:rsidP="001C4077">
      <w:pPr>
        <w:pStyle w:val="SingleTxtG"/>
        <w:spacing w:after="80"/>
        <w:ind w:left="1701"/>
      </w:pPr>
      <w:r w:rsidRPr="00EF4ABB">
        <w:t>e)</w:t>
      </w:r>
      <w:r w:rsidRPr="00EF4ABB">
        <w:tab/>
        <w:t>прочие вопросы.</w:t>
      </w:r>
    </w:p>
    <w:bookmarkEnd w:id="0"/>
    <w:p w14:paraId="7D02FDD7" w14:textId="77777777" w:rsidR="001C4077" w:rsidRPr="00EF4ABB" w:rsidRDefault="001C4077" w:rsidP="001C4077">
      <w:pPr>
        <w:pStyle w:val="HChG"/>
      </w:pPr>
      <w:r w:rsidRPr="00EF4ABB">
        <w:rPr>
          <w:bCs/>
        </w:rPr>
        <w:tab/>
        <w:t>II.</w:t>
      </w:r>
      <w:r w:rsidRPr="00EF4ABB">
        <w:tab/>
      </w:r>
      <w:r w:rsidRPr="00EF4ABB">
        <w:tab/>
      </w:r>
      <w:r w:rsidRPr="00EF4ABB">
        <w:rPr>
          <w:bCs/>
        </w:rPr>
        <w:t>Аннотации</w:t>
      </w:r>
    </w:p>
    <w:p w14:paraId="76D11EC2" w14:textId="77777777" w:rsidR="001C4077" w:rsidRPr="00EF4ABB" w:rsidRDefault="001C4077" w:rsidP="001C4077">
      <w:pPr>
        <w:pStyle w:val="H1G"/>
      </w:pPr>
      <w:r w:rsidRPr="00EF4ABB">
        <w:rPr>
          <w:bCs/>
        </w:rPr>
        <w:tab/>
        <w:t>1.</w:t>
      </w:r>
      <w:r w:rsidRPr="00EF4ABB">
        <w:tab/>
      </w:r>
      <w:r w:rsidRPr="00EF4ABB">
        <w:rPr>
          <w:bCs/>
        </w:rPr>
        <w:t>Утверждение повестки дня</w:t>
      </w:r>
    </w:p>
    <w:p w14:paraId="4F9600C5" w14:textId="77777777" w:rsidR="001C4077" w:rsidRPr="00EF4ABB" w:rsidRDefault="001C4077" w:rsidP="001C4077">
      <w:pPr>
        <w:pStyle w:val="SingleTxtG"/>
        <w:spacing w:before="120"/>
        <w:ind w:left="1137"/>
        <w:rPr>
          <w:spacing w:val="-2"/>
        </w:rPr>
      </w:pPr>
      <w:r w:rsidRPr="00EF4ABB">
        <w:tab/>
        <w:t>В соответствии с правилом 7 главы III правил процедуры (ECE/TRANS/WP.29/690/Rev.2) Всемирного форума для согласования правил в области транспортных средств (WP.29) первым пунктом предварительной повестки дня является утверждение повестки дня.</w:t>
      </w:r>
    </w:p>
    <w:p w14:paraId="48A86EFE" w14:textId="77777777" w:rsidR="001C4077" w:rsidRPr="00EF4ABB" w:rsidRDefault="001C4077" w:rsidP="001C4077">
      <w:pPr>
        <w:pStyle w:val="af3"/>
        <w:ind w:left="1137"/>
        <w:rPr>
          <w:lang w:val="ru-RU"/>
        </w:rPr>
      </w:pPr>
      <w:r w:rsidRPr="00EF4ABB">
        <w:rPr>
          <w:b/>
          <w:bCs/>
          <w:lang w:val="ru-RU"/>
        </w:rPr>
        <w:t>Документация:</w:t>
      </w:r>
      <w:r w:rsidRPr="00EF4ABB">
        <w:rPr>
          <w:lang w:val="ru-RU"/>
        </w:rPr>
        <w:tab/>
        <w:t>ECE/TRANS/WP.29/GRSG/2023/17</w:t>
      </w:r>
    </w:p>
    <w:p w14:paraId="00B6CF8F" w14:textId="77777777" w:rsidR="001C4077" w:rsidRPr="00EF4ABB" w:rsidRDefault="001C4077" w:rsidP="001C4077">
      <w:pPr>
        <w:pStyle w:val="H1G"/>
      </w:pPr>
      <w:r w:rsidRPr="00EF4ABB">
        <w:rPr>
          <w:bCs/>
        </w:rPr>
        <w:tab/>
        <w:t>2.</w:t>
      </w:r>
      <w:r w:rsidRPr="00EF4ABB">
        <w:tab/>
      </w:r>
      <w:r w:rsidRPr="00EF4ABB">
        <w:rPr>
          <w:bCs/>
        </w:rPr>
        <w:t>Поправки к правилам, касающимся городских и междугородных автобусов</w:t>
      </w:r>
    </w:p>
    <w:p w14:paraId="004546CB" w14:textId="77777777" w:rsidR="001C4077" w:rsidRPr="00EF4ABB" w:rsidRDefault="001C4077" w:rsidP="001C4077">
      <w:pPr>
        <w:pStyle w:val="H23G"/>
        <w:rPr>
          <w:color w:val="000000" w:themeColor="text1"/>
        </w:rPr>
      </w:pPr>
      <w:r w:rsidRPr="00EF4ABB">
        <w:tab/>
      </w:r>
      <w:r w:rsidRPr="00EF4ABB">
        <w:tab/>
        <w:t>Правила № 107 ООН (транспортные средства категорий M</w:t>
      </w:r>
      <w:r w:rsidRPr="00EF4ABB">
        <w:rPr>
          <w:vertAlign w:val="subscript"/>
        </w:rPr>
        <w:t>2</w:t>
      </w:r>
      <w:r w:rsidRPr="00EF4ABB">
        <w:t xml:space="preserve"> и M</w:t>
      </w:r>
      <w:r w:rsidRPr="00EF4ABB">
        <w:rPr>
          <w:vertAlign w:val="subscript"/>
        </w:rPr>
        <w:t>3</w:t>
      </w:r>
      <w:r w:rsidRPr="00EF4ABB">
        <w:t>)</w:t>
      </w:r>
    </w:p>
    <w:p w14:paraId="7CB982CE" w14:textId="10F1870B" w:rsidR="001C4077" w:rsidRPr="00EF4ABB" w:rsidRDefault="00D25AAC" w:rsidP="00D25AAC">
      <w:pPr>
        <w:pStyle w:val="SingleTxtG"/>
        <w:rPr>
          <w:color w:val="000000" w:themeColor="text1"/>
        </w:rPr>
      </w:pPr>
      <w:r>
        <w:tab/>
      </w:r>
      <w:r w:rsidR="001C4077" w:rsidRPr="00EF4ABB">
        <w:t xml:space="preserve">Рабочая группа по общим предписаниям, касающимся безопасности (GRSG), возможно, пожелает заслушать сообщение экспертов Рабочей группы по пассивной безопасности (GRSP) об итогах недавних совещаний неофициальной рабочей группы (НРГ) по обеспечению безопасности детей в городских и междугородных автобусах и о принятии правил ООН, касающихся этого вопроса, на сессии GRSP в мае 2023 года. Кроме того, GRSG, возможно, пожелает рассмотреть круг ведения </w:t>
      </w:r>
      <w:r w:rsidR="001C4077">
        <w:t>в рамках</w:t>
      </w:r>
      <w:r w:rsidR="001C4077" w:rsidRPr="00EF4ABB">
        <w:t xml:space="preserve"> второго этапа </w:t>
      </w:r>
      <w:r w:rsidR="001C4077">
        <w:t>работы</w:t>
      </w:r>
      <w:r w:rsidR="001C4077" w:rsidRPr="00EF4ABB">
        <w:t xml:space="preserve"> НРГ, подготовленный этой группой для представления замечаний.</w:t>
      </w:r>
    </w:p>
    <w:p w14:paraId="73DC12DA" w14:textId="77777777" w:rsidR="001C4077" w:rsidRPr="00EF4ABB" w:rsidRDefault="001C4077" w:rsidP="001C4077">
      <w:pPr>
        <w:pStyle w:val="SingleTxtG"/>
        <w:widowControl w:val="0"/>
        <w:spacing w:before="120"/>
        <w:ind w:left="1143" w:firstLine="558"/>
        <w:rPr>
          <w:color w:val="000000" w:themeColor="text1"/>
        </w:rPr>
      </w:pPr>
      <w:r w:rsidRPr="00EF4ABB">
        <w:t>GRSG решила продолжить обсуждение спецификаций для автономных челночных транспортных средств в целях рассмотрения вопроса о применимости существующих требований или о введении новых категорий для таких транспортных средств.</w:t>
      </w:r>
    </w:p>
    <w:p w14:paraId="5CCC2CDB" w14:textId="77777777" w:rsidR="001C4077" w:rsidRPr="00EF4ABB" w:rsidRDefault="001C4077" w:rsidP="001C4077">
      <w:pPr>
        <w:pStyle w:val="SingleTxtG"/>
        <w:widowControl w:val="0"/>
        <w:spacing w:before="120"/>
        <w:ind w:left="1143" w:firstLine="558"/>
      </w:pPr>
      <w:r w:rsidRPr="00EF4ABB">
        <w:t>GRSG также решила возобновить обсуждение вопроса об отсутствии средств передней защиты водителя и туристического гида в случае лобового столкновения</w:t>
      </w:r>
      <w:r>
        <w:t xml:space="preserve"> на основе</w:t>
      </w:r>
      <w:r w:rsidRPr="00EF4ABB">
        <w:t xml:space="preserve"> результат</w:t>
      </w:r>
      <w:r>
        <w:t>ов</w:t>
      </w:r>
      <w:r w:rsidRPr="00EF4ABB">
        <w:t xml:space="preserve"> работы своих экспертов и экспертов GRSP. </w:t>
      </w:r>
    </w:p>
    <w:p w14:paraId="1FE1AA8C" w14:textId="77777777" w:rsidR="001C4077" w:rsidRPr="00EF4ABB" w:rsidRDefault="001C4077" w:rsidP="001C4077">
      <w:pPr>
        <w:pStyle w:val="SingleTxtG"/>
        <w:widowControl w:val="0"/>
        <w:spacing w:before="120"/>
        <w:ind w:left="1143" w:firstLine="558"/>
        <w:rPr>
          <w:color w:val="000000" w:themeColor="text1"/>
        </w:rPr>
      </w:pPr>
      <w:r w:rsidRPr="00EF4ABB">
        <w:t>Наконец, GRSG приняла решение возобновить обсуждение вопроса о доступности городских автобусов для людей с инвалидностью на основе отзывов по итогам конференции по повышению безопасности транспортных средств, проходившей в городе Иокогама, и опыта, накопленного на национальном уровне по данному вопросу.</w:t>
      </w:r>
    </w:p>
    <w:p w14:paraId="2F58804C" w14:textId="77777777" w:rsidR="001C4077" w:rsidRPr="00EF4ABB" w:rsidRDefault="001C4077" w:rsidP="001C4077">
      <w:pPr>
        <w:pStyle w:val="SingleTxtG"/>
        <w:widowControl w:val="0"/>
        <w:spacing w:before="120"/>
        <w:ind w:left="2835" w:hanging="1665"/>
        <w:jc w:val="left"/>
        <w:rPr>
          <w:iCs/>
        </w:rPr>
      </w:pPr>
      <w:r w:rsidRPr="00EF4ABB">
        <w:rPr>
          <w:b/>
          <w:bCs/>
        </w:rPr>
        <w:t>Документация:</w:t>
      </w:r>
      <w:r w:rsidRPr="00EF4ABB">
        <w:tab/>
        <w:t>ECE/TRANS/WP.29/GRSG/104, пункты 3–6 ECE/TRANS/WP.29/GRSP/73, пункты 48 и 60</w:t>
      </w:r>
    </w:p>
    <w:p w14:paraId="713EA95D" w14:textId="77777777" w:rsidR="001C4077" w:rsidRPr="00EF4ABB" w:rsidRDefault="001C4077" w:rsidP="001C4077">
      <w:pPr>
        <w:pStyle w:val="H1G"/>
        <w:ind w:hanging="425"/>
        <w:rPr>
          <w:color w:val="000000" w:themeColor="text1"/>
        </w:rPr>
      </w:pPr>
      <w:r w:rsidRPr="00EF4ABB">
        <w:rPr>
          <w:bCs/>
        </w:rPr>
        <w:t>3.</w:t>
      </w:r>
      <w:r w:rsidRPr="00EF4ABB">
        <w:tab/>
      </w:r>
      <w:r w:rsidRPr="00EF4ABB">
        <w:rPr>
          <w:bCs/>
        </w:rPr>
        <w:t xml:space="preserve">Поправки к правилам, касающимся безопасных </w:t>
      </w:r>
      <w:proofErr w:type="spellStart"/>
      <w:r w:rsidRPr="00EF4ABB">
        <w:rPr>
          <w:bCs/>
        </w:rPr>
        <w:t>стекловых</w:t>
      </w:r>
      <w:proofErr w:type="spellEnd"/>
      <w:r w:rsidRPr="00EF4ABB">
        <w:rPr>
          <w:bCs/>
        </w:rPr>
        <w:t xml:space="preserve"> материалов</w:t>
      </w:r>
    </w:p>
    <w:p w14:paraId="0BF4591D" w14:textId="77777777" w:rsidR="001C4077" w:rsidRPr="00EF4ABB" w:rsidRDefault="001C4077" w:rsidP="001C4077">
      <w:pPr>
        <w:pStyle w:val="H23G"/>
        <w:keepNext w:val="0"/>
        <w:keepLines w:val="0"/>
        <w:rPr>
          <w:color w:val="000000" w:themeColor="text1"/>
        </w:rPr>
      </w:pPr>
      <w:r w:rsidRPr="00EF4ABB">
        <w:tab/>
        <w:t>a)</w:t>
      </w:r>
      <w:r w:rsidRPr="00EF4ABB">
        <w:tab/>
      </w:r>
      <w:r w:rsidRPr="00EF4ABB">
        <w:rPr>
          <w:bCs/>
        </w:rPr>
        <w:t xml:space="preserve">Глобальные технические правила № 6 ООН (безопасные </w:t>
      </w:r>
      <w:proofErr w:type="spellStart"/>
      <w:r w:rsidRPr="00EF4ABB">
        <w:rPr>
          <w:bCs/>
        </w:rPr>
        <w:t>стекловые</w:t>
      </w:r>
      <w:proofErr w:type="spellEnd"/>
      <w:r w:rsidRPr="00EF4ABB">
        <w:rPr>
          <w:bCs/>
        </w:rPr>
        <w:t xml:space="preserve"> материалы)</w:t>
      </w:r>
    </w:p>
    <w:p w14:paraId="380B589F" w14:textId="77777777" w:rsidR="001C4077" w:rsidRPr="00EF4ABB" w:rsidRDefault="001C4077" w:rsidP="00D25AAC">
      <w:pPr>
        <w:pStyle w:val="SingleTxtG"/>
        <w:widowControl w:val="0"/>
        <w:spacing w:before="120"/>
        <w:ind w:left="1143" w:firstLine="558"/>
        <w:rPr>
          <w:color w:val="000000" w:themeColor="text1"/>
        </w:rPr>
      </w:pPr>
      <w:r w:rsidRPr="00EF4ABB">
        <w:t>GRSG, возможно, пожелает рассмотреть предложения по поправкам к Глобальным техническим правилам № 6 ООН, если таковые будут представлены.</w:t>
      </w:r>
    </w:p>
    <w:p w14:paraId="26539040" w14:textId="77777777" w:rsidR="001C4077" w:rsidRPr="00EF4ABB" w:rsidRDefault="001C4077" w:rsidP="001C4077">
      <w:pPr>
        <w:pStyle w:val="H23G"/>
        <w:keepNext w:val="0"/>
        <w:keepLines w:val="0"/>
        <w:rPr>
          <w:color w:val="000000" w:themeColor="text1"/>
        </w:rPr>
      </w:pPr>
      <w:r w:rsidRPr="00EF4ABB">
        <w:lastRenderedPageBreak/>
        <w:tab/>
        <w:t>b)</w:t>
      </w:r>
      <w:r w:rsidRPr="00EF4ABB">
        <w:tab/>
      </w:r>
      <w:r w:rsidRPr="00EF4ABB">
        <w:rPr>
          <w:bCs/>
        </w:rPr>
        <w:t xml:space="preserve">Правила № 43 ООН (безопасные </w:t>
      </w:r>
      <w:proofErr w:type="spellStart"/>
      <w:r w:rsidRPr="00EF4ABB">
        <w:rPr>
          <w:bCs/>
        </w:rPr>
        <w:t>стекловые</w:t>
      </w:r>
      <w:proofErr w:type="spellEnd"/>
      <w:r w:rsidRPr="00EF4ABB">
        <w:rPr>
          <w:bCs/>
        </w:rPr>
        <w:t xml:space="preserve"> материалы)</w:t>
      </w:r>
    </w:p>
    <w:p w14:paraId="6ED19B79" w14:textId="77777777" w:rsidR="001C4077" w:rsidRPr="00EF4ABB" w:rsidRDefault="001C4077" w:rsidP="00D25AAC">
      <w:pPr>
        <w:pStyle w:val="SingleTxtG"/>
        <w:widowControl w:val="0"/>
        <w:spacing w:before="120"/>
        <w:ind w:left="1143" w:firstLine="558"/>
        <w:rPr>
          <w:color w:val="000000" w:themeColor="text1"/>
        </w:rPr>
      </w:pPr>
      <w:r w:rsidRPr="00EF4ABB">
        <w:t>GRSG, возможно, пожелает рассмотреть предложения по поправкам к Правилам № 43 ООН, если таковые будут представлены.</w:t>
      </w:r>
    </w:p>
    <w:p w14:paraId="7A4661F2" w14:textId="77777777" w:rsidR="001C4077" w:rsidRPr="00EF4ABB" w:rsidRDefault="001C4077" w:rsidP="001C4077">
      <w:pPr>
        <w:pStyle w:val="H1G"/>
        <w:rPr>
          <w:color w:val="000000" w:themeColor="text1"/>
        </w:rPr>
      </w:pPr>
      <w:r w:rsidRPr="00EF4ABB">
        <w:rPr>
          <w:bCs/>
        </w:rPr>
        <w:tab/>
        <w:t>4.</w:t>
      </w:r>
      <w:r w:rsidRPr="00EF4ABB">
        <w:tab/>
      </w:r>
      <w:r w:rsidRPr="00EF4ABB">
        <w:rPr>
          <w:bCs/>
        </w:rPr>
        <w:t>Предупреждение о присутствии уязвимых участников дорожного движения в непосредственной близости</w:t>
      </w:r>
    </w:p>
    <w:p w14:paraId="79287DD1" w14:textId="77777777" w:rsidR="001C4077" w:rsidRPr="00EF4ABB" w:rsidRDefault="001C4077" w:rsidP="001C4077">
      <w:pPr>
        <w:pStyle w:val="H23G"/>
        <w:keepNext w:val="0"/>
        <w:keepLines w:val="0"/>
        <w:ind w:firstLine="574"/>
        <w:jc w:val="both"/>
        <w:rPr>
          <w:b w:val="0"/>
          <w:color w:val="000000" w:themeColor="text1"/>
        </w:rPr>
      </w:pPr>
      <w:r w:rsidRPr="00EF4ABB">
        <w:rPr>
          <w:b w:val="0"/>
        </w:rPr>
        <w:t>GRSG, возможно, пожелает заслушать информацию о результатах работы НРГ по предупреждению о присутствии уязвимых участников дорожного движения в непосредственной близости (</w:t>
      </w:r>
      <w:r w:rsidRPr="001C4D12">
        <w:rPr>
          <w:b w:val="0"/>
        </w:rPr>
        <w:t>НРГ по УУДДНБ</w:t>
      </w:r>
      <w:r w:rsidRPr="00EF4ABB">
        <w:rPr>
          <w:b w:val="0"/>
        </w:rPr>
        <w:t>), касающихся совершенствования Правил № 158 ООН в части положений о временных помехах видимости поля монитора, а также информацию об этапе 2 разработки Правил № 167 ООН, касающихся прямого обзора.</w:t>
      </w:r>
    </w:p>
    <w:p w14:paraId="216FB356" w14:textId="6E39731B" w:rsidR="001C4077" w:rsidRPr="00EF4ABB" w:rsidRDefault="003A08A5" w:rsidP="003A08A5">
      <w:pPr>
        <w:pStyle w:val="H23G"/>
        <w:rPr>
          <w:color w:val="000000" w:themeColor="text1"/>
        </w:rPr>
      </w:pPr>
      <w:bookmarkStart w:id="3" w:name="_Hlk109224902"/>
      <w:r>
        <w:rPr>
          <w:bCs/>
        </w:rPr>
        <w:tab/>
        <w:t>а)</w:t>
      </w:r>
      <w:r>
        <w:rPr>
          <w:bCs/>
        </w:rPr>
        <w:tab/>
      </w:r>
      <w:r>
        <w:rPr>
          <w:bCs/>
        </w:rPr>
        <w:tab/>
      </w:r>
      <w:r w:rsidR="001C4077" w:rsidRPr="00EF4ABB">
        <w:rPr>
          <w:bCs/>
        </w:rPr>
        <w:t>Правила № 46 ООН (устройства непрямого обзора)</w:t>
      </w:r>
    </w:p>
    <w:p w14:paraId="553FC02F" w14:textId="17928C6F" w:rsidR="001C4077" w:rsidRPr="00EF4ABB" w:rsidRDefault="001C4077" w:rsidP="001C4077">
      <w:pPr>
        <w:pStyle w:val="SingleTxtG"/>
        <w:widowControl w:val="0"/>
        <w:ind w:left="1140" w:firstLine="561"/>
        <w:rPr>
          <w:color w:val="000000" w:themeColor="text1"/>
        </w:rPr>
      </w:pPr>
      <w:r w:rsidRPr="00EF4ABB">
        <w:t xml:space="preserve">GRSG решила возобновить рассмотрение предложения по поправкам к </w:t>
      </w:r>
      <w:r w:rsidRPr="00D25AAC">
        <w:rPr>
          <w:spacing w:val="-2"/>
        </w:rPr>
        <w:t>Правилам № 46 ООН, представленного экспертами Целевой группы по Правилам № 46 ООН</w:t>
      </w:r>
      <w:r w:rsidRPr="00EF4ABB">
        <w:t xml:space="preserve"> (ECE/TRANS/WP.29/GRSG/2023/23 на основе документов ECE/TRANS/WP.29/</w:t>
      </w:r>
      <w:r w:rsidR="003A08A5" w:rsidRPr="003A08A5">
        <w:t xml:space="preserve"> </w:t>
      </w:r>
      <w:r w:rsidRPr="00EF4ABB">
        <w:t>GRSG/2023/9, ECE/TRANS/WP.29/GRSG/2023/16, GRSG-124-20-Rev.1, GRSG-125-03-Rev.1, GRSG-125-24 и GRSG-125-30).</w:t>
      </w:r>
    </w:p>
    <w:p w14:paraId="09BCB208" w14:textId="77777777" w:rsidR="001C4077" w:rsidRPr="00EF4ABB" w:rsidRDefault="001C4077" w:rsidP="002D3034">
      <w:pPr>
        <w:pStyle w:val="SingleTxtG"/>
        <w:widowControl w:val="0"/>
        <w:spacing w:before="120"/>
        <w:ind w:left="2835" w:hanging="1665"/>
        <w:jc w:val="left"/>
        <w:rPr>
          <w:color w:val="000000" w:themeColor="text1"/>
        </w:rPr>
      </w:pPr>
      <w:r w:rsidRPr="00EF4ABB">
        <w:rPr>
          <w:b/>
          <w:bCs/>
        </w:rPr>
        <w:t>Документация:</w:t>
      </w:r>
      <w:r w:rsidRPr="00EF4ABB">
        <w:tab/>
        <w:t>ECE/TRANS/WP.29/GRSG/104, пункты 10 и 11 ECE/TRANS/WP.29/GRSG/2023/23</w:t>
      </w:r>
    </w:p>
    <w:p w14:paraId="2706800D" w14:textId="77777777" w:rsidR="001C4077" w:rsidRPr="00EF4ABB" w:rsidRDefault="001C4077" w:rsidP="003A08A5">
      <w:pPr>
        <w:pStyle w:val="H23G"/>
        <w:rPr>
          <w:color w:val="000000" w:themeColor="text1"/>
        </w:rPr>
      </w:pPr>
      <w:r w:rsidRPr="00EF4ABB">
        <w:tab/>
        <w:t>b)</w:t>
      </w:r>
      <w:r w:rsidRPr="00EF4ABB">
        <w:tab/>
      </w:r>
      <w:r w:rsidRPr="00EF4ABB">
        <w:rPr>
          <w:bCs/>
        </w:rPr>
        <w:t>Правила № 158 ООН (движение задним ходом)</w:t>
      </w:r>
    </w:p>
    <w:p w14:paraId="3F6B2D78" w14:textId="47D265B8" w:rsidR="001C4077" w:rsidRPr="00EF4ABB" w:rsidRDefault="001C4077" w:rsidP="001C4077">
      <w:pPr>
        <w:spacing w:before="120" w:after="120"/>
        <w:ind w:left="1134" w:right="1134" w:firstLine="567"/>
        <w:jc w:val="both"/>
        <w:rPr>
          <w:color w:val="000000" w:themeColor="text1"/>
        </w:rPr>
      </w:pPr>
      <w:r w:rsidRPr="00EF4ABB">
        <w:t xml:space="preserve">GRSG решила возобновить рассмотрение предложения по поправкам к Правилам № 158 ООН, </w:t>
      </w:r>
      <w:r w:rsidRPr="001C4D12">
        <w:t>пересмотренное НРГ по УУДДНБ</w:t>
      </w:r>
      <w:r w:rsidRPr="00EF4ABB">
        <w:t xml:space="preserve"> (ECE/TRANS/WP.29/</w:t>
      </w:r>
      <w:r w:rsidR="00D25AAC" w:rsidRPr="00D25AAC">
        <w:t xml:space="preserve"> </w:t>
      </w:r>
      <w:r w:rsidRPr="00EF4ABB">
        <w:t>GRSG/2023/20 на основе документа GRSG-</w:t>
      </w:r>
      <w:proofErr w:type="gramStart"/>
      <w:r w:rsidRPr="00EF4ABB">
        <w:t>125-20</w:t>
      </w:r>
      <w:proofErr w:type="gramEnd"/>
      <w:r w:rsidRPr="00EF4ABB">
        <w:t>).</w:t>
      </w:r>
    </w:p>
    <w:p w14:paraId="0DBC17A8" w14:textId="77777777" w:rsidR="001C4077" w:rsidRPr="00EF4ABB" w:rsidRDefault="001C4077" w:rsidP="001C4077">
      <w:pPr>
        <w:pStyle w:val="SingleTxtG"/>
        <w:ind w:left="2835" w:hanging="1701"/>
        <w:jc w:val="left"/>
        <w:rPr>
          <w:bCs/>
          <w:color w:val="000000" w:themeColor="text1"/>
        </w:rPr>
      </w:pPr>
      <w:r w:rsidRPr="00EF4ABB">
        <w:rPr>
          <w:b/>
          <w:bCs/>
        </w:rPr>
        <w:t>Документация:</w:t>
      </w:r>
      <w:r w:rsidRPr="00EF4ABB">
        <w:tab/>
        <w:t>ECE/TRANS/WP.29/GRSG/104, пункт 12 ECE/TRANS/WP.29/GRSG/2023/20</w:t>
      </w:r>
    </w:p>
    <w:p w14:paraId="03E45151" w14:textId="77777777" w:rsidR="001C4077" w:rsidRPr="00EF4ABB" w:rsidRDefault="001C4077" w:rsidP="001C4077">
      <w:pPr>
        <w:pStyle w:val="H23G"/>
        <w:rPr>
          <w:color w:val="000000" w:themeColor="text1"/>
        </w:rPr>
      </w:pPr>
      <w:bookmarkStart w:id="4" w:name="_Hlk61956637"/>
      <w:bookmarkEnd w:id="3"/>
      <w:r w:rsidRPr="00EF4ABB">
        <w:rPr>
          <w:bCs/>
        </w:rPr>
        <w:tab/>
        <w:t>c)</w:t>
      </w:r>
      <w:r w:rsidRPr="00EF4ABB">
        <w:tab/>
      </w:r>
      <w:r w:rsidRPr="00EF4ABB">
        <w:rPr>
          <w:bCs/>
        </w:rPr>
        <w:t>Правила № 159 ООН (система информирования при трогании с места)</w:t>
      </w:r>
      <w:bookmarkEnd w:id="4"/>
    </w:p>
    <w:p w14:paraId="69103643" w14:textId="77777777" w:rsidR="001C4077" w:rsidRPr="00EF4ABB" w:rsidRDefault="001C4077" w:rsidP="00D25AAC">
      <w:pPr>
        <w:pStyle w:val="SingleTxtG"/>
        <w:widowControl w:val="0"/>
        <w:spacing w:before="120"/>
        <w:ind w:left="1143" w:firstLine="558"/>
        <w:rPr>
          <w:color w:val="000000" w:themeColor="text1"/>
        </w:rPr>
      </w:pPr>
      <w:r w:rsidRPr="00EF4ABB">
        <w:t xml:space="preserve">GRSG, возможно, пожелает рассмотреть предложения по поправкам к Правилам № 159 ООН, если таковые будут представлены. </w:t>
      </w:r>
    </w:p>
    <w:p w14:paraId="2DFE9E21" w14:textId="77777777" w:rsidR="001C4077" w:rsidRPr="00EF4ABB" w:rsidRDefault="001C4077" w:rsidP="001C4077">
      <w:pPr>
        <w:pStyle w:val="H23G"/>
        <w:rPr>
          <w:color w:val="000000" w:themeColor="text1"/>
        </w:rPr>
      </w:pPr>
      <w:r w:rsidRPr="00EF4ABB">
        <w:rPr>
          <w:bCs/>
        </w:rPr>
        <w:tab/>
        <w:t>d)</w:t>
      </w:r>
      <w:r w:rsidRPr="00EF4ABB">
        <w:tab/>
      </w:r>
      <w:r w:rsidRPr="00EF4ABB">
        <w:rPr>
          <w:bCs/>
        </w:rPr>
        <w:t>Правила № 166 ООН (присутствие уязвимых участников дорожного движения в непосредственной близости спереди и сбоку)</w:t>
      </w:r>
    </w:p>
    <w:p w14:paraId="1C052026" w14:textId="77777777" w:rsidR="001C4077" w:rsidRPr="00EF4ABB" w:rsidRDefault="001C4077" w:rsidP="001C4077">
      <w:pPr>
        <w:pStyle w:val="SingleTxtG"/>
        <w:ind w:left="1140" w:firstLine="561"/>
        <w:rPr>
          <w:color w:val="000000" w:themeColor="text1"/>
        </w:rPr>
      </w:pPr>
      <w:r w:rsidRPr="00EF4ABB">
        <w:t xml:space="preserve">GRSG, возможно, пожелает рассмотреть предложения по поправкам к Правилам № 166 ООН, если таковые будут представлены. </w:t>
      </w:r>
    </w:p>
    <w:p w14:paraId="0BAF0236" w14:textId="77777777" w:rsidR="001C4077" w:rsidRPr="00EF4ABB" w:rsidRDefault="001C4077" w:rsidP="001C4077">
      <w:pPr>
        <w:pStyle w:val="H23G"/>
        <w:rPr>
          <w:color w:val="000000" w:themeColor="text1"/>
        </w:rPr>
      </w:pPr>
      <w:r w:rsidRPr="00EF4ABB">
        <w:rPr>
          <w:bCs/>
        </w:rPr>
        <w:tab/>
        <w:t>e)</w:t>
      </w:r>
      <w:r w:rsidRPr="00EF4ABB">
        <w:tab/>
      </w:r>
      <w:r w:rsidRPr="00EF4ABB">
        <w:rPr>
          <w:bCs/>
        </w:rPr>
        <w:t>Правила № 167 ООН (прямой обзор уязвимых участников дорожного движения)</w:t>
      </w:r>
    </w:p>
    <w:p w14:paraId="53F49221" w14:textId="77777777" w:rsidR="001C4077" w:rsidRPr="00EF4ABB" w:rsidRDefault="001C4077" w:rsidP="001C4077">
      <w:pPr>
        <w:pStyle w:val="SingleTxtG"/>
        <w:ind w:left="1140" w:firstLine="561"/>
        <w:rPr>
          <w:color w:val="000000" w:themeColor="text1"/>
        </w:rPr>
      </w:pPr>
      <w:r w:rsidRPr="00EF4ABB">
        <w:t xml:space="preserve">GRSG, возможно, пожелает рассмотреть предложение по поправкам к Правилам № 167 ООН, </w:t>
      </w:r>
      <w:r>
        <w:t>представленное</w:t>
      </w:r>
      <w:r w:rsidRPr="00EF4ABB">
        <w:t xml:space="preserve"> </w:t>
      </w:r>
      <w:r w:rsidRPr="001C4D12">
        <w:t>экспертами НРГ по УУДДНБ</w:t>
      </w:r>
      <w:r w:rsidRPr="00EF4ABB">
        <w:t xml:space="preserve"> (ECE/TRANS/WP.29/GRSG/2023/21), и предложение </w:t>
      </w:r>
      <w:r>
        <w:t>по поправкам</w:t>
      </w:r>
      <w:r w:rsidRPr="00EF4ABB">
        <w:t xml:space="preserve">, </w:t>
      </w:r>
      <w:r>
        <w:t>представленное</w:t>
      </w:r>
      <w:r w:rsidRPr="00EF4ABB">
        <w:t xml:space="preserve"> экспертом от Соединенного Королевства Великобритании и Северной Ирландии (ECE/TRANS/WP.29/GRSG/2023/19).</w:t>
      </w:r>
    </w:p>
    <w:p w14:paraId="6896E4E3" w14:textId="77777777" w:rsidR="001C4077" w:rsidRPr="00DF0DC9" w:rsidRDefault="001C4077" w:rsidP="001C4077">
      <w:pPr>
        <w:pStyle w:val="SingleTxtG"/>
        <w:ind w:left="2790" w:hanging="1656"/>
        <w:jc w:val="left"/>
        <w:rPr>
          <w:bCs/>
          <w:lang w:val="en-US"/>
        </w:rPr>
      </w:pPr>
      <w:r w:rsidRPr="00EF4ABB">
        <w:rPr>
          <w:b/>
          <w:bCs/>
        </w:rPr>
        <w:t>Документация</w:t>
      </w:r>
      <w:r w:rsidRPr="00DF0DC9">
        <w:rPr>
          <w:b/>
          <w:bCs/>
          <w:lang w:val="en-US"/>
        </w:rPr>
        <w:t>:</w:t>
      </w:r>
      <w:r w:rsidRPr="00DF0DC9">
        <w:rPr>
          <w:lang w:val="en-US"/>
        </w:rPr>
        <w:tab/>
        <w:t>ECE/TRANS/WP.29/GRSG/2023/19 ECE/TRANS/WP.29/GRSG/2023/21</w:t>
      </w:r>
    </w:p>
    <w:p w14:paraId="7FD7BDB0" w14:textId="77777777" w:rsidR="001C4077" w:rsidRPr="00EF4ABB" w:rsidRDefault="001C4077" w:rsidP="001C4077">
      <w:pPr>
        <w:pStyle w:val="H1G"/>
      </w:pPr>
      <w:r w:rsidRPr="00DF0DC9">
        <w:rPr>
          <w:bCs/>
          <w:lang w:val="en-US"/>
        </w:rPr>
        <w:lastRenderedPageBreak/>
        <w:tab/>
      </w:r>
      <w:r w:rsidRPr="00EF4ABB">
        <w:rPr>
          <w:bCs/>
        </w:rPr>
        <w:t>5.</w:t>
      </w:r>
      <w:r w:rsidRPr="00EF4ABB">
        <w:tab/>
      </w:r>
      <w:r w:rsidRPr="00EF4ABB">
        <w:rPr>
          <w:bCs/>
        </w:rPr>
        <w:t>Поправки к правилам, касающимся наружных выступов</w:t>
      </w:r>
    </w:p>
    <w:p w14:paraId="1295185A" w14:textId="77777777" w:rsidR="001C4077" w:rsidRPr="00EF4ABB" w:rsidRDefault="001C4077" w:rsidP="00D25AAC">
      <w:pPr>
        <w:pStyle w:val="H23G"/>
        <w:rPr>
          <w:color w:val="000000" w:themeColor="text1"/>
        </w:rPr>
      </w:pPr>
      <w:r w:rsidRPr="00EF4ABB">
        <w:tab/>
        <w:t>a)</w:t>
      </w:r>
      <w:r w:rsidRPr="00EF4ABB">
        <w:tab/>
      </w:r>
      <w:r w:rsidRPr="00D25AAC">
        <w:t>Правила</w:t>
      </w:r>
      <w:r w:rsidRPr="00EF4ABB">
        <w:t xml:space="preserve"> № 26 ООН (наружные выступы легковых автомобилей)</w:t>
      </w:r>
    </w:p>
    <w:p w14:paraId="7CD401A5" w14:textId="77777777" w:rsidR="001C4077" w:rsidRPr="00EF4ABB" w:rsidRDefault="001C4077" w:rsidP="001C4077">
      <w:pPr>
        <w:spacing w:before="120" w:after="120"/>
        <w:ind w:left="1134" w:right="1134" w:firstLine="567"/>
        <w:jc w:val="both"/>
      </w:pPr>
      <w:r w:rsidRPr="00EF4ABB">
        <w:t>GRSG, возможно, пожелает рассмотреть предложение по поправкам к Правилам № 26 ООН, подготовленное экспертом от Германии от имени Целевой группы по Правилам № 46 ООН (ECE/TRANS/WP.29/GRSG/2023/22).</w:t>
      </w:r>
    </w:p>
    <w:p w14:paraId="6C5005AF" w14:textId="77777777" w:rsidR="001C4077" w:rsidRPr="00EF4ABB" w:rsidRDefault="001C4077" w:rsidP="001C4077">
      <w:pPr>
        <w:spacing w:before="120" w:after="120"/>
        <w:ind w:left="567" w:right="1134" w:firstLine="567"/>
        <w:jc w:val="both"/>
        <w:rPr>
          <w:color w:val="000000" w:themeColor="text1"/>
        </w:rPr>
      </w:pPr>
      <w:r w:rsidRPr="00EF4ABB">
        <w:rPr>
          <w:b/>
          <w:bCs/>
        </w:rPr>
        <w:t>Документация:</w:t>
      </w:r>
      <w:r w:rsidRPr="00EF4ABB">
        <w:tab/>
        <w:t>ECE/TRANS/WP.29/GRSG/2023/22</w:t>
      </w:r>
    </w:p>
    <w:p w14:paraId="54F6F665" w14:textId="77777777" w:rsidR="001C4077" w:rsidRPr="00EF4ABB" w:rsidRDefault="001C4077" w:rsidP="00D25AAC">
      <w:pPr>
        <w:pStyle w:val="H23G"/>
        <w:rPr>
          <w:color w:val="000000" w:themeColor="text1"/>
        </w:rPr>
      </w:pPr>
      <w:r w:rsidRPr="00EF4ABB">
        <w:tab/>
        <w:t>b)</w:t>
      </w:r>
      <w:r w:rsidRPr="00EF4ABB">
        <w:tab/>
      </w:r>
      <w:r w:rsidRPr="00EF4ABB">
        <w:rPr>
          <w:bCs/>
        </w:rPr>
        <w:t>Правила № 61 ООН (наружные выступы грузовых транспортных средств)</w:t>
      </w:r>
    </w:p>
    <w:p w14:paraId="21576938" w14:textId="77777777" w:rsidR="001C4077" w:rsidRPr="00EF4ABB" w:rsidRDefault="001C4077" w:rsidP="001C4077">
      <w:pPr>
        <w:spacing w:before="120" w:after="120"/>
        <w:ind w:left="1134" w:right="1134" w:firstLine="567"/>
        <w:jc w:val="both"/>
      </w:pPr>
      <w:r w:rsidRPr="00EF4ABB">
        <w:t>GRSG, возможно, пожелает рассмотреть предложение по поправкам к Правилам № 26 ООН, подготовленное экспертом от Германии от имени Целевой группы по Правилам № 46 ООН (ECE/TRANS/WP.29/GRSG/2023/24).</w:t>
      </w:r>
    </w:p>
    <w:p w14:paraId="316C4BBB" w14:textId="77777777" w:rsidR="001C4077" w:rsidRPr="00EF4ABB" w:rsidRDefault="001C4077" w:rsidP="001C4077">
      <w:pPr>
        <w:spacing w:before="120" w:after="120"/>
        <w:ind w:left="567" w:right="1134" w:firstLine="567"/>
        <w:jc w:val="both"/>
        <w:rPr>
          <w:color w:val="000000" w:themeColor="text1"/>
        </w:rPr>
      </w:pPr>
      <w:r w:rsidRPr="00EF4ABB">
        <w:rPr>
          <w:b/>
          <w:bCs/>
        </w:rPr>
        <w:t>Документация:</w:t>
      </w:r>
      <w:r w:rsidRPr="00EF4ABB">
        <w:tab/>
        <w:t>ECE/TRANS/WP.29/GRSG/2023/24</w:t>
      </w:r>
    </w:p>
    <w:p w14:paraId="22A21C3A" w14:textId="77777777" w:rsidR="001C4077" w:rsidRPr="00EF4ABB" w:rsidRDefault="001C4077" w:rsidP="001C4077">
      <w:pPr>
        <w:pStyle w:val="H1G"/>
      </w:pPr>
      <w:r w:rsidRPr="00EF4ABB">
        <w:rPr>
          <w:bCs/>
        </w:rPr>
        <w:tab/>
        <w:t>6.</w:t>
      </w:r>
      <w:r w:rsidRPr="00EF4ABB">
        <w:tab/>
      </w:r>
      <w:r w:rsidRPr="00EF4ABB">
        <w:rPr>
          <w:bCs/>
        </w:rPr>
        <w:t>Правила № 39 ООН (механизм для измерения скорости и одометр)</w:t>
      </w:r>
    </w:p>
    <w:p w14:paraId="4021A800" w14:textId="77777777" w:rsidR="001C4077" w:rsidRPr="00EF4ABB" w:rsidRDefault="001C4077" w:rsidP="001C4077">
      <w:pPr>
        <w:pStyle w:val="SingleTxtG"/>
        <w:ind w:firstLine="567"/>
      </w:pPr>
      <w:r w:rsidRPr="00EF4ABB">
        <w:t xml:space="preserve">GRSG, возможно, пожелает возобновить обсуждение итогов работы (например, круга </w:t>
      </w:r>
      <w:r>
        <w:t>ведения</w:t>
      </w:r>
      <w:r w:rsidRPr="00EF4ABB">
        <w:t xml:space="preserve"> Целевой группы) Целевой группы, созданной для обсуждения возможных мер по обеспечению точности и предотвращению фальсификации значений одометра/пробега.</w:t>
      </w:r>
    </w:p>
    <w:p w14:paraId="6636D40D" w14:textId="77777777" w:rsidR="001C4077" w:rsidRPr="00EF4ABB" w:rsidRDefault="001C4077" w:rsidP="001C4077">
      <w:pPr>
        <w:pStyle w:val="SingleTxtG"/>
      </w:pPr>
      <w:r w:rsidRPr="00EF4ABB">
        <w:rPr>
          <w:b/>
          <w:bCs/>
        </w:rPr>
        <w:t>Документация:</w:t>
      </w:r>
      <w:r w:rsidRPr="00EF4ABB">
        <w:tab/>
        <w:t>ECE/TRANS/WP.29/GRSG/104, пункт 49</w:t>
      </w:r>
    </w:p>
    <w:p w14:paraId="6071DE92" w14:textId="77777777" w:rsidR="001C4077" w:rsidRPr="00EF4ABB" w:rsidRDefault="001C4077" w:rsidP="001C4077">
      <w:pPr>
        <w:pStyle w:val="H1G"/>
      </w:pPr>
      <w:r w:rsidRPr="00EF4ABB">
        <w:rPr>
          <w:bCs/>
        </w:rPr>
        <w:tab/>
        <w:t>7.</w:t>
      </w:r>
      <w:r w:rsidRPr="00EF4ABB">
        <w:tab/>
      </w:r>
      <w:r w:rsidRPr="00EF4ABB">
        <w:rPr>
          <w:bCs/>
        </w:rPr>
        <w:t>Правила № 55 ООН (механические сцепные устройства)</w:t>
      </w:r>
    </w:p>
    <w:p w14:paraId="0B747DCE" w14:textId="4B527262" w:rsidR="001C4077" w:rsidRPr="00EF4ABB" w:rsidRDefault="001C4077" w:rsidP="001C4077">
      <w:pPr>
        <w:spacing w:before="120" w:after="120"/>
        <w:ind w:left="1134" w:right="1134" w:firstLine="567"/>
        <w:jc w:val="both"/>
      </w:pPr>
      <w:r w:rsidRPr="00EF4ABB">
        <w:t xml:space="preserve">GRSG, возможно, пожелает рассмотреть предложение по поправкам </w:t>
      </w:r>
      <w:r w:rsidR="004E5701">
        <w:br/>
      </w:r>
      <w:r w:rsidRPr="00EF4ABB">
        <w:t xml:space="preserve">к Правилам № 55 ООН, подготовленное экспертами от Австрии и Нидерландов с целью уточнить положения о необходимости опорного устройства для прицепов </w:t>
      </w:r>
      <w:r w:rsidR="004E5701">
        <w:br/>
      </w:r>
      <w:r w:rsidRPr="00EF4ABB">
        <w:t>с центральной осью независимо от типа сцепного устройства (ECE/TRANS/WP.29/GRSG/2023/18).</w:t>
      </w:r>
    </w:p>
    <w:p w14:paraId="0F0AF77E" w14:textId="77777777" w:rsidR="001C4077" w:rsidRPr="00EF4ABB" w:rsidRDefault="001C4077" w:rsidP="001C4077">
      <w:pPr>
        <w:spacing w:before="120" w:after="120"/>
        <w:ind w:left="567" w:right="1134" w:firstLine="567"/>
        <w:jc w:val="both"/>
        <w:rPr>
          <w:color w:val="000000" w:themeColor="text1"/>
        </w:rPr>
      </w:pPr>
      <w:r w:rsidRPr="00EF4ABB">
        <w:rPr>
          <w:b/>
          <w:bCs/>
        </w:rPr>
        <w:t>Документация:</w:t>
      </w:r>
      <w:r w:rsidRPr="00EF4ABB">
        <w:tab/>
        <w:t>ECE/TRANS/WP.29/GRSG/2023/18</w:t>
      </w:r>
    </w:p>
    <w:p w14:paraId="32C56455" w14:textId="77777777" w:rsidR="001C4077" w:rsidRPr="00EF4ABB" w:rsidRDefault="001C4077" w:rsidP="001C4077">
      <w:pPr>
        <w:pStyle w:val="H1G"/>
      </w:pPr>
      <w:r w:rsidRPr="00EF4ABB">
        <w:rPr>
          <w:bCs/>
        </w:rPr>
        <w:tab/>
        <w:t>8.</w:t>
      </w:r>
      <w:r w:rsidRPr="00EF4ABB">
        <w:tab/>
      </w:r>
      <w:r w:rsidRPr="00EF4ABB">
        <w:rPr>
          <w:bCs/>
        </w:rPr>
        <w:t>Правила № 66 ООН (прочность силовой структуры (автобусы))</w:t>
      </w:r>
    </w:p>
    <w:p w14:paraId="59A6D643" w14:textId="77777777" w:rsidR="001C4077" w:rsidRPr="00EF4ABB" w:rsidRDefault="001C4077" w:rsidP="00835D1D">
      <w:pPr>
        <w:pStyle w:val="SingleTxtG"/>
        <w:ind w:left="1140" w:firstLine="561"/>
      </w:pPr>
      <w:r w:rsidRPr="00EF4ABB">
        <w:t>GRSG возобновит рассмотрение пересмотренного предложения по поправкам к Правилам № 66 ООН, представленного экспертом</w:t>
      </w:r>
      <w:r>
        <w:t xml:space="preserve"> от</w:t>
      </w:r>
      <w:r w:rsidRPr="00EF4ABB">
        <w:t xml:space="preserve"> Российской Федерации (документ ECE/TRANS/WP.29/GRSG/2023/2) и предусматривающего разрешение дополнительных проверок на пассивную безопасность на национальном уровне.</w:t>
      </w:r>
    </w:p>
    <w:p w14:paraId="7076A9D2" w14:textId="77777777" w:rsidR="001C4077" w:rsidRPr="00EF4ABB" w:rsidRDefault="001C4077" w:rsidP="001C4077">
      <w:pPr>
        <w:pStyle w:val="SingleTxtG"/>
        <w:ind w:left="2790" w:hanging="1656"/>
        <w:jc w:val="left"/>
      </w:pPr>
      <w:r w:rsidRPr="00EF4ABB">
        <w:rPr>
          <w:b/>
          <w:bCs/>
        </w:rPr>
        <w:t>Документация:</w:t>
      </w:r>
      <w:r w:rsidRPr="00EF4ABB">
        <w:tab/>
        <w:t>ECE/TRANS/WP.29/1173, пункт 82 (ECE/TRANS/WP.29/GRSG/2023/2)</w:t>
      </w:r>
    </w:p>
    <w:p w14:paraId="135DC332" w14:textId="77777777" w:rsidR="001C4077" w:rsidRPr="00EF4ABB" w:rsidRDefault="001C4077" w:rsidP="001C4077">
      <w:pPr>
        <w:pStyle w:val="H1G"/>
        <w:rPr>
          <w:color w:val="000000" w:themeColor="text1"/>
        </w:rPr>
      </w:pPr>
      <w:r w:rsidRPr="00EF4ABB">
        <w:rPr>
          <w:bCs/>
        </w:rPr>
        <w:tab/>
        <w:t>9.</w:t>
      </w:r>
      <w:r w:rsidRPr="00EF4ABB">
        <w:tab/>
      </w:r>
      <w:r w:rsidRPr="00EF4ABB">
        <w:tab/>
      </w:r>
      <w:r w:rsidRPr="00EF4ABB">
        <w:rPr>
          <w:bCs/>
        </w:rPr>
        <w:t>Поправки к правилам, касающимся газомоторных транспортных средств</w:t>
      </w:r>
      <w:r w:rsidRPr="00EF4ABB">
        <w:t xml:space="preserve"> </w:t>
      </w:r>
    </w:p>
    <w:p w14:paraId="0F1609D8" w14:textId="77777777" w:rsidR="001C4077" w:rsidRPr="00EF4ABB" w:rsidRDefault="001C4077" w:rsidP="001C4077">
      <w:pPr>
        <w:pStyle w:val="H23G"/>
        <w:rPr>
          <w:color w:val="000000" w:themeColor="text1"/>
        </w:rPr>
      </w:pPr>
      <w:r w:rsidRPr="00EF4ABB">
        <w:tab/>
        <w:t>a)</w:t>
      </w:r>
      <w:r w:rsidRPr="00EF4ABB">
        <w:tab/>
      </w:r>
      <w:r w:rsidRPr="00EF4ABB">
        <w:rPr>
          <w:bCs/>
        </w:rPr>
        <w:t>Правила № 67 ООН (транспортные средства, работающие на сжиженном нефтяном газе)</w:t>
      </w:r>
    </w:p>
    <w:p w14:paraId="5B844B2E" w14:textId="54353E3B" w:rsidR="001C4077" w:rsidRPr="00EF4ABB" w:rsidRDefault="001C4077" w:rsidP="004E5701">
      <w:pPr>
        <w:pStyle w:val="SingleTxtG"/>
        <w:ind w:firstLine="567"/>
        <w:rPr>
          <w:color w:val="000000" w:themeColor="text1"/>
        </w:rPr>
      </w:pPr>
      <w:r w:rsidRPr="00EF4ABB">
        <w:t>GRSG, возможно, пожелает рассмотреть предложения по поправкам к Правилам № 67 ООН, если таковые будут представлены.</w:t>
      </w:r>
    </w:p>
    <w:p w14:paraId="7D4507E3" w14:textId="334F57CA" w:rsidR="001C4077" w:rsidRPr="00EF4ABB" w:rsidRDefault="001C4077" w:rsidP="001C4077">
      <w:pPr>
        <w:pStyle w:val="H23G"/>
        <w:numPr>
          <w:ilvl w:val="0"/>
          <w:numId w:val="23"/>
        </w:numPr>
        <w:outlineLvl w:val="9"/>
        <w:rPr>
          <w:color w:val="000000" w:themeColor="text1"/>
        </w:rPr>
      </w:pPr>
      <w:r w:rsidRPr="00EF4ABB">
        <w:t xml:space="preserve">Правила № 110 ООН (транспортные средства, работающие </w:t>
      </w:r>
      <w:r w:rsidR="0008633F">
        <w:br/>
      </w:r>
      <w:r w:rsidRPr="00EF4ABB">
        <w:t>на компримированн</w:t>
      </w:r>
      <w:r w:rsidRPr="00EF4ABB">
        <w:rPr>
          <w:bCs/>
        </w:rPr>
        <w:t>ом природном газе и сжиженном природном газе)</w:t>
      </w:r>
    </w:p>
    <w:p w14:paraId="5C4C8A0C" w14:textId="77777777" w:rsidR="001C4077" w:rsidRPr="00EF4ABB" w:rsidRDefault="001C4077" w:rsidP="004E5701">
      <w:pPr>
        <w:pStyle w:val="SingleTxtG"/>
        <w:ind w:firstLine="567"/>
        <w:rPr>
          <w:color w:val="000000" w:themeColor="text1"/>
        </w:rPr>
      </w:pPr>
      <w:r w:rsidRPr="00EF4ABB">
        <w:t>GRSG, возможно, пожелает рассмотреть предложения по поправкам к Правилам № 110 ООН, если таковые будут представлены.</w:t>
      </w:r>
    </w:p>
    <w:p w14:paraId="7F58CE7D" w14:textId="77777777" w:rsidR="001C4077" w:rsidRPr="00EF4ABB" w:rsidRDefault="001C4077" w:rsidP="001C4077">
      <w:pPr>
        <w:pStyle w:val="H1G"/>
        <w:rPr>
          <w:color w:val="000000" w:themeColor="text1"/>
        </w:rPr>
      </w:pPr>
      <w:r w:rsidRPr="00EF4ABB">
        <w:rPr>
          <w:bCs/>
        </w:rPr>
        <w:lastRenderedPageBreak/>
        <w:tab/>
        <w:t>10.</w:t>
      </w:r>
      <w:r w:rsidRPr="00EF4ABB">
        <w:tab/>
      </w:r>
      <w:r w:rsidRPr="00EF4ABB">
        <w:rPr>
          <w:bCs/>
        </w:rPr>
        <w:t>Правила № 122 ООН (системы отопления)</w:t>
      </w:r>
    </w:p>
    <w:p w14:paraId="0CF69357" w14:textId="349B0BF7" w:rsidR="001C4077" w:rsidRPr="00604ED4" w:rsidRDefault="00604ED4" w:rsidP="00604ED4">
      <w:pPr>
        <w:pStyle w:val="SingleTxtG"/>
      </w:pPr>
      <w:r>
        <w:tab/>
      </w:r>
      <w:r w:rsidR="001C4077" w:rsidRPr="00604ED4">
        <w:t>GRSG решила возобновить рассмотрение вопроса о необходимости второго этапа проработки темы использования новой технологии (излучающего обогревателя) в системе отопления для максимального повышения энергоэффективности электромобилей.</w:t>
      </w:r>
    </w:p>
    <w:p w14:paraId="6A7F22E1" w14:textId="77777777" w:rsidR="001C4077" w:rsidRPr="00EF4ABB" w:rsidRDefault="001C4077" w:rsidP="001C4077">
      <w:pPr>
        <w:pStyle w:val="SingleTxtG"/>
        <w:widowControl w:val="0"/>
        <w:spacing w:before="120"/>
        <w:ind w:left="2880" w:hanging="1746"/>
        <w:jc w:val="left"/>
      </w:pPr>
      <w:r w:rsidRPr="00EF4ABB">
        <w:rPr>
          <w:b/>
          <w:bCs/>
        </w:rPr>
        <w:t>Документация:</w:t>
      </w:r>
      <w:r w:rsidRPr="00EF4ABB">
        <w:tab/>
        <w:t>ECE/TRANS/WP.29/GRSG/104, пункт 24</w:t>
      </w:r>
    </w:p>
    <w:p w14:paraId="2A6A0D5F" w14:textId="77777777" w:rsidR="001C4077" w:rsidRPr="00EF4ABB" w:rsidRDefault="001C4077" w:rsidP="001C4077">
      <w:pPr>
        <w:pStyle w:val="H1G"/>
        <w:rPr>
          <w:color w:val="000000" w:themeColor="text1"/>
        </w:rPr>
      </w:pPr>
      <w:r w:rsidRPr="00EF4ABB">
        <w:rPr>
          <w:bCs/>
        </w:rPr>
        <w:tab/>
        <w:t>11.</w:t>
      </w:r>
      <w:r w:rsidRPr="00EF4ABB">
        <w:tab/>
      </w:r>
      <w:r w:rsidRPr="00EF4ABB">
        <w:rPr>
          <w:bCs/>
        </w:rPr>
        <w:t>Правила № 125 ООН (поле обзора водителя спереди)</w:t>
      </w:r>
      <w:bookmarkStart w:id="5" w:name="_Hlk46313585"/>
      <w:bookmarkEnd w:id="5"/>
    </w:p>
    <w:p w14:paraId="418FC41D" w14:textId="77777777" w:rsidR="001C4077" w:rsidRPr="001A5EA3" w:rsidRDefault="001C4077" w:rsidP="001C4077">
      <w:pPr>
        <w:pStyle w:val="H23G"/>
        <w:keepNext w:val="0"/>
        <w:keepLines w:val="0"/>
        <w:ind w:firstLine="574"/>
        <w:jc w:val="both"/>
        <w:rPr>
          <w:b w:val="0"/>
          <w:color w:val="000000" w:themeColor="text1"/>
        </w:rPr>
      </w:pPr>
      <w:r w:rsidRPr="001A5EA3">
        <w:rPr>
          <w:b w:val="0"/>
        </w:rPr>
        <w:t>GRSG, возможно, пожелает заслушать информацию о результатах работы НРГ по ассистенту для поля обзора (АПО) водителей.</w:t>
      </w:r>
    </w:p>
    <w:p w14:paraId="436354C4" w14:textId="77777777" w:rsidR="001C4077" w:rsidRPr="00EF4ABB" w:rsidRDefault="001C4077" w:rsidP="001C4077">
      <w:pPr>
        <w:ind w:left="567" w:firstLine="567"/>
      </w:pPr>
      <w:r w:rsidRPr="0008633F">
        <w:rPr>
          <w:b/>
          <w:bCs/>
        </w:rPr>
        <w:t>Документация:</w:t>
      </w:r>
      <w:r w:rsidRPr="00EF4ABB">
        <w:tab/>
        <w:t>ECE/TRANS/WP.29/GRSG/104, пункты 25 и 26</w:t>
      </w:r>
    </w:p>
    <w:p w14:paraId="54B7C0F0" w14:textId="77777777" w:rsidR="001C4077" w:rsidRPr="00EF4ABB" w:rsidRDefault="001C4077" w:rsidP="001C4077">
      <w:pPr>
        <w:pStyle w:val="H1G"/>
        <w:rPr>
          <w:color w:val="000000" w:themeColor="text1"/>
        </w:rPr>
      </w:pPr>
      <w:r w:rsidRPr="00EF4ABB">
        <w:rPr>
          <w:bCs/>
        </w:rPr>
        <w:tab/>
        <w:t>12.</w:t>
      </w:r>
      <w:r w:rsidRPr="00EF4ABB">
        <w:tab/>
      </w:r>
      <w:r w:rsidRPr="00EF4ABB">
        <w:rPr>
          <w:bCs/>
        </w:rPr>
        <w:t>Регистратор данных о событиях</w:t>
      </w:r>
    </w:p>
    <w:p w14:paraId="287199F2" w14:textId="77777777" w:rsidR="001C4077" w:rsidRPr="00EF4ABB" w:rsidRDefault="001C4077" w:rsidP="001C4077">
      <w:pPr>
        <w:pStyle w:val="H23G"/>
        <w:rPr>
          <w:color w:val="000000" w:themeColor="text1"/>
        </w:rPr>
      </w:pPr>
      <w:r w:rsidRPr="00EF4ABB">
        <w:tab/>
        <w:t>a)</w:t>
      </w:r>
      <w:r w:rsidRPr="00EF4ABB">
        <w:tab/>
      </w:r>
      <w:r w:rsidRPr="00EF4ABB">
        <w:rPr>
          <w:bCs/>
        </w:rPr>
        <w:t>Руководящие указания в отношении эксплуатационных характеристик регистраторов данных о событиях, которые могут быть приняты в рамках резолюций и правил, касающихся соглашений 1958 и 1998 годов</w:t>
      </w:r>
    </w:p>
    <w:p w14:paraId="292B9BD4" w14:textId="61204FEF" w:rsidR="001C4077" w:rsidRPr="00EF4ABB" w:rsidRDefault="001C4077" w:rsidP="001C4077">
      <w:pPr>
        <w:pStyle w:val="SingleTxtG"/>
        <w:widowControl w:val="0"/>
        <w:spacing w:before="120"/>
        <w:ind w:left="1143" w:firstLine="558"/>
      </w:pPr>
      <w:r w:rsidRPr="00EF4ABB">
        <w:t>GRSG, возможно, пожелает рассмотреть пересмотренное предложение по руководящим указаниям в отношении эксплуатационных характеристик регистраторов данных о событиях для большегрузных транспортных средств, которые могут быть приняты в рамках резолюций и правил, касающихся соглашений 1958 и 1998 годов (на основе документов ECE/TRANS/WP.29/GRSG/2023/14 и</w:t>
      </w:r>
      <w:r w:rsidR="004D0947">
        <w:br/>
      </w:r>
      <w:r w:rsidRPr="00EF4ABB">
        <w:t>GRSG-125-08), подготовленное экспертами неофициальной рабочей группы по регистраторам данных о событиях/системе хранения данных для автоматизированного вождения (НРГ</w:t>
      </w:r>
      <w:r>
        <w:t xml:space="preserve"> по </w:t>
      </w:r>
      <w:r w:rsidRPr="00EF4ABB">
        <w:t>РДС/СХДАВ).</w:t>
      </w:r>
    </w:p>
    <w:p w14:paraId="3EF0D0DE" w14:textId="1B35829E" w:rsidR="001C4077" w:rsidRPr="00EF4ABB" w:rsidRDefault="001C4077" w:rsidP="004D0947">
      <w:pPr>
        <w:pStyle w:val="SingleTxtG"/>
        <w:ind w:left="2835" w:hanging="1701"/>
        <w:jc w:val="left"/>
      </w:pPr>
      <w:r w:rsidRPr="00EF4ABB">
        <w:rPr>
          <w:b/>
          <w:bCs/>
        </w:rPr>
        <w:t>Документация:</w:t>
      </w:r>
      <w:r w:rsidRPr="00EF4ABB">
        <w:tab/>
        <w:t xml:space="preserve">ECE/TRANS/WP.29/GRSG/104, пункт 28 </w:t>
      </w:r>
      <w:r w:rsidR="004D0947">
        <w:br/>
      </w:r>
      <w:r w:rsidRPr="00EF4ABB">
        <w:t xml:space="preserve">(ECE/TRANS/WP.29/GRSG/2023/14) </w:t>
      </w:r>
      <w:r w:rsidR="004D0947">
        <w:br/>
      </w:r>
      <w:r w:rsidR="004D0947">
        <w:tab/>
      </w:r>
      <w:r w:rsidRPr="00EF4ABB">
        <w:t>(GRSG-</w:t>
      </w:r>
      <w:proofErr w:type="gramStart"/>
      <w:r w:rsidRPr="00EF4ABB">
        <w:t>125-08</w:t>
      </w:r>
      <w:proofErr w:type="gramEnd"/>
      <w:r w:rsidRPr="00EF4ABB">
        <w:t>)</w:t>
      </w:r>
    </w:p>
    <w:p w14:paraId="3789A353" w14:textId="77777777" w:rsidR="001C4077" w:rsidRPr="00EF4ABB" w:rsidRDefault="001C4077" w:rsidP="001C4077">
      <w:pPr>
        <w:pStyle w:val="H23G"/>
        <w:rPr>
          <w:color w:val="000000" w:themeColor="text1"/>
        </w:rPr>
      </w:pPr>
      <w:r w:rsidRPr="00EF4ABB">
        <w:tab/>
        <w:t xml:space="preserve">b) </w:t>
      </w:r>
      <w:r w:rsidRPr="00EF4ABB">
        <w:tab/>
      </w:r>
      <w:r w:rsidRPr="00EF4ABB">
        <w:rPr>
          <w:bCs/>
        </w:rPr>
        <w:t>Правила № 160 ООН (регистратор данных о событиях)</w:t>
      </w:r>
    </w:p>
    <w:p w14:paraId="364B765A" w14:textId="77777777" w:rsidR="001C4077" w:rsidRPr="00EF4ABB" w:rsidRDefault="001C4077" w:rsidP="001C4077">
      <w:pPr>
        <w:pStyle w:val="SingleTxtG"/>
        <w:widowControl w:val="0"/>
        <w:spacing w:before="120"/>
        <w:ind w:left="1143" w:firstLine="558"/>
      </w:pPr>
      <w:r w:rsidRPr="00EF4ABB">
        <w:t>GRSG, возможно, пожелает рассмотреть предложения по поправкам к Правилам № 160 ООН, если таковые будут представлены.</w:t>
      </w:r>
    </w:p>
    <w:p w14:paraId="08083450" w14:textId="12DC9DAE" w:rsidR="001C4077" w:rsidRPr="00EF4ABB" w:rsidRDefault="001C4077" w:rsidP="00A1481E">
      <w:pPr>
        <w:pStyle w:val="H23G"/>
        <w:rPr>
          <w:color w:val="000000" w:themeColor="text1"/>
        </w:rPr>
      </w:pPr>
      <w:r w:rsidRPr="00EF4ABB">
        <w:rPr>
          <w:bCs/>
        </w:rPr>
        <w:tab/>
        <w:t>c)</w:t>
      </w:r>
      <w:r w:rsidRPr="00EF4ABB">
        <w:tab/>
      </w:r>
      <w:r w:rsidRPr="00EF4ABB">
        <w:rPr>
          <w:bCs/>
        </w:rPr>
        <w:t xml:space="preserve">Новые правила ООН, касающиеся регистратора данных о событиях </w:t>
      </w:r>
      <w:r w:rsidR="00D65E08">
        <w:rPr>
          <w:bCs/>
        </w:rPr>
        <w:br/>
      </w:r>
      <w:r w:rsidRPr="00EF4ABB">
        <w:rPr>
          <w:bCs/>
        </w:rPr>
        <w:t>для транспортных средств большой грузоподъемности</w:t>
      </w:r>
    </w:p>
    <w:p w14:paraId="3DCB9DD4" w14:textId="34C88A44" w:rsidR="001C4077" w:rsidRPr="0008633F" w:rsidRDefault="001C4077" w:rsidP="00A72FE6">
      <w:pPr>
        <w:pStyle w:val="SingleTxtG"/>
        <w:rPr>
          <w:spacing w:val="-2"/>
        </w:rPr>
      </w:pPr>
      <w:r w:rsidRPr="00EF4ABB">
        <w:tab/>
        <w:t xml:space="preserve">GRSG, как ожидается, рассмотрит пересмотренное предложение по новым правилам ООН, касающимся регистраторов данных о событиях (РДС) для </w:t>
      </w:r>
      <w:r w:rsidRPr="0008633F">
        <w:rPr>
          <w:spacing w:val="-2"/>
        </w:rPr>
        <w:t xml:space="preserve">большегрузных транспортных средств, представленное экспертами НРГ по РДС/СХДАВ (на основе документов ECE/TRANS/WP.29/GRSG/2023/13 и </w:t>
      </w:r>
      <w:r w:rsidR="00A72FE6">
        <w:rPr>
          <w:spacing w:val="-2"/>
        </w:rPr>
        <w:br/>
      </w:r>
      <w:r w:rsidRPr="0008633F">
        <w:rPr>
          <w:spacing w:val="-2"/>
        </w:rPr>
        <w:t>GRSG-125-07).</w:t>
      </w:r>
    </w:p>
    <w:p w14:paraId="166759AC" w14:textId="00AD7785" w:rsidR="001C4077" w:rsidRPr="00EF4ABB" w:rsidRDefault="001C4077" w:rsidP="00A72FE6">
      <w:pPr>
        <w:pStyle w:val="SingleTxtG"/>
        <w:ind w:left="2835" w:hanging="1701"/>
        <w:jc w:val="left"/>
      </w:pPr>
      <w:r w:rsidRPr="00EF4ABB">
        <w:rPr>
          <w:b/>
          <w:bCs/>
        </w:rPr>
        <w:t>Документация:</w:t>
      </w:r>
      <w:r w:rsidRPr="00EF4ABB">
        <w:tab/>
        <w:t xml:space="preserve">ECE/TRANS/WP.29/GRSG/104, пункт 35 </w:t>
      </w:r>
      <w:r w:rsidR="00A72FE6">
        <w:br/>
      </w:r>
      <w:r w:rsidRPr="00EF4ABB">
        <w:t xml:space="preserve">(ECE/TRANS/WP.29/GRSG/2023/13) </w:t>
      </w:r>
      <w:r w:rsidR="00A72FE6">
        <w:br/>
      </w:r>
      <w:r w:rsidRPr="00EF4ABB">
        <w:t>(GRSG-</w:t>
      </w:r>
      <w:proofErr w:type="gramStart"/>
      <w:r w:rsidRPr="00EF4ABB">
        <w:t>125-07</w:t>
      </w:r>
      <w:proofErr w:type="gramEnd"/>
      <w:r w:rsidRPr="00EF4ABB">
        <w:t>)</w:t>
      </w:r>
    </w:p>
    <w:p w14:paraId="15E7CB71" w14:textId="77777777" w:rsidR="001C4077" w:rsidRPr="00EF4ABB" w:rsidRDefault="001C4077" w:rsidP="001C4077">
      <w:pPr>
        <w:pStyle w:val="H1G"/>
        <w:rPr>
          <w:color w:val="000000" w:themeColor="text1"/>
        </w:rPr>
      </w:pPr>
      <w:r w:rsidRPr="00EF4ABB">
        <w:rPr>
          <w:bCs/>
        </w:rPr>
        <w:tab/>
        <w:t>13.</w:t>
      </w:r>
      <w:r w:rsidRPr="00EF4ABB">
        <w:tab/>
      </w:r>
      <w:r w:rsidRPr="00EF4ABB">
        <w:rPr>
          <w:bCs/>
        </w:rPr>
        <w:t>Правила № 0 ООН (международная система официального утверждения типа комплектного транспортного средства)</w:t>
      </w:r>
    </w:p>
    <w:p w14:paraId="78746B1D" w14:textId="77777777" w:rsidR="001C4077" w:rsidRPr="00EF4ABB" w:rsidRDefault="001C4077" w:rsidP="001C4077">
      <w:pPr>
        <w:pStyle w:val="SingleTxtG"/>
        <w:ind w:firstLine="567"/>
        <w:rPr>
          <w:rFonts w:asciiTheme="majorBidi" w:hAnsiTheme="majorBidi" w:cstheme="majorBidi"/>
          <w:color w:val="000000" w:themeColor="text1"/>
        </w:rPr>
      </w:pPr>
      <w:r w:rsidRPr="00EF4ABB">
        <w:t xml:space="preserve">GRSG будет проинформирована об итогах последних совещаний НРГ по международной системе официального утверждения типа комплектного транспортного средства (МОУТКТС) и о последующих действиях GRSG, обусловленных новыми приоритетами в рамках второго этапа разработки МОУТКТС. В частности, о находящихся в ведении GRSG правилах ООН, которые должны быть </w:t>
      </w:r>
      <w:r w:rsidRPr="00EF4ABB">
        <w:lastRenderedPageBreak/>
        <w:t xml:space="preserve">добавлены в приложение 4 к Правилам № 0 ООН. Кроме того, GRSG решила возобновить и завершить обсуждение вопроса об использовании единого идентификатора (ЕИ) на основе согласованного WP.29 </w:t>
      </w:r>
      <w:proofErr w:type="gramStart"/>
      <w:r w:rsidRPr="00EF4ABB">
        <w:t>принципа</w:t>
      </w:r>
      <w:proofErr w:type="gramEnd"/>
      <w:r w:rsidRPr="00EF4ABB">
        <w:t>, согласно которому любой запрет на использование ЕИ должен быть четко оговорен в соответствующих правилах ООН, а также на основе предложения, внесенного экспертом от Международного комитета по техническому осмотру автотранспортных средств (МКТОТ) (GRSG-125-35).</w:t>
      </w:r>
    </w:p>
    <w:p w14:paraId="5F23BD06" w14:textId="0D6A4A1E" w:rsidR="001C4077" w:rsidRPr="00EF4ABB" w:rsidRDefault="001C4077" w:rsidP="0008633F">
      <w:pPr>
        <w:pStyle w:val="SingleTxtG"/>
        <w:ind w:left="2835" w:hanging="1701"/>
        <w:jc w:val="left"/>
        <w:rPr>
          <w:color w:val="000000" w:themeColor="text1"/>
        </w:rPr>
      </w:pPr>
      <w:r w:rsidRPr="00EF4ABB">
        <w:rPr>
          <w:b/>
          <w:bCs/>
        </w:rPr>
        <w:t>Документация:</w:t>
      </w:r>
      <w:r w:rsidRPr="00EF4ABB">
        <w:tab/>
        <w:t>ECE/TRANS/WP.29/GRSG/104, пункт 38</w:t>
      </w:r>
      <w:r w:rsidR="0008633F">
        <w:br/>
      </w:r>
      <w:r w:rsidRPr="00EF4ABB">
        <w:t>(GRSG-</w:t>
      </w:r>
      <w:proofErr w:type="gramStart"/>
      <w:r w:rsidRPr="00EF4ABB">
        <w:t>125-35</w:t>
      </w:r>
      <w:proofErr w:type="gramEnd"/>
      <w:r w:rsidRPr="00EF4ABB">
        <w:t>)</w:t>
      </w:r>
    </w:p>
    <w:p w14:paraId="791774EE" w14:textId="77777777" w:rsidR="001C4077" w:rsidRPr="00EF4ABB" w:rsidRDefault="001C4077" w:rsidP="001C4077">
      <w:pPr>
        <w:pStyle w:val="H1G"/>
      </w:pPr>
      <w:r w:rsidRPr="00EF4ABB">
        <w:rPr>
          <w:bCs/>
        </w:rPr>
        <w:tab/>
        <w:t>14.</w:t>
      </w:r>
      <w:r w:rsidRPr="00EF4ABB">
        <w:tab/>
      </w:r>
      <w:r w:rsidRPr="00EF4ABB">
        <w:rPr>
          <w:bCs/>
        </w:rPr>
        <w:t>Сводная резолюция о конструкции транспортных средств</w:t>
      </w:r>
      <w:r w:rsidRPr="00EF4ABB">
        <w:t xml:space="preserve"> </w:t>
      </w:r>
    </w:p>
    <w:p w14:paraId="13EDC1EE" w14:textId="7D64CBF4" w:rsidR="001C4077" w:rsidRPr="00EF4ABB" w:rsidRDefault="001C4077" w:rsidP="001C4077">
      <w:pPr>
        <w:pStyle w:val="SingleTxtG"/>
        <w:ind w:firstLine="567"/>
      </w:pPr>
      <w:r w:rsidRPr="00EF4ABB">
        <w:t>GRSG решила возобновить рассмотрение пересмотренного предложения</w:t>
      </w:r>
      <w:r w:rsidRPr="001A5EA3">
        <w:t xml:space="preserve"> </w:t>
      </w:r>
      <w:r w:rsidRPr="00EF4ABB">
        <w:t>по поправкам к Сводной резолюции о конструкции транспортных средств (СР.3), представленного экспертом от Международной ассоциации изготовителей автомобильных кузовов и прицепов (МАИАКП) (документ ECE/TRANS/WP.29/</w:t>
      </w:r>
      <w:r w:rsidR="0008633F" w:rsidRPr="0008633F">
        <w:t xml:space="preserve"> </w:t>
      </w:r>
      <w:r w:rsidRPr="00EF4ABB">
        <w:t>GRSG/2023/5</w:t>
      </w:r>
      <w:r>
        <w:t xml:space="preserve"> на основе </w:t>
      </w:r>
      <w:r w:rsidRPr="00EF4ABB">
        <w:t>документ</w:t>
      </w:r>
      <w:r>
        <w:t>а</w:t>
      </w:r>
      <w:r w:rsidRPr="00EF4ABB">
        <w:t xml:space="preserve"> GRSG-</w:t>
      </w:r>
      <w:proofErr w:type="gramStart"/>
      <w:r w:rsidRPr="00EF4ABB">
        <w:t>124-12</w:t>
      </w:r>
      <w:proofErr w:type="gramEnd"/>
      <w:r w:rsidRPr="00EF4ABB">
        <w:t>).</w:t>
      </w:r>
    </w:p>
    <w:p w14:paraId="2335777E" w14:textId="77777777" w:rsidR="001C4077" w:rsidRPr="00EF4ABB" w:rsidRDefault="001C4077" w:rsidP="001C4077">
      <w:pPr>
        <w:pStyle w:val="SingleTxtG"/>
        <w:ind w:left="2835" w:hanging="1701"/>
        <w:jc w:val="left"/>
      </w:pPr>
      <w:r w:rsidRPr="00EF4ABB">
        <w:rPr>
          <w:b/>
          <w:bCs/>
        </w:rPr>
        <w:t>Документация:</w:t>
      </w:r>
      <w:r w:rsidRPr="00EF4ABB">
        <w:tab/>
        <w:t>ECE/TRANS/WP.29/GRSG/104, пункт 39 ECE/TRANS/WP.29/GRSG/2023/5</w:t>
      </w:r>
    </w:p>
    <w:p w14:paraId="5535E0CF" w14:textId="77777777" w:rsidR="001C4077" w:rsidRPr="00EF4ABB" w:rsidRDefault="001C4077" w:rsidP="001C4077">
      <w:pPr>
        <w:pStyle w:val="H1G"/>
        <w:rPr>
          <w:color w:val="000000" w:themeColor="text1"/>
        </w:rPr>
      </w:pPr>
      <w:r w:rsidRPr="00EF4ABB">
        <w:rPr>
          <w:bCs/>
        </w:rPr>
        <w:tab/>
        <w:t>15.</w:t>
      </w:r>
      <w:r w:rsidRPr="00EF4ABB">
        <w:tab/>
      </w:r>
      <w:r w:rsidRPr="00EF4ABB">
        <w:rPr>
          <w:bCs/>
        </w:rPr>
        <w:t>Специальная резолюция № 1, касающаяся общих определений категорий, масс и размеров транспортных средств</w:t>
      </w:r>
    </w:p>
    <w:p w14:paraId="0EFE3C58" w14:textId="77777777" w:rsidR="001C4077" w:rsidRPr="00EF4ABB" w:rsidRDefault="001C4077" w:rsidP="001C4077">
      <w:pPr>
        <w:pStyle w:val="SingleTxtG"/>
        <w:ind w:firstLine="567"/>
        <w:rPr>
          <w:color w:val="000000" w:themeColor="text1"/>
          <w:szCs w:val="23"/>
        </w:rPr>
      </w:pPr>
      <w:r w:rsidRPr="00EF4ABB">
        <w:t>GRSG решила возобновить рассмотрение предложения по поправкам к Специальной резолюции № 1, касающейся общих определений категорий, масс и размеров транспортных средств (СпР.1) (заменяет документ ECE/TRANS/WP.29/ GRSG/2022/18), если таковое будет представлено.</w:t>
      </w:r>
    </w:p>
    <w:p w14:paraId="4A5DB8F6" w14:textId="77777777" w:rsidR="001C4077" w:rsidRPr="00EF4ABB" w:rsidRDefault="001C4077" w:rsidP="001C4077">
      <w:pPr>
        <w:pStyle w:val="SingleTxtG"/>
        <w:ind w:left="2835" w:hanging="1701"/>
        <w:jc w:val="left"/>
        <w:rPr>
          <w:color w:val="000000" w:themeColor="text1"/>
        </w:rPr>
      </w:pPr>
      <w:r w:rsidRPr="00EF4ABB">
        <w:rPr>
          <w:b/>
          <w:bCs/>
        </w:rPr>
        <w:t>Документация:</w:t>
      </w:r>
      <w:r w:rsidRPr="00EF4ABB">
        <w:tab/>
        <w:t>ECE/TRANS/WP.29/GRSG/104, пункт 40 (ECE/TRANS/WP.29/GRSG/2022/18)</w:t>
      </w:r>
    </w:p>
    <w:p w14:paraId="088D89AA" w14:textId="77777777" w:rsidR="001C4077" w:rsidRPr="00EF4ABB" w:rsidRDefault="001C4077" w:rsidP="001C4077">
      <w:pPr>
        <w:pStyle w:val="H1G"/>
        <w:rPr>
          <w:color w:val="000000" w:themeColor="text1"/>
        </w:rPr>
      </w:pPr>
      <w:r w:rsidRPr="00EF4ABB">
        <w:rPr>
          <w:bCs/>
        </w:rPr>
        <w:tab/>
        <w:t>16.</w:t>
      </w:r>
      <w:r w:rsidRPr="00EF4ABB">
        <w:tab/>
      </w:r>
      <w:r w:rsidRPr="00EF4ABB">
        <w:rPr>
          <w:bCs/>
        </w:rPr>
        <w:t>Обмен мнениями по вопросу об автоматизации транспортных средств</w:t>
      </w:r>
    </w:p>
    <w:p w14:paraId="38E6FF7F" w14:textId="77777777" w:rsidR="001C4077" w:rsidRPr="00EF4ABB" w:rsidRDefault="001C4077" w:rsidP="001C4077">
      <w:pPr>
        <w:spacing w:after="120"/>
        <w:ind w:left="1134" w:right="1134" w:firstLine="567"/>
        <w:jc w:val="both"/>
        <w:rPr>
          <w:rFonts w:asciiTheme="majorBidi" w:eastAsia="Times New Roman" w:hAnsiTheme="majorBidi" w:cstheme="majorBidi"/>
        </w:rPr>
      </w:pPr>
      <w:r w:rsidRPr="00EF4ABB">
        <w:t>GRSG, возможно, пожелает возобновить обсуждение этого вопроса и приступить к обновлению правил в соответствии с общими рекомендациями по координации деятельности целевых групп и вспомогательных органов WP.29.</w:t>
      </w:r>
    </w:p>
    <w:p w14:paraId="10E48295" w14:textId="77777777" w:rsidR="001C4077" w:rsidRPr="00EF4ABB" w:rsidRDefault="001C4077" w:rsidP="001C4077">
      <w:pPr>
        <w:spacing w:after="120"/>
        <w:ind w:left="1134" w:right="1134" w:hanging="9"/>
        <w:jc w:val="both"/>
        <w:rPr>
          <w:bCs/>
          <w:color w:val="000000" w:themeColor="text1"/>
        </w:rPr>
      </w:pPr>
      <w:r w:rsidRPr="00EF4ABB">
        <w:rPr>
          <w:b/>
          <w:bCs/>
        </w:rPr>
        <w:t>Документация:</w:t>
      </w:r>
      <w:r w:rsidRPr="00EF4ABB">
        <w:tab/>
        <w:t>ECE/TRANS/WP.29/GRSG/104, пункт 10</w:t>
      </w:r>
    </w:p>
    <w:p w14:paraId="297240A2" w14:textId="77777777" w:rsidR="001C4077" w:rsidRPr="00EF4ABB" w:rsidRDefault="001C4077" w:rsidP="001C4077">
      <w:pPr>
        <w:pStyle w:val="H1G"/>
      </w:pPr>
      <w:r w:rsidRPr="00EF4ABB">
        <w:rPr>
          <w:bCs/>
        </w:rPr>
        <w:tab/>
        <w:t>17.</w:t>
      </w:r>
      <w:r w:rsidRPr="00EF4ABB">
        <w:tab/>
      </w:r>
      <w:r w:rsidRPr="00EF4ABB">
        <w:rPr>
          <w:bCs/>
        </w:rPr>
        <w:t>Выборы должностных лиц</w:t>
      </w:r>
    </w:p>
    <w:p w14:paraId="1F264AAA" w14:textId="77777777" w:rsidR="001C4077" w:rsidRPr="00EF4ABB" w:rsidRDefault="001C4077" w:rsidP="001C4077">
      <w:pPr>
        <w:ind w:left="1134" w:right="1134"/>
        <w:jc w:val="both"/>
      </w:pPr>
      <w:r w:rsidRPr="00EF4ABB">
        <w:tab/>
      </w:r>
      <w:r w:rsidRPr="00EF4ABB">
        <w:tab/>
        <w:t>В соответствии с правилом 37 правил процедуры (TRANS/WP.29/690/Rev.2) GRSG изберет Председателя и заместителя Председателя для сессий, запланированных на 2024 год.</w:t>
      </w:r>
    </w:p>
    <w:p w14:paraId="1B0B1DFF" w14:textId="77777777" w:rsidR="001C4077" w:rsidRPr="00EF4ABB" w:rsidRDefault="001C4077" w:rsidP="001C4077">
      <w:pPr>
        <w:pStyle w:val="H1G"/>
      </w:pPr>
      <w:r w:rsidRPr="00EF4ABB">
        <w:rPr>
          <w:bCs/>
        </w:rPr>
        <w:tab/>
        <w:t>18.</w:t>
      </w:r>
      <w:r w:rsidRPr="00EF4ABB">
        <w:tab/>
      </w:r>
      <w:r w:rsidRPr="00EF4ABB">
        <w:rPr>
          <w:bCs/>
        </w:rPr>
        <w:t>Прочие вопросы</w:t>
      </w:r>
    </w:p>
    <w:p w14:paraId="148A88FF" w14:textId="77777777" w:rsidR="001C4077" w:rsidRPr="00EF4ABB" w:rsidRDefault="001C4077" w:rsidP="001C4077">
      <w:pPr>
        <w:pStyle w:val="H23G"/>
      </w:pPr>
      <w:r w:rsidRPr="00EF4ABB">
        <w:tab/>
        <w:t>a)</w:t>
      </w:r>
      <w:r w:rsidRPr="00EF4ABB">
        <w:tab/>
      </w:r>
      <w:r w:rsidRPr="00EF4ABB">
        <w:tab/>
      </w:r>
      <w:r w:rsidRPr="00EF4ABB">
        <w:rPr>
          <w:bCs/>
        </w:rPr>
        <w:t>Обмен мнениями о будущей деятельности Рабочей группы по общим предписаниям, касающимся безопасности</w:t>
      </w:r>
    </w:p>
    <w:p w14:paraId="21B64B72" w14:textId="77777777" w:rsidR="001C4077" w:rsidRPr="00EF4ABB" w:rsidRDefault="001C4077" w:rsidP="001C4077">
      <w:pPr>
        <w:spacing w:after="120"/>
        <w:ind w:left="1134" w:right="1134" w:firstLine="567"/>
        <w:jc w:val="both"/>
      </w:pPr>
      <w:r w:rsidRPr="00EF4ABB">
        <w:t>GRSG, возможно, пожелает рассмотреть перечень приоритетов для своей будущей работы.</w:t>
      </w:r>
    </w:p>
    <w:p w14:paraId="69791FB7" w14:textId="77777777" w:rsidR="001C4077" w:rsidRPr="00EF4ABB" w:rsidRDefault="001C4077" w:rsidP="0008633F">
      <w:pPr>
        <w:pStyle w:val="H23G"/>
      </w:pPr>
      <w:r w:rsidRPr="00EF4ABB">
        <w:lastRenderedPageBreak/>
        <w:tab/>
        <w:t>b)</w:t>
      </w:r>
      <w:r w:rsidRPr="00EF4ABB">
        <w:tab/>
      </w:r>
      <w:r w:rsidRPr="00EF4ABB">
        <w:rPr>
          <w:bCs/>
        </w:rPr>
        <w:t>Периодические технические осмотры</w:t>
      </w:r>
    </w:p>
    <w:p w14:paraId="66C29E5F" w14:textId="0D37E77F" w:rsidR="001C4077" w:rsidRPr="00EF4ABB" w:rsidRDefault="001C4077" w:rsidP="001C4077">
      <w:pPr>
        <w:pStyle w:val="af3"/>
        <w:spacing w:before="120" w:after="120"/>
        <w:ind w:left="1140" w:right="1134" w:firstLine="561"/>
        <w:jc w:val="both"/>
        <w:rPr>
          <w:rFonts w:eastAsia="Times New Roman"/>
          <w:lang w:val="ru-RU"/>
        </w:rPr>
      </w:pPr>
      <w:r w:rsidRPr="00EF4ABB">
        <w:rPr>
          <w:lang w:val="ru-RU"/>
        </w:rPr>
        <w:t xml:space="preserve">Ожидается, что GRSG возобновит обсуждение пересмотренного предложения, внесенного экспертом от Российской Федерации, в котором предлагается новое предписание (Соглашение 1997 года), и </w:t>
      </w:r>
      <w:r>
        <w:rPr>
          <w:lang w:val="ru-RU"/>
        </w:rPr>
        <w:t>итогов обсуждений</w:t>
      </w:r>
      <w:r w:rsidRPr="00EF4ABB">
        <w:rPr>
          <w:lang w:val="ru-RU"/>
        </w:rPr>
        <w:t xml:space="preserve"> НРГ по периодическим техническим осмотрам (ПТО) относительно введения ПТО систем вызова экстренных оперативных служб (СВЭС), предназначенных для установки на транспортных средствах категорий M</w:t>
      </w:r>
      <w:r w:rsidRPr="00EF4ABB">
        <w:rPr>
          <w:vertAlign w:val="subscript"/>
          <w:lang w:val="ru-RU"/>
        </w:rPr>
        <w:t>1</w:t>
      </w:r>
      <w:r w:rsidRPr="00EF4ABB">
        <w:rPr>
          <w:lang w:val="ru-RU"/>
        </w:rPr>
        <w:t xml:space="preserve"> и N</w:t>
      </w:r>
      <w:r w:rsidRPr="00EF4ABB">
        <w:rPr>
          <w:vertAlign w:val="subscript"/>
          <w:lang w:val="ru-RU"/>
        </w:rPr>
        <w:t>1</w:t>
      </w:r>
      <w:r w:rsidRPr="00EF4ABB">
        <w:rPr>
          <w:lang w:val="ru-RU"/>
        </w:rPr>
        <w:t xml:space="preserve">, на которые распространяются положения Правил № 144 ООН (документ ECE/TRANS/WP.29/GRSG/2023/6 с поправками, указанными </w:t>
      </w:r>
      <w:r w:rsidR="0008633F">
        <w:rPr>
          <w:lang w:val="ru-RU"/>
        </w:rPr>
        <w:br/>
      </w:r>
      <w:r w:rsidRPr="00EF4ABB">
        <w:rPr>
          <w:lang w:val="ru-RU"/>
        </w:rPr>
        <w:t>в пункте 44 документа ECE/TRANS/WP.29/GRSG/104).</w:t>
      </w:r>
    </w:p>
    <w:p w14:paraId="53429C1F" w14:textId="77777777" w:rsidR="001C4077" w:rsidRPr="00EF4ABB" w:rsidRDefault="001C4077" w:rsidP="001C4077">
      <w:pPr>
        <w:pStyle w:val="SingleTxtG"/>
        <w:ind w:left="2835" w:hanging="1701"/>
        <w:jc w:val="left"/>
      </w:pPr>
      <w:r w:rsidRPr="00EF4ABB">
        <w:rPr>
          <w:b/>
          <w:bCs/>
        </w:rPr>
        <w:t>Документация:</w:t>
      </w:r>
      <w:r w:rsidRPr="00EF4ABB">
        <w:tab/>
        <w:t>ECE/TRANS/WP.29/GRSG/104, пункт 44 ECE/TRANS/WP.29/GRSG/2023/6</w:t>
      </w:r>
    </w:p>
    <w:p w14:paraId="3D6C2389" w14:textId="16F26554" w:rsidR="001C4077" w:rsidRPr="00EF4ABB" w:rsidRDefault="001C4077" w:rsidP="0008633F">
      <w:pPr>
        <w:pStyle w:val="H23G"/>
      </w:pPr>
      <w:r w:rsidRPr="00EF4ABB">
        <w:rPr>
          <w:bCs/>
        </w:rPr>
        <w:tab/>
      </w:r>
      <w:r w:rsidRPr="00C909B2">
        <w:rPr>
          <w:bCs/>
        </w:rPr>
        <w:t>c)</w:t>
      </w:r>
      <w:r w:rsidRPr="00C909B2">
        <w:tab/>
      </w:r>
      <w:r w:rsidRPr="00C909B2">
        <w:rPr>
          <w:bCs/>
        </w:rPr>
        <w:t xml:space="preserve">Основные вопросы, рассмотренные на сессии Всемирного форума </w:t>
      </w:r>
      <w:r w:rsidR="006D2918" w:rsidRPr="00C909B2">
        <w:rPr>
          <w:bCs/>
        </w:rPr>
        <w:br/>
      </w:r>
      <w:r w:rsidRPr="00C909B2">
        <w:rPr>
          <w:bCs/>
        </w:rPr>
        <w:t xml:space="preserve">для согласования правил в области транспортных средств, состоявшейся </w:t>
      </w:r>
      <w:r w:rsidR="006D2918" w:rsidRPr="00C909B2">
        <w:rPr>
          <w:bCs/>
        </w:rPr>
        <w:br/>
      </w:r>
      <w:r w:rsidRPr="00C909B2">
        <w:rPr>
          <w:bCs/>
        </w:rPr>
        <w:t>в июне 2023 года</w:t>
      </w:r>
    </w:p>
    <w:p w14:paraId="789C032D" w14:textId="77777777" w:rsidR="001C4077" w:rsidRPr="00EF4ABB" w:rsidRDefault="001C4077" w:rsidP="006D2918">
      <w:pPr>
        <w:pStyle w:val="SingleTxtG"/>
        <w:ind w:left="1140" w:firstLine="561"/>
      </w:pPr>
      <w:r w:rsidRPr="00EF4ABB">
        <w:t>GRSG будет кратко проинформирована секретариатом об основных вопросах, рассмотренных на указанной сессии Всемирного форума для согласования правил в области транспортных средств (WP.29), которые касаются GRSG и прочих общих тем.</w:t>
      </w:r>
    </w:p>
    <w:p w14:paraId="1432CF55" w14:textId="77777777" w:rsidR="001C4077" w:rsidRPr="00EF4ABB" w:rsidRDefault="001C4077" w:rsidP="006D2918">
      <w:pPr>
        <w:pStyle w:val="H23G"/>
      </w:pPr>
      <w:r w:rsidRPr="00EF4ABB">
        <w:rPr>
          <w:bCs/>
        </w:rPr>
        <w:tab/>
        <w:t>d)</w:t>
      </w:r>
      <w:r w:rsidRPr="00EF4ABB">
        <w:tab/>
      </w:r>
      <w:r w:rsidRPr="00EF4ABB">
        <w:rPr>
          <w:bCs/>
        </w:rPr>
        <w:t>Объемный механизм определения точки Н</w:t>
      </w:r>
    </w:p>
    <w:p w14:paraId="7C48BEA0" w14:textId="77777777" w:rsidR="001C4077" w:rsidRPr="00EF4ABB" w:rsidRDefault="001C4077" w:rsidP="006D2918">
      <w:pPr>
        <w:spacing w:line="240" w:lineRule="auto"/>
        <w:ind w:left="1134" w:right="1134" w:firstLine="567"/>
        <w:jc w:val="both"/>
      </w:pPr>
      <w:r w:rsidRPr="00EF4ABB">
        <w:t>GRSP решила продолжить рассмотрение вопроса о недостаточной согласованности объемных механизмов определения точки H, с тем чтобы помочь GRSG в выработке единого подхода и поиске соответствующих решений.</w:t>
      </w:r>
    </w:p>
    <w:p w14:paraId="7F7A8EAC" w14:textId="12398133" w:rsidR="001C4077" w:rsidRPr="00EF4ABB" w:rsidRDefault="001C4077" w:rsidP="00553071">
      <w:pPr>
        <w:pStyle w:val="SingleTxtG"/>
        <w:spacing w:before="120" w:line="240" w:lineRule="auto"/>
        <w:rPr>
          <w:bCs/>
        </w:rPr>
      </w:pPr>
      <w:r w:rsidRPr="00EF4ABB">
        <w:rPr>
          <w:b/>
          <w:bCs/>
        </w:rPr>
        <w:t>Документация</w:t>
      </w:r>
      <w:r w:rsidR="00553071" w:rsidRPr="00EF4ABB">
        <w:rPr>
          <w:b/>
          <w:bCs/>
        </w:rPr>
        <w:t>:</w:t>
      </w:r>
      <w:r w:rsidR="00553071">
        <w:rPr>
          <w:b/>
          <w:bCs/>
        </w:rPr>
        <w:t xml:space="preserve"> </w:t>
      </w:r>
      <w:r w:rsidR="00553071">
        <w:rPr>
          <w:b/>
          <w:bCs/>
        </w:rPr>
        <w:tab/>
      </w:r>
      <w:r w:rsidRPr="00EF4ABB">
        <w:t>ECE/TRANS/WP.29/GRSG/104, пункт 47</w:t>
      </w:r>
    </w:p>
    <w:p w14:paraId="1BC04DEE" w14:textId="77777777" w:rsidR="001C4077" w:rsidRPr="00EF4ABB" w:rsidRDefault="001C4077" w:rsidP="006D2918">
      <w:pPr>
        <w:pStyle w:val="H23G"/>
      </w:pPr>
      <w:r w:rsidRPr="00EF4ABB">
        <w:rPr>
          <w:bCs/>
        </w:rPr>
        <w:tab/>
        <w:t>e)</w:t>
      </w:r>
      <w:r w:rsidRPr="00EF4ABB">
        <w:tab/>
      </w:r>
      <w:r w:rsidRPr="00EF4ABB">
        <w:rPr>
          <w:bCs/>
        </w:rPr>
        <w:t>Прочие вопросы</w:t>
      </w:r>
    </w:p>
    <w:p w14:paraId="3B7A573D" w14:textId="77777777" w:rsidR="001C4077" w:rsidRPr="00EF4ABB" w:rsidRDefault="001C4077" w:rsidP="006D2918">
      <w:pPr>
        <w:pStyle w:val="SingleTxtG"/>
        <w:ind w:firstLine="567"/>
      </w:pPr>
      <w:r w:rsidRPr="00EF4ABB">
        <w:t>GRSG решила возобновить обсуждение</w:t>
      </w:r>
      <w:r>
        <w:t>,</w:t>
      </w:r>
      <w:r w:rsidRPr="00EF4ABB">
        <w:t xml:space="preserve"> среди прочего</w:t>
      </w:r>
      <w:r>
        <w:t>,</w:t>
      </w:r>
      <w:r w:rsidRPr="00EF4ABB">
        <w:t xml:space="preserve"> вопроса об использовании ветровых стекол с цветной тонировкой.</w:t>
      </w:r>
    </w:p>
    <w:p w14:paraId="213BA6E0" w14:textId="2CD6CBAC" w:rsidR="001C4077" w:rsidRPr="00DF0DC9" w:rsidRDefault="001C4077" w:rsidP="00553071">
      <w:pPr>
        <w:pStyle w:val="SingleTxtG"/>
        <w:spacing w:before="120" w:line="240" w:lineRule="auto"/>
        <w:rPr>
          <w:bCs/>
        </w:rPr>
      </w:pPr>
      <w:r>
        <w:rPr>
          <w:b/>
          <w:bCs/>
        </w:rPr>
        <w:t>Документация</w:t>
      </w:r>
      <w:r w:rsidR="00553071" w:rsidRPr="00EF4ABB">
        <w:rPr>
          <w:b/>
          <w:bCs/>
        </w:rPr>
        <w:t>:</w:t>
      </w:r>
      <w:r w:rsidR="00553071">
        <w:rPr>
          <w:b/>
          <w:bCs/>
        </w:rPr>
        <w:tab/>
      </w:r>
      <w:r>
        <w:t>ECE/TRANS/WP.29/GRSG/104, пункт 48</w:t>
      </w:r>
    </w:p>
    <w:p w14:paraId="087DAF1A" w14:textId="77777777" w:rsidR="001C4077" w:rsidRPr="00DF0DC9" w:rsidRDefault="001C4077" w:rsidP="001C4077">
      <w:pPr>
        <w:spacing w:before="240"/>
        <w:ind w:left="1134" w:right="1134"/>
        <w:jc w:val="center"/>
        <w:rPr>
          <w:u w:val="single"/>
        </w:rPr>
      </w:pPr>
      <w:r w:rsidRPr="00DF0DC9">
        <w:rPr>
          <w:u w:val="single"/>
        </w:rPr>
        <w:tab/>
      </w:r>
      <w:r w:rsidRPr="00DF0DC9">
        <w:rPr>
          <w:u w:val="single"/>
        </w:rPr>
        <w:tab/>
      </w:r>
      <w:r w:rsidRPr="00DF0DC9">
        <w:rPr>
          <w:u w:val="single"/>
        </w:rPr>
        <w:tab/>
      </w:r>
      <w:r w:rsidRPr="00DF0DC9">
        <w:rPr>
          <w:u w:val="single"/>
        </w:rPr>
        <w:tab/>
      </w:r>
    </w:p>
    <w:p w14:paraId="78E39309" w14:textId="77777777" w:rsidR="00E12C5F" w:rsidRPr="008D53B6" w:rsidRDefault="00E12C5F" w:rsidP="00D9145B"/>
    <w:sectPr w:rsidR="00E12C5F" w:rsidRPr="008D53B6" w:rsidSect="00AE762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BC03" w14:textId="77777777" w:rsidR="004440BF" w:rsidRPr="00A312BC" w:rsidRDefault="004440BF" w:rsidP="00A312BC"/>
  </w:endnote>
  <w:endnote w:type="continuationSeparator" w:id="0">
    <w:p w14:paraId="76957B2B" w14:textId="77777777" w:rsidR="004440BF" w:rsidRPr="00A312BC" w:rsidRDefault="004440B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D69C" w14:textId="33E1478B" w:rsidR="00AE7626" w:rsidRPr="00AE7626" w:rsidRDefault="00AE7626">
    <w:pPr>
      <w:pStyle w:val="a8"/>
    </w:pPr>
    <w:r w:rsidRPr="00AE7626">
      <w:rPr>
        <w:b/>
        <w:sz w:val="18"/>
      </w:rPr>
      <w:fldChar w:fldCharType="begin"/>
    </w:r>
    <w:r w:rsidRPr="00AE7626">
      <w:rPr>
        <w:b/>
        <w:sz w:val="18"/>
      </w:rPr>
      <w:instrText xml:space="preserve"> PAGE  \* MERGEFORMAT </w:instrText>
    </w:r>
    <w:r w:rsidRPr="00AE7626">
      <w:rPr>
        <w:b/>
        <w:sz w:val="18"/>
      </w:rPr>
      <w:fldChar w:fldCharType="separate"/>
    </w:r>
    <w:r w:rsidRPr="00AE7626">
      <w:rPr>
        <w:b/>
        <w:noProof/>
        <w:sz w:val="18"/>
      </w:rPr>
      <w:t>2</w:t>
    </w:r>
    <w:r w:rsidRPr="00AE7626">
      <w:rPr>
        <w:b/>
        <w:sz w:val="18"/>
      </w:rPr>
      <w:fldChar w:fldCharType="end"/>
    </w:r>
    <w:r>
      <w:rPr>
        <w:b/>
        <w:sz w:val="18"/>
      </w:rPr>
      <w:tab/>
    </w:r>
    <w:r>
      <w:t>GE.23-14112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5634" w14:textId="3BDB23AA" w:rsidR="00AE7626" w:rsidRPr="00AE7626" w:rsidRDefault="00AE7626" w:rsidP="00AE7626">
    <w:pPr>
      <w:pStyle w:val="a8"/>
      <w:tabs>
        <w:tab w:val="clear" w:pos="9639"/>
        <w:tab w:val="right" w:pos="9638"/>
      </w:tabs>
      <w:rPr>
        <w:b/>
        <w:sz w:val="18"/>
      </w:rPr>
    </w:pPr>
    <w:r>
      <w:t>GE.23-14112</w:t>
    </w:r>
    <w:r>
      <w:tab/>
    </w:r>
    <w:r w:rsidRPr="00AE7626">
      <w:rPr>
        <w:b/>
        <w:sz w:val="18"/>
      </w:rPr>
      <w:fldChar w:fldCharType="begin"/>
    </w:r>
    <w:r w:rsidRPr="00AE7626">
      <w:rPr>
        <w:b/>
        <w:sz w:val="18"/>
      </w:rPr>
      <w:instrText xml:space="preserve"> PAGE  \* MERGEFORMAT </w:instrText>
    </w:r>
    <w:r w:rsidRPr="00AE7626">
      <w:rPr>
        <w:b/>
        <w:sz w:val="18"/>
      </w:rPr>
      <w:fldChar w:fldCharType="separate"/>
    </w:r>
    <w:r w:rsidRPr="00AE7626">
      <w:rPr>
        <w:b/>
        <w:noProof/>
        <w:sz w:val="18"/>
      </w:rPr>
      <w:t>3</w:t>
    </w:r>
    <w:r w:rsidRPr="00AE76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9F89" w14:textId="3EE77E80" w:rsidR="00042B72" w:rsidRPr="00AE7626" w:rsidRDefault="00AE7626" w:rsidP="00AE762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D7DD5B5" wp14:editId="66C0148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23-14112  (R)</w:t>
    </w:r>
    <w:r>
      <w:rPr>
        <w:noProof/>
      </w:rPr>
      <w:drawing>
        <wp:anchor distT="0" distB="0" distL="114300" distR="114300" simplePos="0" relativeHeight="251659264" behindDoc="0" locked="0" layoutInCell="1" allowOverlap="1" wp14:anchorId="21634D0B" wp14:editId="24AB5B4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210723  310723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AF41" w14:textId="77777777" w:rsidR="004440BF" w:rsidRPr="001075E9" w:rsidRDefault="004440BF" w:rsidP="001075E9">
      <w:pPr>
        <w:tabs>
          <w:tab w:val="right" w:pos="2155"/>
        </w:tabs>
        <w:spacing w:after="80" w:line="240" w:lineRule="auto"/>
        <w:ind w:left="680"/>
        <w:rPr>
          <w:u w:val="single"/>
        </w:rPr>
      </w:pPr>
      <w:r>
        <w:rPr>
          <w:u w:val="single"/>
        </w:rPr>
        <w:tab/>
      </w:r>
    </w:p>
  </w:footnote>
  <w:footnote w:type="continuationSeparator" w:id="0">
    <w:p w14:paraId="0E96D846" w14:textId="77777777" w:rsidR="004440BF" w:rsidRDefault="004440BF" w:rsidP="00407B78">
      <w:pPr>
        <w:tabs>
          <w:tab w:val="right" w:pos="2155"/>
        </w:tabs>
        <w:spacing w:after="80"/>
        <w:ind w:left="680"/>
        <w:rPr>
          <w:u w:val="single"/>
        </w:rPr>
      </w:pPr>
      <w:r>
        <w:rPr>
          <w:u w:val="single"/>
        </w:rPr>
        <w:tab/>
      </w:r>
    </w:p>
  </w:footnote>
  <w:footnote w:id="1">
    <w:p w14:paraId="58B3361C" w14:textId="34A0107B" w:rsidR="001C4077" w:rsidRPr="00D25AAC" w:rsidRDefault="001C4077" w:rsidP="001C4077">
      <w:pPr>
        <w:pStyle w:val="ad"/>
      </w:pPr>
      <w:r>
        <w:tab/>
      </w:r>
      <w:r w:rsidRPr="00D25AAC">
        <w:rPr>
          <w:sz w:val="20"/>
          <w:szCs w:val="22"/>
        </w:rPr>
        <w:t>*</w:t>
      </w:r>
      <w:r>
        <w:tab/>
        <w:t>До сессии документы можно загрузить с веб-сайта Отдела устойчивого транспорта ЕЭК (</w:t>
      </w:r>
      <w:hyperlink r:id="rId1" w:history="1">
        <w:r w:rsidR="00D25AAC" w:rsidRPr="00236178">
          <w:rPr>
            <w:rStyle w:val="af1"/>
          </w:rPr>
          <w:t>https://unece.org/info/Transport/Vehicle-Regulations/events/378176</w:t>
        </w:r>
      </w:hyperlink>
      <w:r>
        <w:t xml:space="preserve">). С переводом официальных документов делегаты могут ознакомиться через общедоступную систему официальной документации (СОД) на следующем веб-сайте: </w:t>
      </w:r>
      <w:hyperlink r:id="rId2" w:history="1">
        <w:r w:rsidR="00D25AAC" w:rsidRPr="00236178">
          <w:rPr>
            <w:rStyle w:val="af1"/>
          </w:rPr>
          <w:t>http://documents.un.org/</w:t>
        </w:r>
      </w:hyperlink>
      <w:r>
        <w:t>.</w:t>
      </w:r>
      <w:r w:rsidR="00D25AAC" w:rsidRPr="00D25AAC">
        <w:t xml:space="preserve"> </w:t>
      </w:r>
    </w:p>
  </w:footnote>
  <w:footnote w:id="2">
    <w:p w14:paraId="6E2FBCD1" w14:textId="661276AF" w:rsidR="001C4077" w:rsidRPr="00231F2D" w:rsidRDefault="001C4077" w:rsidP="001C4077">
      <w:pPr>
        <w:pStyle w:val="ad"/>
      </w:pPr>
      <w:r>
        <w:tab/>
      </w:r>
      <w:r w:rsidRPr="00D25AAC">
        <w:rPr>
          <w:sz w:val="20"/>
          <w:szCs w:val="22"/>
        </w:rPr>
        <w:t xml:space="preserve">** </w:t>
      </w:r>
      <w:r>
        <w:tab/>
        <w:t>Делегатов просят зарегистрироваться онлайн с помощью системы регистрации на веб-сайте ЕЭК (</w:t>
      </w:r>
      <w:hyperlink r:id="rId3" w:history="1">
        <w:r w:rsidR="00D25AAC" w:rsidRPr="00236178">
          <w:rPr>
            <w:rStyle w:val="af1"/>
          </w:rPr>
          <w:t>https://indico.un.org/event/1002245/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462E" w14:textId="0B2F8B74" w:rsidR="00AE7626" w:rsidRPr="00AE7626" w:rsidRDefault="00AE7626">
    <w:pPr>
      <w:pStyle w:val="a5"/>
    </w:pPr>
    <w:fldSimple w:instr=" TITLE  \* MERGEFORMAT ">
      <w:r w:rsidR="001C1F2C">
        <w:t>ECE/TRANS/WP.29/GRSG/2023/17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29E0" w14:textId="05AFC5B8" w:rsidR="00AE7626" w:rsidRPr="00AE7626" w:rsidRDefault="00AE7626" w:rsidP="00AE7626">
    <w:pPr>
      <w:pStyle w:val="a5"/>
      <w:jc w:val="right"/>
    </w:pPr>
    <w:fldSimple w:instr=" TITLE  \* MERGEFORMAT ">
      <w:r w:rsidR="001C1F2C">
        <w:t>ECE/TRANS/WP.29/GRSG/2023/17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503E2"/>
    <w:multiLevelType w:val="hybridMultilevel"/>
    <w:tmpl w:val="938E49D6"/>
    <w:lvl w:ilvl="0" w:tplc="1870DAC0">
      <w:start w:val="1"/>
      <w:numFmt w:val="lowerLetter"/>
      <w:lvlText w:val="%1)"/>
      <w:lvlJc w:val="left"/>
      <w:pPr>
        <w:ind w:left="1140" w:hanging="555"/>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11408"/>
    <w:multiLevelType w:val="hybridMultilevel"/>
    <w:tmpl w:val="C04250BE"/>
    <w:lvl w:ilvl="0" w:tplc="4DC27494">
      <w:start w:val="1"/>
      <w:numFmt w:val="lowerLetter"/>
      <w:lvlText w:val="%1)"/>
      <w:lvlJc w:val="left"/>
      <w:pPr>
        <w:ind w:left="1361" w:hanging="51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91124255">
    <w:abstractNumId w:val="18"/>
  </w:num>
  <w:num w:numId="2" w16cid:durableId="1415784100">
    <w:abstractNumId w:val="11"/>
  </w:num>
  <w:num w:numId="3" w16cid:durableId="2033064268">
    <w:abstractNumId w:val="10"/>
  </w:num>
  <w:num w:numId="4" w16cid:durableId="92674942">
    <w:abstractNumId w:val="19"/>
  </w:num>
  <w:num w:numId="5" w16cid:durableId="126509134">
    <w:abstractNumId w:val="15"/>
  </w:num>
  <w:num w:numId="6" w16cid:durableId="342971718">
    <w:abstractNumId w:val="8"/>
  </w:num>
  <w:num w:numId="7" w16cid:durableId="1906256892">
    <w:abstractNumId w:val="3"/>
  </w:num>
  <w:num w:numId="8" w16cid:durableId="224151165">
    <w:abstractNumId w:val="2"/>
  </w:num>
  <w:num w:numId="9" w16cid:durableId="811483844">
    <w:abstractNumId w:val="1"/>
  </w:num>
  <w:num w:numId="10" w16cid:durableId="1687756100">
    <w:abstractNumId w:val="0"/>
  </w:num>
  <w:num w:numId="11" w16cid:durableId="1429037097">
    <w:abstractNumId w:val="9"/>
  </w:num>
  <w:num w:numId="12" w16cid:durableId="921984451">
    <w:abstractNumId w:val="7"/>
  </w:num>
  <w:num w:numId="13" w16cid:durableId="143862549">
    <w:abstractNumId w:val="6"/>
  </w:num>
  <w:num w:numId="14" w16cid:durableId="866799421">
    <w:abstractNumId w:val="5"/>
  </w:num>
  <w:num w:numId="15" w16cid:durableId="515966468">
    <w:abstractNumId w:val="4"/>
  </w:num>
  <w:num w:numId="16" w16cid:durableId="1618439628">
    <w:abstractNumId w:val="17"/>
  </w:num>
  <w:num w:numId="17" w16cid:durableId="1964380267">
    <w:abstractNumId w:val="13"/>
  </w:num>
  <w:num w:numId="18" w16cid:durableId="531646435">
    <w:abstractNumId w:val="16"/>
  </w:num>
  <w:num w:numId="19" w16cid:durableId="2100909972">
    <w:abstractNumId w:val="17"/>
  </w:num>
  <w:num w:numId="20" w16cid:durableId="1738866769">
    <w:abstractNumId w:val="13"/>
  </w:num>
  <w:num w:numId="21" w16cid:durableId="1225337181">
    <w:abstractNumId w:val="16"/>
  </w:num>
  <w:num w:numId="22" w16cid:durableId="80879232">
    <w:abstractNumId w:val="12"/>
  </w:num>
  <w:num w:numId="23" w16cid:durableId="11539883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BF"/>
    <w:rsid w:val="00033EE1"/>
    <w:rsid w:val="00042B72"/>
    <w:rsid w:val="000558BD"/>
    <w:rsid w:val="0008633F"/>
    <w:rsid w:val="000B57E7"/>
    <w:rsid w:val="000B6373"/>
    <w:rsid w:val="000E4E5B"/>
    <w:rsid w:val="000F09DF"/>
    <w:rsid w:val="000F61B2"/>
    <w:rsid w:val="001075E9"/>
    <w:rsid w:val="0014152F"/>
    <w:rsid w:val="00180183"/>
    <w:rsid w:val="0018024D"/>
    <w:rsid w:val="0018649F"/>
    <w:rsid w:val="00196389"/>
    <w:rsid w:val="001B3EF6"/>
    <w:rsid w:val="001C1F2C"/>
    <w:rsid w:val="001C4077"/>
    <w:rsid w:val="001C7A89"/>
    <w:rsid w:val="001D2294"/>
    <w:rsid w:val="00255343"/>
    <w:rsid w:val="0027151D"/>
    <w:rsid w:val="002A2EFC"/>
    <w:rsid w:val="002B0106"/>
    <w:rsid w:val="002B74B1"/>
    <w:rsid w:val="002C0E18"/>
    <w:rsid w:val="002D3034"/>
    <w:rsid w:val="002D5AAC"/>
    <w:rsid w:val="002E5067"/>
    <w:rsid w:val="002F405F"/>
    <w:rsid w:val="002F7EEC"/>
    <w:rsid w:val="00301299"/>
    <w:rsid w:val="00305C08"/>
    <w:rsid w:val="00307FB6"/>
    <w:rsid w:val="00317339"/>
    <w:rsid w:val="00322004"/>
    <w:rsid w:val="003402C2"/>
    <w:rsid w:val="00381C24"/>
    <w:rsid w:val="00387CD4"/>
    <w:rsid w:val="003958D0"/>
    <w:rsid w:val="003A08A5"/>
    <w:rsid w:val="003A0D43"/>
    <w:rsid w:val="003A48CE"/>
    <w:rsid w:val="003B00E5"/>
    <w:rsid w:val="003E0B46"/>
    <w:rsid w:val="00407B78"/>
    <w:rsid w:val="00424203"/>
    <w:rsid w:val="004440BF"/>
    <w:rsid w:val="00452493"/>
    <w:rsid w:val="00453318"/>
    <w:rsid w:val="00454AF2"/>
    <w:rsid w:val="00454E07"/>
    <w:rsid w:val="00472C5C"/>
    <w:rsid w:val="00485F8A"/>
    <w:rsid w:val="004D0947"/>
    <w:rsid w:val="004E05B7"/>
    <w:rsid w:val="004E5701"/>
    <w:rsid w:val="0050108D"/>
    <w:rsid w:val="00507C47"/>
    <w:rsid w:val="00513081"/>
    <w:rsid w:val="00517901"/>
    <w:rsid w:val="00526683"/>
    <w:rsid w:val="00526DB8"/>
    <w:rsid w:val="00553071"/>
    <w:rsid w:val="005639C1"/>
    <w:rsid w:val="005709E0"/>
    <w:rsid w:val="00572E19"/>
    <w:rsid w:val="005961C8"/>
    <w:rsid w:val="005966F1"/>
    <w:rsid w:val="005D7914"/>
    <w:rsid w:val="005E2B41"/>
    <w:rsid w:val="005F0B42"/>
    <w:rsid w:val="00604ED4"/>
    <w:rsid w:val="00617A43"/>
    <w:rsid w:val="006345DB"/>
    <w:rsid w:val="00640F49"/>
    <w:rsid w:val="00680D03"/>
    <w:rsid w:val="00681A10"/>
    <w:rsid w:val="00687ABA"/>
    <w:rsid w:val="006A1ED8"/>
    <w:rsid w:val="006C2031"/>
    <w:rsid w:val="006D2918"/>
    <w:rsid w:val="006D461A"/>
    <w:rsid w:val="006F35EE"/>
    <w:rsid w:val="007021FF"/>
    <w:rsid w:val="00712895"/>
    <w:rsid w:val="00734ACB"/>
    <w:rsid w:val="00757357"/>
    <w:rsid w:val="00792497"/>
    <w:rsid w:val="00806737"/>
    <w:rsid w:val="00825F8D"/>
    <w:rsid w:val="00834B71"/>
    <w:rsid w:val="00835D1D"/>
    <w:rsid w:val="0086445C"/>
    <w:rsid w:val="00894693"/>
    <w:rsid w:val="008A08D7"/>
    <w:rsid w:val="008A37C8"/>
    <w:rsid w:val="008B6909"/>
    <w:rsid w:val="008D53B6"/>
    <w:rsid w:val="008F7609"/>
    <w:rsid w:val="00906890"/>
    <w:rsid w:val="00911BE4"/>
    <w:rsid w:val="00914079"/>
    <w:rsid w:val="00951972"/>
    <w:rsid w:val="009608F3"/>
    <w:rsid w:val="009A24AC"/>
    <w:rsid w:val="009C59D7"/>
    <w:rsid w:val="009C6FE6"/>
    <w:rsid w:val="009D7E7D"/>
    <w:rsid w:val="00A1481E"/>
    <w:rsid w:val="00A14DA8"/>
    <w:rsid w:val="00A312BC"/>
    <w:rsid w:val="00A72FE6"/>
    <w:rsid w:val="00A84021"/>
    <w:rsid w:val="00A84D35"/>
    <w:rsid w:val="00A917B3"/>
    <w:rsid w:val="00AB4B51"/>
    <w:rsid w:val="00AD4C21"/>
    <w:rsid w:val="00AE7626"/>
    <w:rsid w:val="00B10CC7"/>
    <w:rsid w:val="00B36DF7"/>
    <w:rsid w:val="00B539E7"/>
    <w:rsid w:val="00B62458"/>
    <w:rsid w:val="00BC18B2"/>
    <w:rsid w:val="00BD33EE"/>
    <w:rsid w:val="00BE1CC7"/>
    <w:rsid w:val="00C106D6"/>
    <w:rsid w:val="00C119AE"/>
    <w:rsid w:val="00C52089"/>
    <w:rsid w:val="00C60F0C"/>
    <w:rsid w:val="00C71E84"/>
    <w:rsid w:val="00C805C9"/>
    <w:rsid w:val="00C909B2"/>
    <w:rsid w:val="00C92939"/>
    <w:rsid w:val="00CA1679"/>
    <w:rsid w:val="00CB151C"/>
    <w:rsid w:val="00CE5A1A"/>
    <w:rsid w:val="00CF55F6"/>
    <w:rsid w:val="00D25AAC"/>
    <w:rsid w:val="00D33D63"/>
    <w:rsid w:val="00D5253A"/>
    <w:rsid w:val="00D65E08"/>
    <w:rsid w:val="00D7213D"/>
    <w:rsid w:val="00D873A8"/>
    <w:rsid w:val="00D90028"/>
    <w:rsid w:val="00D90138"/>
    <w:rsid w:val="00D9145B"/>
    <w:rsid w:val="00DD78D1"/>
    <w:rsid w:val="00DE32CD"/>
    <w:rsid w:val="00DF5767"/>
    <w:rsid w:val="00DF71B9"/>
    <w:rsid w:val="00E12C5F"/>
    <w:rsid w:val="00E73F76"/>
    <w:rsid w:val="00E7673F"/>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1F8F4"/>
  <w15:docId w15:val="{89B8C2CE-AF9E-4AF0-B768-50F47ED4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1C4077"/>
    <w:rPr>
      <w:lang w:val="ru-RU" w:eastAsia="en-US"/>
    </w:rPr>
  </w:style>
  <w:style w:type="character" w:customStyle="1" w:styleId="HChGChar">
    <w:name w:val="_ H _Ch_G Char"/>
    <w:link w:val="HChG"/>
    <w:rsid w:val="001C4077"/>
    <w:rPr>
      <w:b/>
      <w:sz w:val="28"/>
      <w:lang w:val="ru-RU" w:eastAsia="ru-RU"/>
    </w:rPr>
  </w:style>
  <w:style w:type="paragraph" w:styleId="af3">
    <w:name w:val="List Paragraph"/>
    <w:basedOn w:val="a"/>
    <w:uiPriority w:val="34"/>
    <w:qFormat/>
    <w:rsid w:val="001C4077"/>
    <w:pPr>
      <w:ind w:left="720"/>
      <w:contextualSpacing/>
    </w:pPr>
    <w:rPr>
      <w:rFonts w:eastAsiaTheme="minorEastAsia" w:cs="Times New Roman"/>
      <w:szCs w:val="20"/>
      <w:lang w:val="en-GB"/>
    </w:rPr>
  </w:style>
  <w:style w:type="character" w:styleId="af4">
    <w:name w:val="Unresolved Mention"/>
    <w:basedOn w:val="a0"/>
    <w:uiPriority w:val="99"/>
    <w:semiHidden/>
    <w:unhideWhenUsed/>
    <w:rsid w:val="00D25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2245/" TargetMode="External"/><Relationship Id="rId2" Type="http://schemas.openxmlformats.org/officeDocument/2006/relationships/hyperlink" Target="http://documents.un.org/" TargetMode="External"/><Relationship Id="rId1" Type="http://schemas.openxmlformats.org/officeDocument/2006/relationships/hyperlink" Target="https://unece.org/info/Transport/Vehicle-Regulations/events/3781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4210B-24AE-4EC9-B693-390370426519}"/>
</file>

<file path=customXml/itemProps2.xml><?xml version="1.0" encoding="utf-8"?>
<ds:datastoreItem xmlns:ds="http://schemas.openxmlformats.org/officeDocument/2006/customXml" ds:itemID="{44E3986D-2A75-4F2D-9686-B0254362CF78}"/>
</file>

<file path=docProps/app.xml><?xml version="1.0" encoding="utf-8"?>
<Properties xmlns="http://schemas.openxmlformats.org/officeDocument/2006/extended-properties" xmlns:vt="http://schemas.openxmlformats.org/officeDocument/2006/docPropsVTypes">
  <Template>ECE.dotm</Template>
  <TotalTime>0</TotalTime>
  <Pages>8</Pages>
  <Words>2038</Words>
  <Characters>14457</Characters>
  <Application>Microsoft Office Word</Application>
  <DocSecurity>0</DocSecurity>
  <Lines>314</Lines>
  <Paragraphs>171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ECE/TRANS/WP.29/GRSG/2023/17</vt:lpstr>
      <vt:lpstr>A/</vt:lpstr>
      <vt:lpstr>A/</vt:lpstr>
    </vt:vector>
  </TitlesOfParts>
  <Company>DCM</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ECE/TRANS/WP.29/GRSG/2023/17</dc:title>
  <dc:subject/>
  <dc:creator>Ekaterina SALYNSKAYA</dc:creator>
  <cp:keywords/>
  <cp:lastModifiedBy>Ekaterina Salynskaya</cp:lastModifiedBy>
  <cp:revision>3</cp:revision>
  <cp:lastPrinted>2023-07-31T10:15:00Z</cp:lastPrinted>
  <dcterms:created xsi:type="dcterms:W3CDTF">2023-07-31T10:15:00Z</dcterms:created>
  <dcterms:modified xsi:type="dcterms:W3CDTF">2023-07-31T10:15:00Z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