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2CFCC2" w14:textId="77777777" w:rsidTr="00C97039">
        <w:trPr>
          <w:trHeight w:hRule="exact" w:val="851"/>
        </w:trPr>
        <w:tc>
          <w:tcPr>
            <w:tcW w:w="1276" w:type="dxa"/>
            <w:tcBorders>
              <w:bottom w:val="single" w:sz="4" w:space="0" w:color="auto"/>
            </w:tcBorders>
          </w:tcPr>
          <w:p w14:paraId="5CB6E295" w14:textId="77777777" w:rsidR="00F35BAF" w:rsidRPr="00DB58B5" w:rsidRDefault="00F35BAF" w:rsidP="007107AD"/>
        </w:tc>
        <w:tc>
          <w:tcPr>
            <w:tcW w:w="2268" w:type="dxa"/>
            <w:tcBorders>
              <w:bottom w:val="single" w:sz="4" w:space="0" w:color="auto"/>
            </w:tcBorders>
            <w:vAlign w:val="bottom"/>
          </w:tcPr>
          <w:p w14:paraId="6F1F64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68951B" w14:textId="3DD31E97" w:rsidR="00F35BAF" w:rsidRPr="00DB58B5" w:rsidRDefault="007107AD" w:rsidP="007107AD">
            <w:pPr>
              <w:jc w:val="right"/>
            </w:pPr>
            <w:r w:rsidRPr="007107AD">
              <w:rPr>
                <w:sz w:val="40"/>
              </w:rPr>
              <w:t>ECE</w:t>
            </w:r>
            <w:r>
              <w:t>/TRANS/WP.15/AC.1/2023/26</w:t>
            </w:r>
          </w:p>
        </w:tc>
      </w:tr>
      <w:tr w:rsidR="00F35BAF" w:rsidRPr="00DB58B5" w14:paraId="20947984" w14:textId="77777777" w:rsidTr="00C97039">
        <w:trPr>
          <w:trHeight w:hRule="exact" w:val="2835"/>
        </w:trPr>
        <w:tc>
          <w:tcPr>
            <w:tcW w:w="1276" w:type="dxa"/>
            <w:tcBorders>
              <w:top w:val="single" w:sz="4" w:space="0" w:color="auto"/>
              <w:bottom w:val="single" w:sz="12" w:space="0" w:color="auto"/>
            </w:tcBorders>
          </w:tcPr>
          <w:p w14:paraId="55E9710C" w14:textId="77777777" w:rsidR="00F35BAF" w:rsidRPr="00DB58B5" w:rsidRDefault="00F35BAF" w:rsidP="00C97039">
            <w:pPr>
              <w:spacing w:before="120"/>
              <w:jc w:val="center"/>
            </w:pPr>
            <w:r>
              <w:rPr>
                <w:noProof/>
                <w:lang w:eastAsia="fr-CH"/>
              </w:rPr>
              <w:drawing>
                <wp:inline distT="0" distB="0" distL="0" distR="0" wp14:anchorId="22CA6562" wp14:editId="49A01E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A2B9A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DD2F14" w14:textId="77777777" w:rsidR="00F35BAF" w:rsidRDefault="007107AD" w:rsidP="00C97039">
            <w:pPr>
              <w:spacing w:before="240"/>
            </w:pPr>
            <w:r>
              <w:t>Distr. générale</w:t>
            </w:r>
          </w:p>
          <w:p w14:paraId="750819A0" w14:textId="29013B54" w:rsidR="007107AD" w:rsidRDefault="007107AD" w:rsidP="007107AD">
            <w:pPr>
              <w:spacing w:line="240" w:lineRule="exact"/>
            </w:pPr>
            <w:r>
              <w:t>16</w:t>
            </w:r>
            <w:r w:rsidR="00E73368">
              <w:t> </w:t>
            </w:r>
            <w:r>
              <w:t>juin 2023</w:t>
            </w:r>
          </w:p>
          <w:p w14:paraId="7D823B96" w14:textId="77777777" w:rsidR="007107AD" w:rsidRDefault="007107AD" w:rsidP="007107AD">
            <w:pPr>
              <w:spacing w:line="240" w:lineRule="exact"/>
            </w:pPr>
            <w:r>
              <w:t>Français</w:t>
            </w:r>
          </w:p>
          <w:p w14:paraId="38B8B214" w14:textId="5E0DD309" w:rsidR="007107AD" w:rsidRPr="00DB58B5" w:rsidRDefault="007107AD" w:rsidP="007107AD">
            <w:pPr>
              <w:spacing w:line="240" w:lineRule="exact"/>
            </w:pPr>
            <w:r>
              <w:t>Original : anglais</w:t>
            </w:r>
          </w:p>
        </w:tc>
      </w:tr>
    </w:tbl>
    <w:p w14:paraId="7B068508" w14:textId="77777777" w:rsidR="007F20FA" w:rsidRPr="000312C0" w:rsidRDefault="007F20FA" w:rsidP="007F20FA">
      <w:pPr>
        <w:spacing w:before="120"/>
        <w:rPr>
          <w:b/>
          <w:sz w:val="28"/>
          <w:szCs w:val="28"/>
        </w:rPr>
      </w:pPr>
      <w:r w:rsidRPr="000312C0">
        <w:rPr>
          <w:b/>
          <w:sz w:val="28"/>
          <w:szCs w:val="28"/>
        </w:rPr>
        <w:t>Commission économique pour l’Europe</w:t>
      </w:r>
    </w:p>
    <w:p w14:paraId="442A7A11" w14:textId="77777777" w:rsidR="007F20FA" w:rsidRDefault="007F20FA" w:rsidP="007F20FA">
      <w:pPr>
        <w:spacing w:before="120"/>
        <w:rPr>
          <w:sz w:val="28"/>
          <w:szCs w:val="28"/>
        </w:rPr>
      </w:pPr>
      <w:r w:rsidRPr="00685843">
        <w:rPr>
          <w:sz w:val="28"/>
          <w:szCs w:val="28"/>
        </w:rPr>
        <w:t>Comité des transports intérieurs</w:t>
      </w:r>
    </w:p>
    <w:p w14:paraId="68C858A1" w14:textId="77777777" w:rsidR="007107AD" w:rsidRPr="00210A06" w:rsidRDefault="007107AD" w:rsidP="007107AD">
      <w:pPr>
        <w:spacing w:before="120" w:line="240" w:lineRule="auto"/>
        <w:rPr>
          <w:b/>
          <w:sz w:val="24"/>
          <w:szCs w:val="24"/>
        </w:rPr>
      </w:pPr>
      <w:r w:rsidRPr="00210A06">
        <w:rPr>
          <w:b/>
          <w:bCs/>
          <w:sz w:val="24"/>
          <w:szCs w:val="24"/>
          <w:lang w:val="fr-FR"/>
        </w:rPr>
        <w:t>Groupe de travail des transports de marchandises dangereuses</w:t>
      </w:r>
    </w:p>
    <w:p w14:paraId="68FCF9AB" w14:textId="2F4DCE92" w:rsidR="007107AD" w:rsidRPr="007107AD" w:rsidRDefault="007107AD" w:rsidP="007107AD">
      <w:pPr>
        <w:spacing w:before="120" w:line="240" w:lineRule="auto"/>
        <w:rPr>
          <w:b/>
        </w:rPr>
      </w:pPr>
      <w:r w:rsidRPr="007107AD">
        <w:rPr>
          <w:b/>
          <w:bCs/>
          <w:lang w:val="fr-FR"/>
        </w:rPr>
        <w:t>Réunion commune de la Commission d’experts du RID et du Groupe</w:t>
      </w:r>
      <w:r w:rsidR="00E73368">
        <w:rPr>
          <w:b/>
          <w:bCs/>
          <w:lang w:val="fr-FR"/>
        </w:rPr>
        <w:t xml:space="preserve"> </w:t>
      </w:r>
      <w:r>
        <w:rPr>
          <w:b/>
          <w:bCs/>
          <w:lang w:val="fr-FR"/>
        </w:rPr>
        <w:br/>
      </w:r>
      <w:r w:rsidRPr="007107AD">
        <w:rPr>
          <w:b/>
          <w:bCs/>
          <w:lang w:val="fr-FR"/>
        </w:rPr>
        <w:t>de travail des transports de marchandises dangereuses</w:t>
      </w:r>
    </w:p>
    <w:p w14:paraId="4C030583" w14:textId="44E37A99" w:rsidR="007107AD" w:rsidRPr="007107AD" w:rsidRDefault="007107AD" w:rsidP="007107AD">
      <w:pPr>
        <w:spacing w:line="240" w:lineRule="auto"/>
      </w:pPr>
      <w:r w:rsidRPr="007107AD">
        <w:rPr>
          <w:lang w:val="fr-FR"/>
        </w:rPr>
        <w:t>Genève, 19</w:t>
      </w:r>
      <w:r>
        <w:rPr>
          <w:lang w:val="fr-FR"/>
        </w:rPr>
        <w:noBreakHyphen/>
      </w:r>
      <w:r w:rsidRPr="007107AD">
        <w:rPr>
          <w:lang w:val="fr-FR"/>
        </w:rPr>
        <w:t>29</w:t>
      </w:r>
      <w:r>
        <w:rPr>
          <w:lang w:val="fr-FR"/>
        </w:rPr>
        <w:t> </w:t>
      </w:r>
      <w:r w:rsidRPr="007107AD">
        <w:rPr>
          <w:lang w:val="fr-FR"/>
        </w:rPr>
        <w:t>septembre 2023</w:t>
      </w:r>
    </w:p>
    <w:p w14:paraId="2AF75E1D" w14:textId="25A87841" w:rsidR="007107AD" w:rsidRPr="007107AD" w:rsidRDefault="007107AD" w:rsidP="007107AD">
      <w:pPr>
        <w:spacing w:line="240" w:lineRule="auto"/>
      </w:pPr>
      <w:r w:rsidRPr="007107AD">
        <w:rPr>
          <w:lang w:val="fr-FR"/>
        </w:rPr>
        <w:t>Point</w:t>
      </w:r>
      <w:r>
        <w:rPr>
          <w:lang w:val="fr-FR"/>
        </w:rPr>
        <w:t> </w:t>
      </w:r>
      <w:r w:rsidRPr="007107AD">
        <w:rPr>
          <w:lang w:val="fr-FR"/>
        </w:rPr>
        <w:t>2 de l’ordre du jour provisoire</w:t>
      </w:r>
    </w:p>
    <w:p w14:paraId="6EE24B1C" w14:textId="77777777" w:rsidR="007107AD" w:rsidRPr="007107AD" w:rsidRDefault="007107AD" w:rsidP="007107AD">
      <w:pPr>
        <w:spacing w:line="240" w:lineRule="auto"/>
        <w:rPr>
          <w:b/>
          <w:bCs/>
        </w:rPr>
      </w:pPr>
      <w:r w:rsidRPr="007107AD">
        <w:rPr>
          <w:b/>
          <w:bCs/>
          <w:lang w:val="fr-FR"/>
        </w:rPr>
        <w:t>Citernes</w:t>
      </w:r>
    </w:p>
    <w:p w14:paraId="7A68636F" w14:textId="4B5FA1D4" w:rsidR="007107AD" w:rsidRPr="00210A06" w:rsidRDefault="007107AD" w:rsidP="00E73368">
      <w:pPr>
        <w:pStyle w:val="HChG"/>
      </w:pPr>
      <w:r w:rsidRPr="00210A06">
        <w:rPr>
          <w:lang w:val="fr-FR"/>
        </w:rPr>
        <w:tab/>
      </w:r>
      <w:r w:rsidRPr="00210A06">
        <w:rPr>
          <w:lang w:val="fr-FR"/>
        </w:rPr>
        <w:tab/>
      </w:r>
      <w:r w:rsidRPr="00E73368">
        <w:t>Clarification</w:t>
      </w:r>
      <w:r w:rsidRPr="00210A06">
        <w:rPr>
          <w:lang w:val="fr-FR"/>
        </w:rPr>
        <w:t xml:space="preserve"> des dispositions relatives au temps de retenue pour le transport des citernes contenant des gaz liquéfiés réfrigérés</w:t>
      </w:r>
    </w:p>
    <w:p w14:paraId="11BB99AE" w14:textId="419D5ECD" w:rsidR="007107AD" w:rsidRPr="00210A06" w:rsidRDefault="007107AD" w:rsidP="00E73368">
      <w:pPr>
        <w:pStyle w:val="H1G"/>
      </w:pPr>
      <w:r w:rsidRPr="00210A06">
        <w:rPr>
          <w:lang w:val="fr-FR"/>
        </w:rPr>
        <w:tab/>
      </w:r>
      <w:r w:rsidRPr="00210A06">
        <w:rPr>
          <w:lang w:val="fr-FR"/>
        </w:rPr>
        <w:tab/>
        <w:t>Communication de l</w:t>
      </w:r>
      <w:r>
        <w:rPr>
          <w:lang w:val="fr-FR"/>
        </w:rPr>
        <w:t>’</w:t>
      </w:r>
      <w:r w:rsidRPr="00210A06">
        <w:rPr>
          <w:lang w:val="fr-FR"/>
        </w:rPr>
        <w:t xml:space="preserve">Union </w:t>
      </w:r>
      <w:r w:rsidRPr="00E73368">
        <w:t>internationale</w:t>
      </w:r>
      <w:r w:rsidRPr="00210A06">
        <w:rPr>
          <w:lang w:val="fr-FR"/>
        </w:rPr>
        <w:t xml:space="preserve"> des chemins de fer (UIC)</w:t>
      </w:r>
      <w:r w:rsidRPr="007107AD">
        <w:rPr>
          <w:rStyle w:val="Appelnotedebasdep"/>
          <w:b w:val="0"/>
          <w:bCs/>
          <w:sz w:val="20"/>
          <w:vertAlign w:val="baseline"/>
          <w:lang w:val="fr-FR"/>
        </w:rPr>
        <w:footnoteReference w:customMarkFollows="1" w:id="2"/>
        <w:t>*</w:t>
      </w:r>
      <w:r w:rsidRPr="00E73368">
        <w:rPr>
          <w:b w:val="0"/>
          <w:vertAlign w:val="superscript"/>
          <w:lang w:val="fr-FR"/>
        </w:rPr>
        <w:t xml:space="preserve">, </w:t>
      </w:r>
      <w:r w:rsidRPr="007107AD">
        <w:rPr>
          <w:rStyle w:val="Appelnotedebasdep"/>
          <w:b w:val="0"/>
          <w:bCs/>
          <w:sz w:val="20"/>
          <w:vertAlign w:val="baseline"/>
          <w:lang w:val="fr-FR"/>
        </w:rPr>
        <w:footnoteReference w:customMarkFollows="1" w:id="3"/>
        <w:t>**</w:t>
      </w:r>
    </w:p>
    <w:p w14:paraId="65036187" w14:textId="77777777" w:rsidR="007107AD" w:rsidRPr="007107AD" w:rsidRDefault="007107AD" w:rsidP="00E73368">
      <w:pPr>
        <w:pStyle w:val="HChG"/>
      </w:pPr>
      <w:r w:rsidRPr="00210A06">
        <w:rPr>
          <w:lang w:val="fr-FR"/>
        </w:rPr>
        <w:tab/>
      </w:r>
      <w:r w:rsidRPr="00210A06">
        <w:rPr>
          <w:lang w:val="fr-FR"/>
        </w:rPr>
        <w:tab/>
      </w:r>
      <w:r w:rsidRPr="00E73368">
        <w:t>Introduction</w:t>
      </w:r>
    </w:p>
    <w:p w14:paraId="4DC17685" w14:textId="405CC6FC" w:rsidR="007107AD" w:rsidRPr="00210A06" w:rsidRDefault="007107AD" w:rsidP="007107AD">
      <w:pPr>
        <w:pStyle w:val="SingleTxtG"/>
      </w:pPr>
      <w:r w:rsidRPr="00210A06">
        <w:rPr>
          <w:lang w:val="fr-FR"/>
        </w:rPr>
        <w:t>1.</w:t>
      </w:r>
      <w:r w:rsidRPr="00210A06">
        <w:rPr>
          <w:lang w:val="fr-FR"/>
        </w:rPr>
        <w:tab/>
        <w:t>Dans le document ECE/TRANS/WP.15/AC.1/2021/29 de la Réunion commune RID/ADR/ADN (Genève, 21</w:t>
      </w:r>
      <w:r>
        <w:rPr>
          <w:lang w:val="fr-FR"/>
        </w:rPr>
        <w:t> </w:t>
      </w:r>
      <w:r w:rsidRPr="00210A06">
        <w:rPr>
          <w:lang w:val="fr-FR"/>
        </w:rPr>
        <w:t>septembre</w:t>
      </w:r>
      <w:r>
        <w:rPr>
          <w:lang w:val="fr-FR"/>
        </w:rPr>
        <w:noBreakHyphen/>
      </w:r>
      <w:r w:rsidRPr="00210A06">
        <w:rPr>
          <w:lang w:val="fr-FR"/>
        </w:rPr>
        <w:t>1</w:t>
      </w:r>
      <w:r w:rsidRPr="00210A06">
        <w:rPr>
          <w:vertAlign w:val="superscript"/>
          <w:lang w:val="fr-FR"/>
        </w:rPr>
        <w:t>er</w:t>
      </w:r>
      <w:r>
        <w:rPr>
          <w:lang w:val="fr-FR"/>
        </w:rPr>
        <w:t> </w:t>
      </w:r>
      <w:r w:rsidRPr="00210A06">
        <w:rPr>
          <w:lang w:val="fr-FR"/>
        </w:rPr>
        <w:t>octobre 2021), l</w:t>
      </w:r>
      <w:r>
        <w:rPr>
          <w:lang w:val="fr-FR"/>
        </w:rPr>
        <w:t>’</w:t>
      </w:r>
      <w:r w:rsidRPr="00210A06">
        <w:rPr>
          <w:lang w:val="fr-FR"/>
        </w:rPr>
        <w:t>UIC a de nouveau demandé si les dispositions relatives à la détermination du temps de retenue pour les gaz liquéfiés réfrigérés s</w:t>
      </w:r>
      <w:r>
        <w:rPr>
          <w:lang w:val="fr-FR"/>
        </w:rPr>
        <w:t>’</w:t>
      </w:r>
      <w:r w:rsidRPr="00210A06">
        <w:rPr>
          <w:lang w:val="fr-FR"/>
        </w:rPr>
        <w:t>appliquaient également aux wagons</w:t>
      </w:r>
      <w:r>
        <w:rPr>
          <w:lang w:val="fr-FR"/>
        </w:rPr>
        <w:noBreakHyphen/>
      </w:r>
      <w:r w:rsidRPr="00210A06">
        <w:rPr>
          <w:lang w:val="fr-FR"/>
        </w:rPr>
        <w:t xml:space="preserve">citernes et aux </w:t>
      </w:r>
      <w:r w:rsidRPr="007107AD">
        <w:t>conteneurs</w:t>
      </w:r>
      <w:r>
        <w:rPr>
          <w:lang w:val="fr-FR"/>
        </w:rPr>
        <w:noBreakHyphen/>
      </w:r>
      <w:r w:rsidRPr="00210A06">
        <w:rPr>
          <w:lang w:val="fr-FR"/>
        </w:rPr>
        <w:t>citernes vides.</w:t>
      </w:r>
    </w:p>
    <w:p w14:paraId="11ECBD89" w14:textId="7F5540FC" w:rsidR="007107AD" w:rsidRPr="00210A06" w:rsidRDefault="007107AD" w:rsidP="007107AD">
      <w:pPr>
        <w:pStyle w:val="SingleTxtG"/>
      </w:pPr>
      <w:r w:rsidRPr="00210A06">
        <w:rPr>
          <w:lang w:val="fr-FR"/>
        </w:rPr>
        <w:t>2.</w:t>
      </w:r>
      <w:r w:rsidRPr="00210A06">
        <w:rPr>
          <w:lang w:val="fr-FR"/>
        </w:rPr>
        <w:tab/>
        <w:t>Malheureusement, faute de temps, l</w:t>
      </w:r>
      <w:r>
        <w:rPr>
          <w:lang w:val="fr-FR"/>
        </w:rPr>
        <w:t>’</w:t>
      </w:r>
      <w:r w:rsidRPr="00210A06">
        <w:rPr>
          <w:lang w:val="fr-FR"/>
        </w:rPr>
        <w:t xml:space="preserve">examen du document a été reporté à la </w:t>
      </w:r>
      <w:r>
        <w:rPr>
          <w:lang w:val="fr-FR"/>
        </w:rPr>
        <w:t xml:space="preserve">session de mars 2022 de la </w:t>
      </w:r>
      <w:r w:rsidRPr="00210A06">
        <w:rPr>
          <w:lang w:val="fr-FR"/>
        </w:rPr>
        <w:t xml:space="preserve">Réunion </w:t>
      </w:r>
      <w:r w:rsidRPr="007107AD">
        <w:t>commune</w:t>
      </w:r>
      <w:r w:rsidRPr="00210A06">
        <w:rPr>
          <w:lang w:val="fr-FR"/>
        </w:rPr>
        <w:t>.</w:t>
      </w:r>
    </w:p>
    <w:p w14:paraId="422FF5DB" w14:textId="5AF50D50" w:rsidR="007107AD" w:rsidRPr="00210A06" w:rsidRDefault="007107AD" w:rsidP="007107AD">
      <w:pPr>
        <w:pStyle w:val="SingleTxtG"/>
      </w:pPr>
      <w:r w:rsidRPr="00210A06">
        <w:rPr>
          <w:lang w:val="fr-FR"/>
        </w:rPr>
        <w:t>3.</w:t>
      </w:r>
      <w:r w:rsidRPr="00210A06">
        <w:rPr>
          <w:lang w:val="fr-FR"/>
        </w:rPr>
        <w:tab/>
        <w:t xml:space="preserve">Dans le rapport du Groupe de travail des citernes </w:t>
      </w:r>
      <w:r>
        <w:rPr>
          <w:lang w:val="fr-FR"/>
        </w:rPr>
        <w:t xml:space="preserve">publié au </w:t>
      </w:r>
      <w:r w:rsidRPr="007107AD">
        <w:rPr>
          <w:sz w:val="18"/>
          <w:szCs w:val="18"/>
          <w:lang w:val="fr-FR"/>
        </w:rPr>
        <w:t>printemps</w:t>
      </w:r>
      <w:r>
        <w:rPr>
          <w:sz w:val="18"/>
          <w:szCs w:val="18"/>
          <w:lang w:val="fr-FR"/>
        </w:rPr>
        <w:t> </w:t>
      </w:r>
      <w:r w:rsidRPr="007107AD">
        <w:rPr>
          <w:sz w:val="18"/>
          <w:szCs w:val="18"/>
          <w:lang w:val="fr-FR"/>
        </w:rPr>
        <w:t>2022</w:t>
      </w:r>
      <w:r>
        <w:rPr>
          <w:lang w:val="fr-FR"/>
        </w:rPr>
        <w:t xml:space="preserve"> </w:t>
      </w:r>
      <w:r w:rsidRPr="00F44E46">
        <w:rPr>
          <w:lang w:val="fr-FR"/>
        </w:rPr>
        <w:t>(ECE/TRANS/WP.15/AC.1/164/</w:t>
      </w:r>
      <w:r w:rsidRPr="007107AD">
        <w:t>Add</w:t>
      </w:r>
      <w:r w:rsidRPr="00F44E46">
        <w:rPr>
          <w:lang w:val="fr-FR"/>
        </w:rPr>
        <w:t>.1)</w:t>
      </w:r>
      <w:r w:rsidRPr="00210A06">
        <w:rPr>
          <w:lang w:val="fr-FR"/>
        </w:rPr>
        <w:t xml:space="preserve">, </w:t>
      </w:r>
      <w:r>
        <w:rPr>
          <w:lang w:val="fr-FR"/>
        </w:rPr>
        <w:t xml:space="preserve">on peut lire </w:t>
      </w:r>
      <w:r w:rsidRPr="00210A06">
        <w:rPr>
          <w:lang w:val="fr-FR"/>
        </w:rPr>
        <w:t>ce qui suit</w:t>
      </w:r>
      <w:r>
        <w:rPr>
          <w:lang w:val="fr-FR"/>
        </w:rPr>
        <w:t> :</w:t>
      </w:r>
    </w:p>
    <w:p w14:paraId="44F7982B" w14:textId="65E71C8C" w:rsidR="007107AD" w:rsidRPr="00210A06" w:rsidRDefault="007107AD" w:rsidP="007107AD">
      <w:pPr>
        <w:pStyle w:val="SingleTxtG"/>
        <w:ind w:left="1701"/>
      </w:pPr>
      <w:r w:rsidRPr="00210A06">
        <w:rPr>
          <w:lang w:val="fr-FR"/>
        </w:rPr>
        <w:t>« </w:t>
      </w:r>
      <w:r w:rsidRPr="007107AD">
        <w:rPr>
          <w:i/>
          <w:iCs/>
          <w:lang w:val="fr-FR"/>
        </w:rPr>
        <w:t>12.</w:t>
      </w:r>
      <w:r w:rsidRPr="007107AD">
        <w:rPr>
          <w:i/>
          <w:iCs/>
          <w:lang w:val="fr-FR"/>
        </w:rPr>
        <w:tab/>
        <w:t>L’Union internationale des chemins de fer (UIC) a demandé si le temps de retenue s’appliquerait aussi aux citernes vides non nettoyées. Lors du débat initial, il</w:t>
      </w:r>
      <w:r>
        <w:rPr>
          <w:i/>
          <w:iCs/>
          <w:lang w:val="fr-FR"/>
        </w:rPr>
        <w:t> </w:t>
      </w:r>
      <w:r w:rsidRPr="007107AD">
        <w:rPr>
          <w:i/>
          <w:iCs/>
          <w:lang w:val="fr-FR"/>
        </w:rPr>
        <w:t>a été indiqué que le temps de retenue était uniquement déterminé pour les citernes pleines. Il a été mentionné qu’il était très difficile de déterminer un temps de retenue s’il ne restait qu’une quantité limitée de gaz liquéfié réfrigéré dans une citerne vide non nettoyée.</w:t>
      </w:r>
    </w:p>
    <w:p w14:paraId="699579A4" w14:textId="0C151403" w:rsidR="007107AD" w:rsidRPr="00210A06" w:rsidRDefault="007107AD" w:rsidP="007107AD">
      <w:pPr>
        <w:pStyle w:val="SingleTxtG"/>
        <w:ind w:left="1701"/>
        <w:rPr>
          <w:sz w:val="24"/>
          <w:szCs w:val="24"/>
        </w:rPr>
      </w:pPr>
      <w:r w:rsidRPr="007107AD">
        <w:rPr>
          <w:i/>
          <w:iCs/>
        </w:rPr>
        <w:t>13.</w:t>
      </w:r>
      <w:r w:rsidRPr="007107AD">
        <w:rPr>
          <w:i/>
          <w:iCs/>
        </w:rPr>
        <w:tab/>
      </w:r>
      <w:r w:rsidRPr="0066361E">
        <w:rPr>
          <w:i/>
          <w:iCs/>
          <w:spacing w:val="-2"/>
        </w:rPr>
        <w:t xml:space="preserve">Il a été mentionné que des travaux étaient en cours sur le document d’orientation de l’Association européenne des gaz industriels (EIGA) cité dans </w:t>
      </w:r>
      <w:r w:rsidRPr="0066361E">
        <w:rPr>
          <w:i/>
          <w:iCs/>
          <w:spacing w:val="-1"/>
        </w:rPr>
        <w:t>la</w:t>
      </w:r>
      <w:r w:rsidRPr="0066361E">
        <w:rPr>
          <w:i/>
          <w:iCs/>
          <w:spacing w:val="-2"/>
        </w:rPr>
        <w:t xml:space="preserve"> note de bas de page 4 au 4.3.3.5 e). Il a également été dit que l’UIC et l’EIGA collaboreraient sur ce sujet, qui serait réexaminé à une session ultérieure. L’UIC organiserait une réunion </w:t>
      </w:r>
      <w:r w:rsidRPr="0066361E">
        <w:rPr>
          <w:i/>
          <w:iCs/>
        </w:rPr>
        <w:t>avec l’EIGA et les autres organisations concernées.</w:t>
      </w:r>
      <w:r w:rsidRPr="0066361E">
        <w:t> ».</w:t>
      </w:r>
    </w:p>
    <w:p w14:paraId="2668887C" w14:textId="703DB6B6" w:rsidR="007107AD" w:rsidRPr="00210A06" w:rsidRDefault="007107AD" w:rsidP="007107AD">
      <w:pPr>
        <w:pStyle w:val="SingleTxtG"/>
      </w:pPr>
      <w:r w:rsidRPr="00210A06">
        <w:rPr>
          <w:lang w:val="fr-FR"/>
        </w:rPr>
        <w:lastRenderedPageBreak/>
        <w:t>4.</w:t>
      </w:r>
      <w:r w:rsidRPr="00210A06">
        <w:rPr>
          <w:lang w:val="fr-FR"/>
        </w:rPr>
        <w:tab/>
        <w:t xml:space="preserve">La réunion susmentionnée </w:t>
      </w:r>
      <w:r>
        <w:rPr>
          <w:lang w:val="fr-FR"/>
        </w:rPr>
        <w:t>entre</w:t>
      </w:r>
      <w:r w:rsidRPr="0053344D">
        <w:rPr>
          <w:lang w:val="fr-FR"/>
        </w:rPr>
        <w:t xml:space="preserve"> l</w:t>
      </w:r>
      <w:r>
        <w:rPr>
          <w:lang w:val="fr-FR"/>
        </w:rPr>
        <w:t>’</w:t>
      </w:r>
      <w:r w:rsidRPr="0053344D">
        <w:rPr>
          <w:lang w:val="fr-FR"/>
        </w:rPr>
        <w:t>UIC et l</w:t>
      </w:r>
      <w:r>
        <w:rPr>
          <w:lang w:val="fr-FR"/>
        </w:rPr>
        <w:t>’</w:t>
      </w:r>
      <w:r w:rsidRPr="0053344D">
        <w:rPr>
          <w:lang w:val="fr-FR"/>
        </w:rPr>
        <w:t xml:space="preserve">Association européenne des gaz industriels (EIGA) </w:t>
      </w:r>
      <w:r w:rsidRPr="00210A06">
        <w:rPr>
          <w:lang w:val="fr-FR"/>
        </w:rPr>
        <w:t>a eu lieu le 5</w:t>
      </w:r>
      <w:r w:rsidR="00FB67B1">
        <w:rPr>
          <w:lang w:val="fr-FR"/>
        </w:rPr>
        <w:t> </w:t>
      </w:r>
      <w:r w:rsidRPr="00210A06">
        <w:rPr>
          <w:lang w:val="fr-FR"/>
        </w:rPr>
        <w:t>décembre 2022.</w:t>
      </w:r>
    </w:p>
    <w:p w14:paraId="1348B2D9" w14:textId="77777777" w:rsidR="007107AD" w:rsidRPr="00210A06" w:rsidRDefault="007107AD" w:rsidP="007107AD">
      <w:pPr>
        <w:pStyle w:val="SingleTxtG"/>
      </w:pPr>
      <w:r w:rsidRPr="00210A06">
        <w:rPr>
          <w:lang w:val="fr-FR"/>
        </w:rPr>
        <w:t>5.</w:t>
      </w:r>
      <w:r w:rsidRPr="00210A06">
        <w:rPr>
          <w:lang w:val="fr-FR"/>
        </w:rPr>
        <w:tab/>
        <w:t>L</w:t>
      </w:r>
      <w:r>
        <w:rPr>
          <w:lang w:val="fr-FR"/>
        </w:rPr>
        <w:t>’</w:t>
      </w:r>
      <w:r w:rsidRPr="00210A06">
        <w:rPr>
          <w:lang w:val="fr-FR"/>
        </w:rPr>
        <w:t>UIC et l</w:t>
      </w:r>
      <w:r>
        <w:rPr>
          <w:lang w:val="fr-FR"/>
        </w:rPr>
        <w:t>’</w:t>
      </w:r>
      <w:r w:rsidRPr="00210A06">
        <w:rPr>
          <w:lang w:val="fr-FR"/>
        </w:rPr>
        <w:t xml:space="preserve">EIGA ont reconnu </w:t>
      </w:r>
      <w:r>
        <w:rPr>
          <w:lang w:val="fr-FR"/>
        </w:rPr>
        <w:t>qu’il y avait un</w:t>
      </w:r>
      <w:r w:rsidRPr="00210A06">
        <w:rPr>
          <w:lang w:val="fr-FR"/>
        </w:rPr>
        <w:t xml:space="preserve"> problème, en particulier </w:t>
      </w:r>
      <w:r>
        <w:rPr>
          <w:lang w:val="fr-FR"/>
        </w:rPr>
        <w:t>s’agissant du</w:t>
      </w:r>
      <w:r w:rsidRPr="00210A06">
        <w:rPr>
          <w:lang w:val="fr-FR"/>
        </w:rPr>
        <w:t xml:space="preserve"> transport de résidus de gaz liquéfié réfrigéré, principalement dû au fait que la pression résiduelle dans les </w:t>
      </w:r>
      <w:r w:rsidRPr="007107AD">
        <w:t>citernes</w:t>
      </w:r>
      <w:r w:rsidRPr="00210A06">
        <w:rPr>
          <w:lang w:val="fr-FR"/>
        </w:rPr>
        <w:t xml:space="preserve"> n</w:t>
      </w:r>
      <w:r>
        <w:rPr>
          <w:lang w:val="fr-FR"/>
        </w:rPr>
        <w:t>’</w:t>
      </w:r>
      <w:r w:rsidRPr="00210A06">
        <w:rPr>
          <w:lang w:val="fr-FR"/>
        </w:rPr>
        <w:t xml:space="preserve">était pas suffisamment </w:t>
      </w:r>
      <w:r>
        <w:rPr>
          <w:lang w:val="fr-FR"/>
        </w:rPr>
        <w:t>abaissée pour</w:t>
      </w:r>
      <w:r w:rsidRPr="00210A06">
        <w:rPr>
          <w:lang w:val="fr-FR"/>
        </w:rPr>
        <w:t xml:space="preserve"> les trajets à vide. En cas d</w:t>
      </w:r>
      <w:r>
        <w:rPr>
          <w:lang w:val="fr-FR"/>
        </w:rPr>
        <w:t>’</w:t>
      </w:r>
      <w:r w:rsidRPr="00210A06">
        <w:rPr>
          <w:lang w:val="fr-FR"/>
        </w:rPr>
        <w:t>incident, la circulation des trains est généralement très perturbée en raison de la fermeture de voies et de l</w:t>
      </w:r>
      <w:r>
        <w:rPr>
          <w:lang w:val="fr-FR"/>
        </w:rPr>
        <w:t>’</w:t>
      </w:r>
      <w:r w:rsidRPr="00210A06">
        <w:rPr>
          <w:lang w:val="fr-FR"/>
        </w:rPr>
        <w:t>intervention des pompiers.</w:t>
      </w:r>
    </w:p>
    <w:p w14:paraId="6701F257" w14:textId="77777777" w:rsidR="007107AD" w:rsidRPr="00210A06" w:rsidRDefault="007107AD" w:rsidP="007107AD">
      <w:pPr>
        <w:pStyle w:val="SingleTxtG"/>
      </w:pPr>
      <w:r w:rsidRPr="00210A06">
        <w:rPr>
          <w:lang w:val="fr-FR"/>
        </w:rPr>
        <w:t>6.</w:t>
      </w:r>
      <w:r w:rsidRPr="00210A06">
        <w:rPr>
          <w:lang w:val="fr-FR"/>
        </w:rPr>
        <w:tab/>
        <w:t>Ce problème n</w:t>
      </w:r>
      <w:r>
        <w:rPr>
          <w:lang w:val="fr-FR"/>
        </w:rPr>
        <w:t>’</w:t>
      </w:r>
      <w:r w:rsidRPr="00210A06">
        <w:rPr>
          <w:lang w:val="fr-FR"/>
        </w:rPr>
        <w:t xml:space="preserve">existe </w:t>
      </w:r>
      <w:r w:rsidRPr="007107AD">
        <w:t>pas</w:t>
      </w:r>
      <w:r w:rsidRPr="00210A06">
        <w:rPr>
          <w:lang w:val="fr-FR"/>
        </w:rPr>
        <w:t xml:space="preserve"> dans le transport routier, car le conducteur peut prendre les mesures nécessaires pour </w:t>
      </w:r>
      <w:r>
        <w:rPr>
          <w:lang w:val="fr-FR"/>
        </w:rPr>
        <w:t>réduire</w:t>
      </w:r>
      <w:r w:rsidRPr="00210A06">
        <w:rPr>
          <w:lang w:val="fr-FR"/>
        </w:rPr>
        <w:t xml:space="preserve"> la pression.</w:t>
      </w:r>
    </w:p>
    <w:p w14:paraId="50BAE6B2" w14:textId="346D295A" w:rsidR="007107AD" w:rsidRPr="00210A06" w:rsidRDefault="007107AD" w:rsidP="007107AD">
      <w:pPr>
        <w:pStyle w:val="SingleTxtG"/>
      </w:pPr>
      <w:r w:rsidRPr="00210A06">
        <w:rPr>
          <w:lang w:val="fr-FR"/>
        </w:rPr>
        <w:t>7.</w:t>
      </w:r>
      <w:r w:rsidRPr="00210A06">
        <w:rPr>
          <w:lang w:val="fr-FR"/>
        </w:rPr>
        <w:tab/>
        <w:t xml:space="preserve">Dans le transport ferroviaire, les gaz liquéfiés réfrigérés suivants sont les plus </w:t>
      </w:r>
      <w:r>
        <w:rPr>
          <w:lang w:val="fr-FR"/>
        </w:rPr>
        <w:t>touchés</w:t>
      </w:r>
      <w:r w:rsidRPr="00210A06">
        <w:rPr>
          <w:lang w:val="fr-FR"/>
        </w:rPr>
        <w:t xml:space="preserve"> par le problème</w:t>
      </w:r>
      <w:r>
        <w:rPr>
          <w:lang w:val="fr-FR"/>
        </w:rPr>
        <w:t> :</w:t>
      </w:r>
      <w:r w:rsidRPr="00210A06">
        <w:rPr>
          <w:lang w:val="fr-FR"/>
        </w:rPr>
        <w:t xml:space="preserve"> Nos</w:t>
      </w:r>
      <w:r w:rsidR="00FB67B1">
        <w:rPr>
          <w:lang w:val="fr-FR"/>
        </w:rPr>
        <w:t> </w:t>
      </w:r>
      <w:r w:rsidRPr="00210A06">
        <w:rPr>
          <w:lang w:val="fr-FR"/>
        </w:rPr>
        <w:t>ONU</w:t>
      </w:r>
      <w:r w:rsidR="00FB67B1">
        <w:rPr>
          <w:lang w:val="fr-FR"/>
        </w:rPr>
        <w:t> </w:t>
      </w:r>
      <w:r w:rsidRPr="00210A06">
        <w:rPr>
          <w:lang w:val="fr-FR"/>
        </w:rPr>
        <w:t xml:space="preserve">1951 (argon </w:t>
      </w:r>
      <w:r w:rsidRPr="007107AD">
        <w:t>liquide</w:t>
      </w:r>
      <w:r w:rsidRPr="00210A06">
        <w:rPr>
          <w:lang w:val="fr-FR"/>
        </w:rPr>
        <w:t xml:space="preserve"> réfrigéré), ONU</w:t>
      </w:r>
      <w:r w:rsidR="00FB67B1">
        <w:rPr>
          <w:lang w:val="fr-FR"/>
        </w:rPr>
        <w:t> </w:t>
      </w:r>
      <w:r w:rsidRPr="00210A06">
        <w:rPr>
          <w:lang w:val="fr-FR"/>
        </w:rPr>
        <w:t>1977 (azote liquide réfrigéré) et ONU</w:t>
      </w:r>
      <w:r w:rsidR="00FB67B1">
        <w:rPr>
          <w:lang w:val="fr-FR"/>
        </w:rPr>
        <w:t> </w:t>
      </w:r>
      <w:r w:rsidRPr="00210A06">
        <w:rPr>
          <w:lang w:val="fr-FR"/>
        </w:rPr>
        <w:t>2187 (dioxyde de carbone liquide réfrigéré).</w:t>
      </w:r>
    </w:p>
    <w:p w14:paraId="2D311481" w14:textId="0772EA00" w:rsidR="007107AD" w:rsidRPr="00210A06" w:rsidRDefault="007107AD" w:rsidP="007107AD">
      <w:pPr>
        <w:pStyle w:val="SingleTxtG"/>
      </w:pPr>
      <w:r w:rsidRPr="00210A06">
        <w:rPr>
          <w:lang w:val="fr-FR"/>
        </w:rPr>
        <w:t>8.</w:t>
      </w:r>
      <w:r w:rsidRPr="00210A06">
        <w:rPr>
          <w:lang w:val="fr-FR"/>
        </w:rPr>
        <w:tab/>
        <w:t>Des dispositions ont été ajoutées au document d</w:t>
      </w:r>
      <w:r>
        <w:rPr>
          <w:lang w:val="fr-FR"/>
        </w:rPr>
        <w:t>’</w:t>
      </w:r>
      <w:r w:rsidRPr="00210A06">
        <w:rPr>
          <w:lang w:val="fr-FR"/>
        </w:rPr>
        <w:t>orientation de l</w:t>
      </w:r>
      <w:r>
        <w:rPr>
          <w:lang w:val="fr-FR"/>
        </w:rPr>
        <w:t>’</w:t>
      </w:r>
      <w:r w:rsidRPr="00210A06">
        <w:rPr>
          <w:lang w:val="fr-FR"/>
        </w:rPr>
        <w:t xml:space="preserve">EIGA intitulé « Methods to prevent the premature activation of relief devices on transport tanks » (Méthodes </w:t>
      </w:r>
      <w:r>
        <w:rPr>
          <w:lang w:val="fr-FR"/>
        </w:rPr>
        <w:t>destinées à</w:t>
      </w:r>
      <w:r w:rsidRPr="00210A06">
        <w:rPr>
          <w:lang w:val="fr-FR"/>
        </w:rPr>
        <w:t xml:space="preserve"> prévenir l</w:t>
      </w:r>
      <w:r>
        <w:rPr>
          <w:lang w:val="fr-FR"/>
        </w:rPr>
        <w:t>’</w:t>
      </w:r>
      <w:r w:rsidRPr="00210A06">
        <w:rPr>
          <w:lang w:val="fr-FR"/>
        </w:rPr>
        <w:t>activation prématurée des dispositifs de décompression sur les citernes de transport)</w:t>
      </w:r>
      <w:r>
        <w:rPr>
          <w:lang w:val="fr-FR"/>
        </w:rPr>
        <w:t xml:space="preserve"> pour éviter les incidents, notamment u</w:t>
      </w:r>
      <w:r w:rsidRPr="00210A06">
        <w:rPr>
          <w:lang w:val="fr-FR"/>
        </w:rPr>
        <w:t>n appendice</w:t>
      </w:r>
      <w:r w:rsidR="00FB67B1">
        <w:rPr>
          <w:lang w:val="fr-FR"/>
        </w:rPr>
        <w:t> </w:t>
      </w:r>
      <w:r w:rsidRPr="00210A06">
        <w:rPr>
          <w:lang w:val="fr-FR"/>
        </w:rPr>
        <w:t>A contenant des exemples de fiche de contrôle d</w:t>
      </w:r>
      <w:r>
        <w:rPr>
          <w:lang w:val="fr-FR"/>
        </w:rPr>
        <w:t>’</w:t>
      </w:r>
      <w:r w:rsidRPr="00210A06">
        <w:rPr>
          <w:lang w:val="fr-FR"/>
        </w:rPr>
        <w:t>un wagon</w:t>
      </w:r>
      <w:r w:rsidR="00FB67B1">
        <w:rPr>
          <w:lang w:val="fr-FR"/>
        </w:rPr>
        <w:noBreakHyphen/>
      </w:r>
      <w:r w:rsidRPr="00210A06">
        <w:rPr>
          <w:lang w:val="fr-FR"/>
        </w:rPr>
        <w:t>citerne, d</w:t>
      </w:r>
      <w:r>
        <w:rPr>
          <w:lang w:val="fr-FR"/>
        </w:rPr>
        <w:t>’</w:t>
      </w:r>
      <w:r w:rsidRPr="00210A06">
        <w:rPr>
          <w:lang w:val="fr-FR"/>
        </w:rPr>
        <w:t xml:space="preserve">une citerne </w:t>
      </w:r>
      <w:r w:rsidRPr="007107AD">
        <w:t>mobile</w:t>
      </w:r>
      <w:r w:rsidRPr="00210A06">
        <w:rPr>
          <w:lang w:val="fr-FR"/>
        </w:rPr>
        <w:t xml:space="preserve"> </w:t>
      </w:r>
      <w:r>
        <w:rPr>
          <w:lang w:val="fr-FR"/>
        </w:rPr>
        <w:t>ou</w:t>
      </w:r>
      <w:r w:rsidRPr="00210A06">
        <w:rPr>
          <w:lang w:val="fr-FR"/>
        </w:rPr>
        <w:t xml:space="preserve"> d</w:t>
      </w:r>
      <w:r>
        <w:rPr>
          <w:lang w:val="fr-FR"/>
        </w:rPr>
        <w:t>’</w:t>
      </w:r>
      <w:r w:rsidRPr="00210A06">
        <w:rPr>
          <w:lang w:val="fr-FR"/>
        </w:rPr>
        <w:t>un conteneur</w:t>
      </w:r>
      <w:r w:rsidR="001508BB">
        <w:rPr>
          <w:lang w:val="fr-FR"/>
        </w:rPr>
        <w:noBreakHyphen/>
      </w:r>
      <w:r w:rsidRPr="00210A06">
        <w:rPr>
          <w:lang w:val="fr-FR"/>
        </w:rPr>
        <w:t xml:space="preserve">citerne </w:t>
      </w:r>
      <w:r>
        <w:rPr>
          <w:lang w:val="fr-FR"/>
        </w:rPr>
        <w:t>où figure notamment</w:t>
      </w:r>
      <w:r w:rsidRPr="00210A06">
        <w:rPr>
          <w:lang w:val="fr-FR"/>
        </w:rPr>
        <w:t xml:space="preserve"> une liste de</w:t>
      </w:r>
      <w:r>
        <w:rPr>
          <w:lang w:val="fr-FR"/>
        </w:rPr>
        <w:t>s</w:t>
      </w:r>
      <w:r w:rsidRPr="00210A06">
        <w:rPr>
          <w:lang w:val="fr-FR"/>
        </w:rPr>
        <w:t xml:space="preserve"> pression</w:t>
      </w:r>
      <w:r>
        <w:rPr>
          <w:lang w:val="fr-FR"/>
        </w:rPr>
        <w:t>s</w:t>
      </w:r>
      <w:r w:rsidRPr="00210A06">
        <w:rPr>
          <w:lang w:val="fr-FR"/>
        </w:rPr>
        <w:t xml:space="preserve"> résiduelle</w:t>
      </w:r>
      <w:r>
        <w:rPr>
          <w:lang w:val="fr-FR"/>
        </w:rPr>
        <w:t>s</w:t>
      </w:r>
      <w:r w:rsidRPr="00210A06">
        <w:rPr>
          <w:lang w:val="fr-FR"/>
        </w:rPr>
        <w:t xml:space="preserve"> respective</w:t>
      </w:r>
      <w:r>
        <w:rPr>
          <w:lang w:val="fr-FR"/>
        </w:rPr>
        <w:t>s</w:t>
      </w:r>
      <w:r w:rsidRPr="00210A06">
        <w:rPr>
          <w:lang w:val="fr-FR"/>
        </w:rPr>
        <w:t xml:space="preserve"> des différents produits pour le transport de citernes vides.</w:t>
      </w:r>
    </w:p>
    <w:p w14:paraId="4EEC6A89" w14:textId="77777777" w:rsidR="007107AD" w:rsidRPr="00210A06" w:rsidRDefault="007107AD" w:rsidP="007107AD">
      <w:pPr>
        <w:pStyle w:val="SingleTxtG"/>
      </w:pPr>
      <w:r w:rsidRPr="00210A06">
        <w:rPr>
          <w:lang w:val="fr-FR"/>
        </w:rPr>
        <w:t>9.</w:t>
      </w:r>
      <w:r w:rsidRPr="00210A06">
        <w:rPr>
          <w:lang w:val="fr-FR"/>
        </w:rPr>
        <w:tab/>
      </w:r>
      <w:r>
        <w:rPr>
          <w:lang w:val="fr-FR"/>
        </w:rPr>
        <w:t>Dans le droit fil de ce qu’a fait l’EIGA</w:t>
      </w:r>
      <w:r w:rsidRPr="00210A06">
        <w:rPr>
          <w:lang w:val="fr-FR"/>
        </w:rPr>
        <w:t>, il conviendrait</w:t>
      </w:r>
      <w:r>
        <w:rPr>
          <w:lang w:val="fr-FR"/>
        </w:rPr>
        <w:t xml:space="preserve"> </w:t>
      </w:r>
      <w:r w:rsidRPr="00210A06">
        <w:rPr>
          <w:lang w:val="fr-FR"/>
        </w:rPr>
        <w:t>d</w:t>
      </w:r>
      <w:r>
        <w:rPr>
          <w:lang w:val="fr-FR"/>
        </w:rPr>
        <w:t>’</w:t>
      </w:r>
      <w:r w:rsidRPr="00210A06">
        <w:rPr>
          <w:lang w:val="fr-FR"/>
        </w:rPr>
        <w:t xml:space="preserve">ajouter des </w:t>
      </w:r>
      <w:r>
        <w:rPr>
          <w:lang w:val="fr-FR"/>
        </w:rPr>
        <w:t>dispositions</w:t>
      </w:r>
      <w:r w:rsidRPr="00210A06">
        <w:rPr>
          <w:lang w:val="fr-FR"/>
        </w:rPr>
        <w:t xml:space="preserve"> au RID</w:t>
      </w:r>
      <w:r>
        <w:rPr>
          <w:lang w:val="fr-FR"/>
        </w:rPr>
        <w:t>, à l’</w:t>
      </w:r>
      <w:r w:rsidRPr="00210A06">
        <w:rPr>
          <w:lang w:val="fr-FR"/>
        </w:rPr>
        <w:t>ADR</w:t>
      </w:r>
      <w:r>
        <w:rPr>
          <w:lang w:val="fr-FR"/>
        </w:rPr>
        <w:t xml:space="preserve"> et à l’</w:t>
      </w:r>
      <w:r w:rsidRPr="00210A06">
        <w:rPr>
          <w:lang w:val="fr-FR"/>
        </w:rPr>
        <w:t>ADN afin d</w:t>
      </w:r>
      <w:r>
        <w:rPr>
          <w:lang w:val="fr-FR"/>
        </w:rPr>
        <w:t xml:space="preserve">’y </w:t>
      </w:r>
      <w:r w:rsidRPr="00210A06">
        <w:rPr>
          <w:lang w:val="fr-FR"/>
        </w:rPr>
        <w:t xml:space="preserve">indiquer clairement qui </w:t>
      </w:r>
      <w:r>
        <w:rPr>
          <w:lang w:val="fr-FR"/>
        </w:rPr>
        <w:t>est initialement chargé</w:t>
      </w:r>
      <w:r w:rsidRPr="00210A06">
        <w:rPr>
          <w:lang w:val="fr-FR"/>
        </w:rPr>
        <w:t xml:space="preserve"> de prévenir l</w:t>
      </w:r>
      <w:r>
        <w:rPr>
          <w:lang w:val="fr-FR"/>
        </w:rPr>
        <w:t>’</w:t>
      </w:r>
      <w:r w:rsidRPr="00210A06">
        <w:rPr>
          <w:lang w:val="fr-FR"/>
        </w:rPr>
        <w:t>activation prématurée des soupapes de décompression et quelles mesures devraient être prises concernant les citernes vides non nettoyées.</w:t>
      </w:r>
    </w:p>
    <w:p w14:paraId="5EBFE328" w14:textId="77777777" w:rsidR="007107AD" w:rsidRPr="007107AD" w:rsidRDefault="007107AD" w:rsidP="00E73368">
      <w:pPr>
        <w:pStyle w:val="HChG"/>
      </w:pPr>
      <w:r w:rsidRPr="00210A06">
        <w:rPr>
          <w:lang w:val="fr-FR"/>
        </w:rPr>
        <w:tab/>
      </w:r>
      <w:r w:rsidRPr="00210A06">
        <w:rPr>
          <w:lang w:val="fr-FR"/>
        </w:rPr>
        <w:tab/>
      </w:r>
      <w:r w:rsidRPr="00E73368">
        <w:t>Proposition</w:t>
      </w:r>
    </w:p>
    <w:p w14:paraId="027A6A20" w14:textId="7BD26D6E" w:rsidR="007107AD" w:rsidRPr="00210A06" w:rsidRDefault="007107AD" w:rsidP="007107AD">
      <w:pPr>
        <w:pStyle w:val="SingleTxtG"/>
      </w:pPr>
      <w:r w:rsidRPr="00210A06">
        <w:rPr>
          <w:lang w:val="fr-FR"/>
        </w:rPr>
        <w:t>10.</w:t>
      </w:r>
      <w:r w:rsidRPr="00210A06">
        <w:rPr>
          <w:lang w:val="fr-FR"/>
        </w:rPr>
        <w:tab/>
        <w:t>Modifier le</w:t>
      </w:r>
      <w:r w:rsidR="00FB67B1">
        <w:rPr>
          <w:lang w:val="fr-FR"/>
        </w:rPr>
        <w:t> </w:t>
      </w:r>
      <w:r w:rsidRPr="00210A06">
        <w:rPr>
          <w:lang w:val="fr-FR"/>
        </w:rPr>
        <w:t>4.3.3.6 (les deux colonnes dans le RID et la colonne de droite dans l</w:t>
      </w:r>
      <w:r>
        <w:rPr>
          <w:lang w:val="fr-FR"/>
        </w:rPr>
        <w:t>’</w:t>
      </w:r>
      <w:r w:rsidRPr="00210A06">
        <w:rPr>
          <w:lang w:val="fr-FR"/>
        </w:rPr>
        <w:t>ADR) comme suit (le</w:t>
      </w:r>
      <w:r>
        <w:rPr>
          <w:lang w:val="fr-FR"/>
        </w:rPr>
        <w:t xml:space="preserve">s ajouts proposés </w:t>
      </w:r>
      <w:r w:rsidRPr="00210A06">
        <w:rPr>
          <w:lang w:val="fr-FR"/>
        </w:rPr>
        <w:t>figure</w:t>
      </w:r>
      <w:r>
        <w:rPr>
          <w:lang w:val="fr-FR"/>
        </w:rPr>
        <w:t>nt</w:t>
      </w:r>
      <w:r w:rsidRPr="00210A06">
        <w:rPr>
          <w:lang w:val="fr-FR"/>
        </w:rPr>
        <w:t xml:space="preserve"> en caractères gras)</w:t>
      </w:r>
      <w:r>
        <w:rPr>
          <w:lang w:val="fr-FR"/>
        </w:rPr>
        <w:t> :</w:t>
      </w:r>
    </w:p>
    <w:p w14:paraId="2D45F304" w14:textId="510A11AF" w:rsidR="007107AD" w:rsidRPr="007107AD" w:rsidRDefault="007107AD" w:rsidP="007107AD">
      <w:pPr>
        <w:pStyle w:val="SingleTxtG"/>
      </w:pPr>
      <w:r w:rsidRPr="00E73368">
        <w:rPr>
          <w:spacing w:val="-3"/>
          <w:lang w:val="fr-FR"/>
        </w:rPr>
        <w:t>« 4.3.3.6</w:t>
      </w:r>
      <w:r w:rsidRPr="00210A06">
        <w:rPr>
          <w:lang w:val="fr-FR"/>
        </w:rPr>
        <w:tab/>
        <w:t xml:space="preserve">Les citernes ne doivent pas être </w:t>
      </w:r>
      <w:r>
        <w:rPr>
          <w:lang w:val="fr-FR"/>
        </w:rPr>
        <w:t>présentées</w:t>
      </w:r>
      <w:r w:rsidRPr="00210A06">
        <w:rPr>
          <w:lang w:val="fr-FR"/>
        </w:rPr>
        <w:t xml:space="preserve"> au transport </w:t>
      </w:r>
      <w:r w:rsidRPr="00210A06">
        <w:rPr>
          <w:b/>
          <w:bCs/>
          <w:lang w:val="fr-FR"/>
        </w:rPr>
        <w:t>par l</w:t>
      </w:r>
      <w:r>
        <w:rPr>
          <w:b/>
          <w:bCs/>
          <w:lang w:val="fr-FR"/>
        </w:rPr>
        <w:t>’</w:t>
      </w:r>
      <w:r w:rsidRPr="00210A06">
        <w:rPr>
          <w:b/>
          <w:bCs/>
          <w:lang w:val="fr-FR"/>
        </w:rPr>
        <w:t>expéditeur</w:t>
      </w:r>
      <w:r>
        <w:rPr>
          <w:lang w:val="fr-FR"/>
        </w:rPr>
        <w:t> :</w:t>
      </w:r>
    </w:p>
    <w:p w14:paraId="6F88AC6E" w14:textId="0686E92C" w:rsidR="007107AD" w:rsidRPr="00210A06" w:rsidRDefault="007107AD" w:rsidP="00642322">
      <w:pPr>
        <w:pStyle w:val="SingleTxtG"/>
        <w:ind w:left="2268"/>
      </w:pPr>
      <w:r w:rsidRPr="00210A06">
        <w:rPr>
          <w:lang w:val="fr-FR"/>
        </w:rPr>
        <w:t>a)</w:t>
      </w:r>
      <w:r w:rsidRPr="00210A06">
        <w:rPr>
          <w:lang w:val="fr-FR"/>
        </w:rPr>
        <w:tab/>
        <w:t>Si leur taux de remplissage est tel que les oscillations du contenu pourraient engendrer des forces hydrauliques excessives dans le réservoir</w:t>
      </w:r>
      <w:r>
        <w:rPr>
          <w:lang w:val="fr-FR"/>
        </w:rPr>
        <w:t> ;</w:t>
      </w:r>
    </w:p>
    <w:p w14:paraId="694BEFD8" w14:textId="61DB1204" w:rsidR="007107AD" w:rsidRPr="00CC36FF" w:rsidRDefault="007107AD" w:rsidP="00642322">
      <w:pPr>
        <w:pStyle w:val="SingleTxtG"/>
        <w:ind w:left="2268"/>
      </w:pPr>
      <w:r w:rsidRPr="00CC36FF">
        <w:t>b)</w:t>
      </w:r>
      <w:r w:rsidRPr="00CC36FF">
        <w:tab/>
        <w:t xml:space="preserve">Si </w:t>
      </w:r>
      <w:r w:rsidRPr="00642322">
        <w:rPr>
          <w:lang w:val="fr-FR"/>
        </w:rPr>
        <w:t>elles</w:t>
      </w:r>
      <w:r w:rsidRPr="00CC36FF">
        <w:t xml:space="preserve"> fuient ;</w:t>
      </w:r>
    </w:p>
    <w:p w14:paraId="213D2349" w14:textId="71011938" w:rsidR="007107AD" w:rsidRPr="00CC36FF" w:rsidRDefault="007107AD" w:rsidP="00642322">
      <w:pPr>
        <w:pStyle w:val="SingleTxtG"/>
        <w:ind w:left="2268"/>
      </w:pPr>
      <w:r w:rsidRPr="00CC36FF">
        <w:t>c)</w:t>
      </w:r>
      <w:r w:rsidRPr="00CC36FF">
        <w:tab/>
        <w:t xml:space="preserve">Si </w:t>
      </w:r>
      <w:r w:rsidRPr="00642322">
        <w:rPr>
          <w:lang w:val="fr-FR"/>
        </w:rPr>
        <w:t>elles</w:t>
      </w:r>
      <w:r w:rsidRPr="00CC36FF">
        <w:t xml:space="preserve"> sont endommagées à tel point que l’intégrité de la citerne ou de ses attaches de levage ou d’arrimage pourrait être compromise ;</w:t>
      </w:r>
    </w:p>
    <w:p w14:paraId="417F7DFD" w14:textId="4DAF3170" w:rsidR="007107AD" w:rsidRPr="00CC36FF" w:rsidRDefault="007107AD" w:rsidP="00642322">
      <w:pPr>
        <w:pStyle w:val="SingleTxtG"/>
        <w:ind w:left="2268"/>
      </w:pPr>
      <w:r w:rsidRPr="00CC36FF">
        <w:t>d)</w:t>
      </w:r>
      <w:r w:rsidRPr="00CC36FF">
        <w:tab/>
        <w:t xml:space="preserve">Si l’équipement de service n’a pas été examiné et jugé en bon état de </w:t>
      </w:r>
      <w:r w:rsidRPr="00642322">
        <w:rPr>
          <w:lang w:val="fr-FR"/>
        </w:rPr>
        <w:t>fonctionnement</w:t>
      </w:r>
      <w:r w:rsidRPr="00CC36FF">
        <w:t> ;</w:t>
      </w:r>
    </w:p>
    <w:p w14:paraId="53111DEA" w14:textId="7CA747C6" w:rsidR="007107AD" w:rsidRPr="00CC36FF" w:rsidRDefault="007107AD" w:rsidP="00642322">
      <w:pPr>
        <w:pStyle w:val="SingleTxtG"/>
        <w:ind w:left="2268"/>
      </w:pPr>
      <w:r w:rsidRPr="00CC36FF">
        <w:t>e)</w:t>
      </w:r>
      <w:r w:rsidRPr="00CC36FF">
        <w:tab/>
        <w:t xml:space="preserve">Si le temps de retenue réel pour le gaz liquéfié réfrigéré transporté n’a pas été </w:t>
      </w:r>
      <w:r w:rsidRPr="00642322">
        <w:rPr>
          <w:lang w:val="fr-FR"/>
        </w:rPr>
        <w:t>déterminé</w:t>
      </w:r>
      <w:r w:rsidRPr="00CC36FF">
        <w:t> ;</w:t>
      </w:r>
    </w:p>
    <w:p w14:paraId="52B56D07" w14:textId="38796CCB" w:rsidR="007107AD" w:rsidRPr="00CC36FF" w:rsidRDefault="007107AD" w:rsidP="00642322">
      <w:pPr>
        <w:pStyle w:val="SingleTxtG"/>
        <w:ind w:left="2268"/>
      </w:pPr>
      <w:r w:rsidRPr="00CC36FF">
        <w:t>f)</w:t>
      </w:r>
      <w:r w:rsidRPr="00CC36FF">
        <w:tab/>
        <w:t>Si la durée du transport, compte tenu des retards qui pourraient se produire, dépasse le temps de retenue réel ;</w:t>
      </w:r>
    </w:p>
    <w:p w14:paraId="15248947" w14:textId="7492FB87" w:rsidR="007107AD" w:rsidRPr="00CC36FF" w:rsidRDefault="007107AD" w:rsidP="00642322">
      <w:pPr>
        <w:pStyle w:val="SingleTxtG"/>
        <w:ind w:left="2268"/>
      </w:pPr>
      <w:r w:rsidRPr="00CC36FF">
        <w:t>g)</w:t>
      </w:r>
      <w:r w:rsidRPr="00CC36FF">
        <w:tab/>
        <w:t>Si la pression n’est pas constante et n’a pas été ramenée à un niveau tel que le temps de retenue réel puisse être atteint</w:t>
      </w:r>
      <w:r w:rsidRPr="00FB67B1">
        <w:rPr>
          <w:vertAlign w:val="superscript"/>
        </w:rPr>
        <w:t>4</w:t>
      </w:r>
      <w:r w:rsidRPr="00CC36FF">
        <w:t> ;</w:t>
      </w:r>
    </w:p>
    <w:p w14:paraId="35B31334" w14:textId="77777777" w:rsidR="007107AD" w:rsidRPr="00210A06" w:rsidRDefault="007107AD" w:rsidP="00642322">
      <w:pPr>
        <w:pStyle w:val="SingleTxtG"/>
        <w:ind w:left="2268"/>
      </w:pPr>
      <w:r w:rsidRPr="00FB67B1">
        <w:rPr>
          <w:b/>
          <w:bCs/>
          <w:lang w:val="fr-FR"/>
        </w:rPr>
        <w:t>h)</w:t>
      </w:r>
      <w:r w:rsidRPr="00FB67B1">
        <w:rPr>
          <w:b/>
          <w:bCs/>
          <w:lang w:val="fr-FR"/>
        </w:rPr>
        <w:tab/>
        <w:t xml:space="preserve">Si elles sont vides et non nettoyées, et si la pression résiduelle n’y a pas été ramenée à </w:t>
      </w:r>
      <w:r w:rsidRPr="00FB67B1">
        <w:rPr>
          <w:b/>
          <w:bCs/>
        </w:rPr>
        <w:t>un</w:t>
      </w:r>
      <w:r w:rsidRPr="00FB67B1">
        <w:rPr>
          <w:b/>
          <w:bCs/>
          <w:lang w:val="fr-FR"/>
        </w:rPr>
        <w:t xml:space="preserve"> niveau tel que la pression de tarage la plus basse des dispositifs de décompression n’est pas dépassée pendant toute la durée du transport</w:t>
      </w:r>
      <w:r w:rsidRPr="00210A06">
        <w:rPr>
          <w:lang w:val="fr-FR"/>
        </w:rPr>
        <w:t>*. ».</w:t>
      </w:r>
    </w:p>
    <w:p w14:paraId="31F48463" w14:textId="589DA7D8" w:rsidR="007107AD" w:rsidRPr="00210A06" w:rsidRDefault="007107AD" w:rsidP="00E73368">
      <w:pPr>
        <w:pStyle w:val="SingleTxtG"/>
        <w:keepNext/>
        <w:keepLines/>
        <w:rPr>
          <w:rFonts w:eastAsia="SimSun"/>
        </w:rPr>
      </w:pPr>
      <w:r w:rsidRPr="00210A06">
        <w:rPr>
          <w:lang w:val="fr-FR"/>
        </w:rPr>
        <w:t xml:space="preserve">Ajouter </w:t>
      </w:r>
      <w:r>
        <w:rPr>
          <w:lang w:val="fr-FR"/>
        </w:rPr>
        <w:t>la</w:t>
      </w:r>
      <w:r w:rsidRPr="00210A06">
        <w:rPr>
          <w:lang w:val="fr-FR"/>
        </w:rPr>
        <w:t xml:space="preserve"> nouvelle note de bas de page</w:t>
      </w:r>
      <w:r w:rsidR="00642322">
        <w:rPr>
          <w:lang w:val="fr-FR"/>
        </w:rPr>
        <w:t xml:space="preserve"> </w:t>
      </w:r>
      <w:r w:rsidRPr="00210A06">
        <w:rPr>
          <w:lang w:val="fr-FR"/>
        </w:rPr>
        <w:t>*</w:t>
      </w:r>
      <w:r>
        <w:rPr>
          <w:lang w:val="fr-FR"/>
        </w:rPr>
        <w:t>,</w:t>
      </w:r>
      <w:r w:rsidRPr="00210A06">
        <w:rPr>
          <w:lang w:val="fr-FR"/>
        </w:rPr>
        <w:t xml:space="preserve"> libellée comme suit</w:t>
      </w:r>
      <w:r>
        <w:rPr>
          <w:lang w:val="fr-FR"/>
        </w:rPr>
        <w:t> :</w:t>
      </w:r>
    </w:p>
    <w:p w14:paraId="0C87A348" w14:textId="6C3D4956" w:rsidR="007107AD" w:rsidRPr="00210A06" w:rsidRDefault="007107AD" w:rsidP="00E73368">
      <w:pPr>
        <w:pStyle w:val="SingleTxtG"/>
        <w:ind w:left="1701" w:hanging="567"/>
      </w:pPr>
      <w:r w:rsidRPr="00210A06">
        <w:rPr>
          <w:lang w:val="fr-FR"/>
        </w:rPr>
        <w:t>« *</w:t>
      </w:r>
      <w:r w:rsidRPr="00210A06">
        <w:rPr>
          <w:lang w:val="fr-FR"/>
        </w:rPr>
        <w:tab/>
      </w:r>
      <w:r w:rsidRPr="00CC36FF">
        <w:rPr>
          <w:b/>
          <w:bCs/>
          <w:i/>
          <w:iCs/>
          <w:lang w:val="fr-FR"/>
        </w:rPr>
        <w:t xml:space="preserve">On trouvera des directives à ce sujet dans le document de l’Association européenne des gaz industriels (EIGA) intitulé </w:t>
      </w:r>
      <w:r w:rsidR="006C05CD">
        <w:rPr>
          <w:b/>
          <w:bCs/>
          <w:i/>
          <w:iCs/>
          <w:lang w:val="fr-FR"/>
        </w:rPr>
        <w:t>“</w:t>
      </w:r>
      <w:r w:rsidRPr="00CC36FF">
        <w:rPr>
          <w:b/>
          <w:bCs/>
          <w:i/>
          <w:iCs/>
          <w:lang w:val="fr-FR"/>
        </w:rPr>
        <w:t>Methods to prevent the premature activation of relief devices on tanks</w:t>
      </w:r>
      <w:r w:rsidR="006C05CD">
        <w:rPr>
          <w:b/>
          <w:bCs/>
          <w:i/>
          <w:iCs/>
          <w:lang w:val="fr-FR"/>
        </w:rPr>
        <w:t>”</w:t>
      </w:r>
      <w:r w:rsidRPr="00CC36FF">
        <w:rPr>
          <w:b/>
          <w:bCs/>
          <w:i/>
          <w:iCs/>
          <w:lang w:val="fr-FR"/>
        </w:rPr>
        <w:t xml:space="preserve">, qui peut être consulté à l’adresse suivante : </w:t>
      </w:r>
      <w:hyperlink r:id="rId8" w:history="1">
        <w:r w:rsidR="00FB67B1" w:rsidRPr="0067246E">
          <w:rPr>
            <w:rStyle w:val="Lienhypertexte"/>
            <w:b/>
            <w:bCs/>
            <w:i/>
            <w:iCs/>
            <w:lang w:val="fr-FR"/>
          </w:rPr>
          <w:t>www.eiga.eu</w:t>
        </w:r>
      </w:hyperlink>
      <w:r w:rsidRPr="006C05CD">
        <w:rPr>
          <w:lang w:val="fr-FR"/>
        </w:rPr>
        <w:t>.</w:t>
      </w:r>
      <w:r w:rsidRPr="00210A06">
        <w:rPr>
          <w:lang w:val="fr-FR"/>
        </w:rPr>
        <w:t> ».</w:t>
      </w:r>
    </w:p>
    <w:p w14:paraId="4A8FC86A" w14:textId="49FA0BBF" w:rsidR="007107AD" w:rsidRPr="00CC36FF" w:rsidRDefault="007107AD" w:rsidP="00CC36FF">
      <w:pPr>
        <w:pStyle w:val="SingleTxtG"/>
      </w:pPr>
      <w:r w:rsidRPr="00CC36FF">
        <w:lastRenderedPageBreak/>
        <w:t>11.</w:t>
      </w:r>
      <w:r w:rsidRPr="00CC36FF">
        <w:tab/>
        <w:t>Modifier le</w:t>
      </w:r>
      <w:r w:rsidR="00FB67B1">
        <w:t> </w:t>
      </w:r>
      <w:r w:rsidRPr="00CC36FF">
        <w:t>5.4.1.2.2</w:t>
      </w:r>
      <w:r w:rsidR="00234C53">
        <w:t> </w:t>
      </w:r>
      <w:r w:rsidRPr="00CC36FF">
        <w:t>d) comme suit (les ajouts proposés figurent en caractères gras) :</w:t>
      </w:r>
    </w:p>
    <w:p w14:paraId="09085A63" w14:textId="07515EF5" w:rsidR="007107AD" w:rsidRPr="00CC36FF" w:rsidRDefault="00FB67B1" w:rsidP="00E73368">
      <w:pPr>
        <w:pStyle w:val="SingleTxtG"/>
        <w:ind w:firstLine="567"/>
      </w:pPr>
      <w:r>
        <w:tab/>
      </w:r>
      <w:r w:rsidR="007107AD" w:rsidRPr="00CC36FF">
        <w:t>« d)</w:t>
      </w:r>
      <w:r w:rsidR="007107AD" w:rsidRPr="00CC36FF">
        <w:tab/>
        <w:t>Dans le cas (RID :) des wagons</w:t>
      </w:r>
      <w:r>
        <w:noBreakHyphen/>
      </w:r>
      <w:r w:rsidR="007107AD" w:rsidRPr="00CC36FF">
        <w:t>citernes, (RID/ADR :) des conteneurs</w:t>
      </w:r>
      <w:r>
        <w:noBreakHyphen/>
      </w:r>
      <w:r w:rsidR="007107AD" w:rsidRPr="00CC36FF">
        <w:t xml:space="preserve">citernes et des citernes mobiles </w:t>
      </w:r>
      <w:r w:rsidR="007107AD" w:rsidRPr="00CC36FF">
        <w:rPr>
          <w:b/>
          <w:bCs/>
        </w:rPr>
        <w:t>chargés</w:t>
      </w:r>
      <w:r w:rsidR="007107AD" w:rsidRPr="00CC36FF">
        <w:t xml:space="preserve"> transportant des gaz liquéfiés réfrigérés, l’expéditeur doit indiquer comme suit dans le document de transport la date à laquelle le temps de retenue réel expire :</w:t>
      </w:r>
    </w:p>
    <w:p w14:paraId="20802D35" w14:textId="42F25123" w:rsidR="007107AD" w:rsidRPr="00210A06" w:rsidRDefault="007107AD" w:rsidP="00CC36FF">
      <w:pPr>
        <w:pStyle w:val="SingleTxtG"/>
      </w:pPr>
      <w:r w:rsidRPr="00210A06">
        <w:rPr>
          <w:lang w:val="fr-FR"/>
        </w:rPr>
        <w:t>«</w:t>
      </w:r>
      <w:r w:rsidR="00FB67B1">
        <w:rPr>
          <w:lang w:val="fr-FR"/>
        </w:rPr>
        <w:t> </w:t>
      </w:r>
      <w:r w:rsidRPr="00210A06">
        <w:rPr>
          <w:lang w:val="fr-FR"/>
        </w:rPr>
        <w:t xml:space="preserve">FIN DU TEMPS DE </w:t>
      </w:r>
      <w:r w:rsidRPr="00CC36FF">
        <w:t>RETENUE</w:t>
      </w:r>
      <w:r>
        <w:rPr>
          <w:lang w:val="fr-FR"/>
        </w:rPr>
        <w:t> :</w:t>
      </w:r>
      <w:r w:rsidRPr="00210A06">
        <w:rPr>
          <w:lang w:val="fr-FR"/>
        </w:rPr>
        <w:t xml:space="preserve"> .............. (JJ/MM/AAAA)</w:t>
      </w:r>
      <w:r w:rsidR="00FB67B1">
        <w:rPr>
          <w:lang w:val="fr-FR"/>
        </w:rPr>
        <w:t> </w:t>
      </w:r>
      <w:r w:rsidRPr="00210A06">
        <w:rPr>
          <w:lang w:val="fr-FR"/>
        </w:rPr>
        <w:t>».</w:t>
      </w:r>
    </w:p>
    <w:p w14:paraId="7053084B" w14:textId="22B3E27F" w:rsidR="007107AD" w:rsidRPr="00210A06" w:rsidRDefault="007107AD" w:rsidP="00CC36FF">
      <w:pPr>
        <w:pStyle w:val="SingleTxtG"/>
      </w:pPr>
      <w:r w:rsidRPr="00210A06">
        <w:rPr>
          <w:lang w:val="fr-FR"/>
        </w:rPr>
        <w:t>12.</w:t>
      </w:r>
      <w:r w:rsidRPr="00210A06">
        <w:rPr>
          <w:lang w:val="fr-FR"/>
        </w:rPr>
        <w:tab/>
        <w:t>Si la Réunion commune RID/ADR/ADN adopte les propositions ci</w:t>
      </w:r>
      <w:r w:rsidR="006C05CD">
        <w:rPr>
          <w:lang w:val="fr-FR"/>
        </w:rPr>
        <w:noBreakHyphen/>
      </w:r>
      <w:r w:rsidRPr="00210A06">
        <w:rPr>
          <w:lang w:val="fr-FR"/>
        </w:rPr>
        <w:t>dessus, l</w:t>
      </w:r>
      <w:r>
        <w:rPr>
          <w:lang w:val="fr-FR"/>
        </w:rPr>
        <w:t>’</w:t>
      </w:r>
      <w:r w:rsidRPr="00210A06">
        <w:rPr>
          <w:lang w:val="fr-FR"/>
        </w:rPr>
        <w:t>UIC est disposée à soumettre au Sous</w:t>
      </w:r>
      <w:r w:rsidR="00FB67B1">
        <w:rPr>
          <w:lang w:val="fr-FR"/>
        </w:rPr>
        <w:noBreakHyphen/>
      </w:r>
      <w:r>
        <w:rPr>
          <w:lang w:val="fr-FR"/>
        </w:rPr>
        <w:t>C</w:t>
      </w:r>
      <w:r w:rsidRPr="00210A06">
        <w:rPr>
          <w:lang w:val="fr-FR"/>
        </w:rPr>
        <w:t>omité d</w:t>
      </w:r>
      <w:r>
        <w:rPr>
          <w:lang w:val="fr-FR"/>
        </w:rPr>
        <w:t>’</w:t>
      </w:r>
      <w:r w:rsidRPr="00210A06">
        <w:rPr>
          <w:lang w:val="fr-FR"/>
        </w:rPr>
        <w:t xml:space="preserve">experts une proposition </w:t>
      </w:r>
      <w:r>
        <w:rPr>
          <w:lang w:val="fr-FR"/>
        </w:rPr>
        <w:t xml:space="preserve">de modification </w:t>
      </w:r>
      <w:r w:rsidRPr="00CC36FF">
        <w:t>correspondante</w:t>
      </w:r>
      <w:r w:rsidRPr="00210A06">
        <w:rPr>
          <w:lang w:val="fr-FR"/>
        </w:rPr>
        <w:t xml:space="preserve"> concernant le</w:t>
      </w:r>
      <w:r w:rsidR="00234C53">
        <w:rPr>
          <w:lang w:val="fr-FR"/>
        </w:rPr>
        <w:t> </w:t>
      </w:r>
      <w:r w:rsidRPr="00210A06">
        <w:rPr>
          <w:lang w:val="fr-FR"/>
        </w:rPr>
        <w:t>4.2.3.8 du Règlement type, libellée comme suit (le</w:t>
      </w:r>
      <w:r>
        <w:rPr>
          <w:lang w:val="fr-FR"/>
        </w:rPr>
        <w:t>s</w:t>
      </w:r>
      <w:r w:rsidR="00234C53">
        <w:rPr>
          <w:lang w:val="fr-FR"/>
        </w:rPr>
        <w:t> </w:t>
      </w:r>
      <w:r>
        <w:rPr>
          <w:lang w:val="fr-FR"/>
        </w:rPr>
        <w:t>modifications proposées</w:t>
      </w:r>
      <w:r w:rsidRPr="00210A06">
        <w:rPr>
          <w:lang w:val="fr-FR"/>
        </w:rPr>
        <w:t xml:space="preserve"> figure</w:t>
      </w:r>
      <w:r>
        <w:rPr>
          <w:lang w:val="fr-FR"/>
        </w:rPr>
        <w:t>nt</w:t>
      </w:r>
      <w:r w:rsidRPr="00210A06">
        <w:rPr>
          <w:lang w:val="fr-FR"/>
        </w:rPr>
        <w:t xml:space="preserve"> en caractères gras pour les ajouts et biffés pour les suppressions)</w:t>
      </w:r>
      <w:r>
        <w:rPr>
          <w:lang w:val="fr-FR"/>
        </w:rPr>
        <w:t> :</w:t>
      </w:r>
    </w:p>
    <w:p w14:paraId="3C720E5F" w14:textId="64380D54" w:rsidR="007107AD" w:rsidRPr="00210A06" w:rsidRDefault="007107AD" w:rsidP="00CC36FF">
      <w:pPr>
        <w:pStyle w:val="SingleTxtG"/>
      </w:pPr>
      <w:r w:rsidRPr="00210A06">
        <w:rPr>
          <w:lang w:val="fr-FR"/>
        </w:rPr>
        <w:t>« 4.2.3.8</w:t>
      </w:r>
      <w:r w:rsidRPr="00210A06">
        <w:rPr>
          <w:lang w:val="fr-FR"/>
        </w:rPr>
        <w:tab/>
        <w:t xml:space="preserve">Les citernes ne doivent pas être </w:t>
      </w:r>
      <w:r>
        <w:rPr>
          <w:lang w:val="fr-FR"/>
        </w:rPr>
        <w:t>présentées</w:t>
      </w:r>
      <w:r w:rsidRPr="00210A06">
        <w:rPr>
          <w:lang w:val="fr-FR"/>
        </w:rPr>
        <w:t xml:space="preserve"> au transport </w:t>
      </w:r>
      <w:r w:rsidRPr="00210A06">
        <w:rPr>
          <w:b/>
          <w:bCs/>
          <w:lang w:val="fr-FR"/>
        </w:rPr>
        <w:t>par l</w:t>
      </w:r>
      <w:r>
        <w:rPr>
          <w:b/>
          <w:bCs/>
          <w:lang w:val="fr-FR"/>
        </w:rPr>
        <w:t>’</w:t>
      </w:r>
      <w:r w:rsidRPr="00210A06">
        <w:rPr>
          <w:b/>
          <w:bCs/>
          <w:lang w:val="fr-FR"/>
        </w:rPr>
        <w:t>expéditeur</w:t>
      </w:r>
      <w:r>
        <w:rPr>
          <w:lang w:val="fr-FR"/>
        </w:rPr>
        <w:t> :</w:t>
      </w:r>
    </w:p>
    <w:p w14:paraId="7E9E265A" w14:textId="03DD6F82" w:rsidR="007107AD" w:rsidRPr="00CC36FF" w:rsidRDefault="007107AD" w:rsidP="00642322">
      <w:pPr>
        <w:pStyle w:val="SingleTxtG"/>
        <w:ind w:left="2268"/>
      </w:pPr>
      <w:r w:rsidRPr="00CC36FF">
        <w:t>a)</w:t>
      </w:r>
      <w:r w:rsidRPr="00CC36FF">
        <w:tab/>
        <w:t>Si leur taux de remplissage est tel que les oscillations du contenu pourraient engendrer des forces hydrauliques excessives dans le réservoir ;</w:t>
      </w:r>
    </w:p>
    <w:p w14:paraId="143254B7" w14:textId="1383F0A8" w:rsidR="007107AD" w:rsidRPr="00CC36FF" w:rsidRDefault="007107AD" w:rsidP="00642322">
      <w:pPr>
        <w:pStyle w:val="SingleTxtG"/>
        <w:ind w:left="2268"/>
      </w:pPr>
      <w:r w:rsidRPr="00CC36FF">
        <w:t>b)</w:t>
      </w:r>
      <w:r w:rsidRPr="00CC36FF">
        <w:tab/>
        <w:t>Si elles fuient ;</w:t>
      </w:r>
    </w:p>
    <w:p w14:paraId="69E8BA6F" w14:textId="650C18D1" w:rsidR="007107AD" w:rsidRPr="00CC36FF" w:rsidRDefault="007107AD" w:rsidP="00642322">
      <w:pPr>
        <w:pStyle w:val="SingleTxtG"/>
        <w:ind w:left="2268"/>
      </w:pPr>
      <w:r w:rsidRPr="00CC36FF">
        <w:t>c)</w:t>
      </w:r>
      <w:r w:rsidRPr="00CC36FF">
        <w:tab/>
        <w:t>Si elles sont endommagées à tel point que l’intégrité de la citerne ou de ses attaches de levage ou d’arrimage pourrait être compromise ;</w:t>
      </w:r>
    </w:p>
    <w:p w14:paraId="204518E1" w14:textId="34E886B6" w:rsidR="007107AD" w:rsidRPr="00CC36FF" w:rsidRDefault="007107AD" w:rsidP="00642322">
      <w:pPr>
        <w:pStyle w:val="SingleTxtG"/>
        <w:ind w:left="2268"/>
      </w:pPr>
      <w:r w:rsidRPr="00CC36FF">
        <w:t>d)</w:t>
      </w:r>
      <w:r w:rsidRPr="00CC36FF">
        <w:tab/>
        <w:t>Si l’équipement de service n’a pas été examiné et jugé en bon état de fonctionnement ;</w:t>
      </w:r>
    </w:p>
    <w:p w14:paraId="15D84070" w14:textId="1CFDA041" w:rsidR="007107AD" w:rsidRPr="00CC36FF" w:rsidRDefault="007107AD" w:rsidP="00642322">
      <w:pPr>
        <w:pStyle w:val="SingleTxtG"/>
        <w:ind w:left="2268"/>
      </w:pPr>
      <w:r w:rsidRPr="00CC36FF">
        <w:t>e)</w:t>
      </w:r>
      <w:r w:rsidRPr="00CC36FF">
        <w:tab/>
        <w:t xml:space="preserve">Si le temps de retenue réel pour le gaz liquéfié réfrigéré transporté n’a pas été déterminé conformément au 4.2.3.7 et si la citerne mobile n’a pas été marquée conformément au 6.7.4.15.2 ; </w:t>
      </w:r>
      <w:r w:rsidRPr="00CC36FF">
        <w:rPr>
          <w:strike/>
        </w:rPr>
        <w:t>et</w:t>
      </w:r>
      <w:r w:rsidRPr="00CC36FF">
        <w:t xml:space="preserve"> </w:t>
      </w:r>
    </w:p>
    <w:p w14:paraId="242CD438" w14:textId="73EBDDA1" w:rsidR="007107AD" w:rsidRPr="00CC36FF" w:rsidRDefault="007107AD" w:rsidP="00642322">
      <w:pPr>
        <w:pStyle w:val="SingleTxtG"/>
        <w:ind w:left="2268"/>
      </w:pPr>
      <w:r w:rsidRPr="00CC36FF">
        <w:t>f)</w:t>
      </w:r>
      <w:r w:rsidRPr="00CC36FF">
        <w:tab/>
        <w:t xml:space="preserve">Si la durée du transport, compte tenu des retards qui pourraient se produire, dépasse le temps de retenue réel ; </w:t>
      </w:r>
      <w:r w:rsidRPr="00CC36FF">
        <w:rPr>
          <w:b/>
          <w:bCs/>
        </w:rPr>
        <w:t>et</w:t>
      </w:r>
      <w:r w:rsidRPr="00CC36FF">
        <w:t xml:space="preserve"> </w:t>
      </w:r>
    </w:p>
    <w:p w14:paraId="66D61F6A" w14:textId="6E8E49DE" w:rsidR="007107AD" w:rsidRPr="00CC36FF" w:rsidRDefault="007107AD" w:rsidP="00642322">
      <w:pPr>
        <w:pStyle w:val="SingleTxtG"/>
        <w:ind w:left="2268"/>
      </w:pPr>
      <w:r w:rsidRPr="00CC36FF">
        <w:rPr>
          <w:b/>
          <w:bCs/>
        </w:rPr>
        <w:t>g)</w:t>
      </w:r>
      <w:r w:rsidRPr="00CC36FF">
        <w:rPr>
          <w:b/>
          <w:bCs/>
        </w:rPr>
        <w:tab/>
        <w:t>Si elles sont vides et non nettoyées, et si la pression résiduelle n’y</w:t>
      </w:r>
      <w:r w:rsidR="00234C53">
        <w:rPr>
          <w:b/>
          <w:bCs/>
        </w:rPr>
        <w:t> </w:t>
      </w:r>
      <w:r w:rsidRPr="00CC36FF">
        <w:rPr>
          <w:b/>
          <w:bCs/>
        </w:rPr>
        <w:t>a pas été ramenée à un niveau tel que la pression de tarage la plus basse des dispositifs de décompression n’est pas dépassée pendant toute la durée du transport</w:t>
      </w:r>
      <w:r w:rsidRPr="00CC36FF">
        <w:t>*. ».</w:t>
      </w:r>
    </w:p>
    <w:p w14:paraId="3F8012C1" w14:textId="333CE4A8" w:rsidR="007107AD" w:rsidRPr="00210A06" w:rsidRDefault="007107AD" w:rsidP="00CC36FF">
      <w:pPr>
        <w:pStyle w:val="SingleTxtG"/>
        <w:rPr>
          <w:rFonts w:eastAsia="SimSun"/>
        </w:rPr>
      </w:pPr>
      <w:r>
        <w:rPr>
          <w:lang w:val="fr-FR"/>
        </w:rPr>
        <w:t>Ajouter la même</w:t>
      </w:r>
      <w:r w:rsidRPr="00210A06">
        <w:rPr>
          <w:lang w:val="fr-FR"/>
        </w:rPr>
        <w:t xml:space="preserve"> note de bas de page</w:t>
      </w:r>
      <w:r w:rsidR="00642322">
        <w:rPr>
          <w:lang w:val="fr-FR"/>
        </w:rPr>
        <w:t xml:space="preserve"> </w:t>
      </w:r>
      <w:r w:rsidRPr="00210A06">
        <w:rPr>
          <w:lang w:val="fr-FR"/>
        </w:rPr>
        <w:t xml:space="preserve">* </w:t>
      </w:r>
      <w:r>
        <w:rPr>
          <w:lang w:val="fr-FR"/>
        </w:rPr>
        <w:t xml:space="preserve">que précédemment, </w:t>
      </w:r>
      <w:r w:rsidRPr="00210A06">
        <w:rPr>
          <w:lang w:val="fr-FR"/>
        </w:rPr>
        <w:t>libellée comme suit</w:t>
      </w:r>
      <w:r>
        <w:rPr>
          <w:lang w:val="fr-FR"/>
        </w:rPr>
        <w:t> :</w:t>
      </w:r>
    </w:p>
    <w:p w14:paraId="2F5C4983" w14:textId="54376EF2" w:rsidR="007107AD" w:rsidRPr="00210A06" w:rsidRDefault="007107AD" w:rsidP="00CC36FF">
      <w:pPr>
        <w:pStyle w:val="SingleTxtG"/>
        <w:ind w:left="1701" w:hanging="567"/>
      </w:pPr>
      <w:r w:rsidRPr="00210A06">
        <w:rPr>
          <w:lang w:val="fr-FR"/>
        </w:rPr>
        <w:t>« *</w:t>
      </w:r>
      <w:r w:rsidRPr="00210A06">
        <w:rPr>
          <w:lang w:val="fr-FR"/>
        </w:rPr>
        <w:tab/>
      </w:r>
      <w:r w:rsidRPr="00CC36FF">
        <w:rPr>
          <w:b/>
          <w:bCs/>
          <w:i/>
          <w:iCs/>
          <w:lang w:val="fr-FR"/>
        </w:rPr>
        <w:t>On trouvera des directives à ce sujet dans le document de l’Association européenne des gaz industriels (EIGA) intitulé</w:t>
      </w:r>
      <w:r w:rsidRPr="00CC36FF" w:rsidDel="00267673">
        <w:rPr>
          <w:b/>
          <w:bCs/>
          <w:i/>
          <w:iCs/>
          <w:lang w:val="fr-FR"/>
        </w:rPr>
        <w:t xml:space="preserve"> </w:t>
      </w:r>
      <w:r w:rsidR="00E50831">
        <w:rPr>
          <w:b/>
          <w:bCs/>
          <w:i/>
          <w:iCs/>
          <w:lang w:val="fr-FR"/>
        </w:rPr>
        <w:t>“</w:t>
      </w:r>
      <w:r w:rsidRPr="00CC36FF">
        <w:rPr>
          <w:b/>
          <w:bCs/>
          <w:i/>
          <w:iCs/>
          <w:lang w:val="fr-FR"/>
        </w:rPr>
        <w:t>Methods to prevent the premature activation of relief devices on tanks</w:t>
      </w:r>
      <w:r w:rsidR="00E50831">
        <w:rPr>
          <w:b/>
          <w:bCs/>
          <w:i/>
          <w:iCs/>
          <w:lang w:val="fr-FR"/>
        </w:rPr>
        <w:t>”</w:t>
      </w:r>
      <w:r w:rsidRPr="00CC36FF">
        <w:rPr>
          <w:b/>
          <w:bCs/>
          <w:i/>
          <w:iCs/>
          <w:lang w:val="fr-FR"/>
        </w:rPr>
        <w:t xml:space="preserve">, qui peut être consulté à l’adresse suivante : </w:t>
      </w:r>
      <w:hyperlink r:id="rId9" w:history="1">
        <w:r w:rsidR="001508BB" w:rsidRPr="0067246E">
          <w:rPr>
            <w:rStyle w:val="Lienhypertexte"/>
            <w:b/>
            <w:bCs/>
            <w:i/>
            <w:iCs/>
            <w:lang w:val="fr-FR"/>
          </w:rPr>
          <w:t>www.eiga.eu</w:t>
        </w:r>
      </w:hyperlink>
      <w:r w:rsidRPr="001508BB">
        <w:rPr>
          <w:lang w:val="fr-FR"/>
        </w:rPr>
        <w:t>.</w:t>
      </w:r>
      <w:r w:rsidRPr="00210A06">
        <w:rPr>
          <w:lang w:val="fr-FR"/>
        </w:rPr>
        <w:t> ».</w:t>
      </w:r>
    </w:p>
    <w:p w14:paraId="027CE070" w14:textId="77777777" w:rsidR="007107AD" w:rsidRPr="00CC36FF" w:rsidRDefault="007107AD" w:rsidP="00E73368">
      <w:pPr>
        <w:pStyle w:val="HChG"/>
      </w:pPr>
      <w:r w:rsidRPr="00210A06">
        <w:rPr>
          <w:lang w:val="fr-FR"/>
        </w:rPr>
        <w:tab/>
      </w:r>
      <w:r w:rsidRPr="00210A06">
        <w:rPr>
          <w:lang w:val="fr-FR"/>
        </w:rPr>
        <w:tab/>
      </w:r>
      <w:r w:rsidRPr="00E73368">
        <w:t>Justification</w:t>
      </w:r>
    </w:p>
    <w:p w14:paraId="0BBAE4DC" w14:textId="77777777" w:rsidR="007107AD" w:rsidRPr="00210A06" w:rsidRDefault="007107AD" w:rsidP="00CC36FF">
      <w:pPr>
        <w:pStyle w:val="SingleTxtG"/>
      </w:pPr>
      <w:r w:rsidRPr="00210A06">
        <w:rPr>
          <w:lang w:val="fr-FR"/>
        </w:rPr>
        <w:t>13.</w:t>
      </w:r>
      <w:r w:rsidRPr="00210A06">
        <w:rPr>
          <w:lang w:val="fr-FR"/>
        </w:rPr>
        <w:tab/>
      </w:r>
      <w:r>
        <w:rPr>
          <w:lang w:val="fr-FR"/>
        </w:rPr>
        <w:t>C</w:t>
      </w:r>
      <w:r w:rsidRPr="00210A06">
        <w:rPr>
          <w:lang w:val="fr-FR"/>
        </w:rPr>
        <w:t>ompte tenu des modifications apportées au</w:t>
      </w:r>
      <w:r>
        <w:rPr>
          <w:lang w:val="fr-FR"/>
        </w:rPr>
        <w:t>x directives susmentionnées, l’UIC et l’EIGA ont</w:t>
      </w:r>
      <w:r w:rsidRPr="00210A06">
        <w:rPr>
          <w:lang w:val="fr-FR"/>
        </w:rPr>
        <w:t xml:space="preserve"> estimé qu</w:t>
      </w:r>
      <w:r>
        <w:rPr>
          <w:lang w:val="fr-FR"/>
        </w:rPr>
        <w:t>’</w:t>
      </w:r>
      <w:r w:rsidRPr="00210A06">
        <w:rPr>
          <w:lang w:val="fr-FR"/>
        </w:rPr>
        <w:t xml:space="preserve">il convenait de </w:t>
      </w:r>
      <w:r>
        <w:rPr>
          <w:lang w:val="fr-FR"/>
        </w:rPr>
        <w:t>réduire</w:t>
      </w:r>
      <w:r w:rsidRPr="00210A06">
        <w:rPr>
          <w:lang w:val="fr-FR"/>
        </w:rPr>
        <w:t xml:space="preserve"> au </w:t>
      </w:r>
      <w:r>
        <w:rPr>
          <w:lang w:val="fr-FR"/>
        </w:rPr>
        <w:t>minimum</w:t>
      </w:r>
      <w:r w:rsidRPr="00210A06">
        <w:rPr>
          <w:lang w:val="fr-FR"/>
        </w:rPr>
        <w:t xml:space="preserve"> l</w:t>
      </w:r>
      <w:r>
        <w:rPr>
          <w:lang w:val="fr-FR"/>
        </w:rPr>
        <w:t>e</w:t>
      </w:r>
      <w:r w:rsidRPr="00210A06">
        <w:rPr>
          <w:lang w:val="fr-FR"/>
        </w:rPr>
        <w:t xml:space="preserve">s modifications à apporter aux instruments juridiques, mais </w:t>
      </w:r>
      <w:r>
        <w:rPr>
          <w:lang w:val="fr-FR"/>
        </w:rPr>
        <w:t>de faire en sorte qu’elles soient</w:t>
      </w:r>
      <w:r w:rsidRPr="00210A06">
        <w:rPr>
          <w:lang w:val="fr-FR"/>
        </w:rPr>
        <w:t xml:space="preserve"> aussi précises et efficaces que possible.</w:t>
      </w:r>
    </w:p>
    <w:p w14:paraId="1BEA79EF" w14:textId="13FD05D0" w:rsidR="007107AD" w:rsidRPr="00210A06" w:rsidRDefault="007107AD" w:rsidP="00CC36FF">
      <w:pPr>
        <w:pStyle w:val="SingleTxtG"/>
      </w:pPr>
      <w:r w:rsidRPr="00210A06">
        <w:rPr>
          <w:lang w:val="fr-FR"/>
        </w:rPr>
        <w:t>14.</w:t>
      </w:r>
      <w:r w:rsidRPr="00210A06">
        <w:rPr>
          <w:lang w:val="fr-FR"/>
        </w:rPr>
        <w:tab/>
      </w:r>
      <w:r>
        <w:rPr>
          <w:lang w:val="fr-FR"/>
        </w:rPr>
        <w:t>La modification proposée au</w:t>
      </w:r>
      <w:r w:rsidR="00E50831">
        <w:rPr>
          <w:lang w:val="fr-FR"/>
        </w:rPr>
        <w:t> </w:t>
      </w:r>
      <w:r w:rsidRPr="00210A06">
        <w:rPr>
          <w:lang w:val="fr-FR"/>
        </w:rPr>
        <w:t>4.3.3.6</w:t>
      </w:r>
      <w:r>
        <w:rPr>
          <w:lang w:val="fr-FR"/>
        </w:rPr>
        <w:t xml:space="preserve"> devrait mettre en évidence le fait que dans tous les cas, il incombe</w:t>
      </w:r>
      <w:r w:rsidRPr="00210A06">
        <w:rPr>
          <w:lang w:val="fr-FR"/>
        </w:rPr>
        <w:t xml:space="preserve"> </w:t>
      </w:r>
      <w:r>
        <w:rPr>
          <w:lang w:val="fr-FR"/>
        </w:rPr>
        <w:t>en premier chef</w:t>
      </w:r>
      <w:r w:rsidRPr="00210A06">
        <w:rPr>
          <w:lang w:val="fr-FR"/>
        </w:rPr>
        <w:t xml:space="preserve"> à l</w:t>
      </w:r>
      <w:r>
        <w:rPr>
          <w:lang w:val="fr-FR"/>
        </w:rPr>
        <w:t>’</w:t>
      </w:r>
      <w:r w:rsidRPr="00210A06">
        <w:rPr>
          <w:lang w:val="fr-FR"/>
        </w:rPr>
        <w:t>expéditeur d</w:t>
      </w:r>
      <w:r>
        <w:rPr>
          <w:lang w:val="fr-FR"/>
        </w:rPr>
        <w:t>’</w:t>
      </w:r>
      <w:r w:rsidRPr="00210A06">
        <w:rPr>
          <w:lang w:val="fr-FR"/>
        </w:rPr>
        <w:t>éviter l</w:t>
      </w:r>
      <w:r>
        <w:rPr>
          <w:lang w:val="fr-FR"/>
        </w:rPr>
        <w:t>’</w:t>
      </w:r>
      <w:r w:rsidRPr="00210A06">
        <w:rPr>
          <w:lang w:val="fr-FR"/>
        </w:rPr>
        <w:t>activation prématurée des soupapes de décompression pendant le transport, non seulement pour les citernes chargées, mais aussi pour les citernes vides et non nettoyées.</w:t>
      </w:r>
    </w:p>
    <w:p w14:paraId="0D547E2A" w14:textId="13FED690" w:rsidR="007107AD" w:rsidRPr="00210A06" w:rsidRDefault="007107AD" w:rsidP="00CC36FF">
      <w:pPr>
        <w:pStyle w:val="SingleTxtG"/>
      </w:pPr>
      <w:r w:rsidRPr="00210A06">
        <w:rPr>
          <w:lang w:val="fr-FR"/>
        </w:rPr>
        <w:t>15.</w:t>
      </w:r>
      <w:r w:rsidRPr="00210A06">
        <w:rPr>
          <w:lang w:val="fr-FR"/>
        </w:rPr>
        <w:tab/>
        <w:t>Étant donné que le temps de retenue est déterminé uniquement pour les citernes chargées (voir également le paragraphe</w:t>
      </w:r>
      <w:r w:rsidR="00E50831">
        <w:rPr>
          <w:lang w:val="fr-FR"/>
        </w:rPr>
        <w:t> </w:t>
      </w:r>
      <w:r w:rsidRPr="00210A06">
        <w:rPr>
          <w:lang w:val="fr-FR"/>
        </w:rPr>
        <w:t>12 du rapport du Groupe de travail des citernes (ECE/TRANS/WP.15/AC.1/164/Add.1)), il a été précisé au</w:t>
      </w:r>
      <w:r w:rsidR="00E50831">
        <w:rPr>
          <w:lang w:val="fr-FR"/>
        </w:rPr>
        <w:t> </w:t>
      </w:r>
      <w:r w:rsidRPr="00210A06">
        <w:rPr>
          <w:lang w:val="fr-FR"/>
        </w:rPr>
        <w:t>5.4.1.2.2</w:t>
      </w:r>
      <w:r w:rsidR="00E50831">
        <w:rPr>
          <w:lang w:val="fr-FR"/>
        </w:rPr>
        <w:t> </w:t>
      </w:r>
      <w:r w:rsidRPr="00210A06">
        <w:rPr>
          <w:lang w:val="fr-FR"/>
        </w:rPr>
        <w:t xml:space="preserve">d) que </w:t>
      </w:r>
      <w:r>
        <w:rPr>
          <w:lang w:val="fr-FR"/>
        </w:rPr>
        <w:t>l’indication, par</w:t>
      </w:r>
      <w:r w:rsidR="00E50831">
        <w:rPr>
          <w:lang w:val="fr-FR"/>
        </w:rPr>
        <w:t> </w:t>
      </w:r>
      <w:r>
        <w:rPr>
          <w:lang w:val="fr-FR"/>
        </w:rPr>
        <w:t>l’expéditeur, de</w:t>
      </w:r>
      <w:r w:rsidRPr="00210A06">
        <w:rPr>
          <w:lang w:val="fr-FR"/>
        </w:rPr>
        <w:t xml:space="preserve"> la fin du temps de retenue dans le document de transport</w:t>
      </w:r>
      <w:r>
        <w:rPr>
          <w:lang w:val="fr-FR"/>
        </w:rPr>
        <w:t xml:space="preserve"> ne concernait que ces citernes</w:t>
      </w:r>
      <w:r w:rsidRPr="00210A06">
        <w:rPr>
          <w:lang w:val="fr-FR"/>
        </w:rPr>
        <w:t>.</w:t>
      </w:r>
    </w:p>
    <w:p w14:paraId="7D78CC43" w14:textId="77777777" w:rsidR="007107AD" w:rsidRPr="00210A06" w:rsidRDefault="007107AD" w:rsidP="00E73368">
      <w:pPr>
        <w:pStyle w:val="SingleTxtG"/>
      </w:pPr>
      <w:r w:rsidRPr="00210A06">
        <w:rPr>
          <w:lang w:val="fr-FR"/>
        </w:rPr>
        <w:t>16.</w:t>
      </w:r>
      <w:r w:rsidRPr="00210A06">
        <w:rPr>
          <w:lang w:val="fr-FR"/>
        </w:rPr>
        <w:tab/>
        <w:t>Selon l</w:t>
      </w:r>
      <w:r>
        <w:rPr>
          <w:lang w:val="fr-FR"/>
        </w:rPr>
        <w:t>’</w:t>
      </w:r>
      <w:r w:rsidRPr="00210A06">
        <w:rPr>
          <w:lang w:val="fr-FR"/>
        </w:rPr>
        <w:t>UIC et l</w:t>
      </w:r>
      <w:r>
        <w:rPr>
          <w:lang w:val="fr-FR"/>
        </w:rPr>
        <w:t>’</w:t>
      </w:r>
      <w:r w:rsidRPr="00210A06">
        <w:rPr>
          <w:lang w:val="fr-FR"/>
        </w:rPr>
        <w:t xml:space="preserve">EIGA, </w:t>
      </w:r>
      <w:r>
        <w:rPr>
          <w:lang w:val="fr-FR"/>
        </w:rPr>
        <w:t xml:space="preserve">les modifications apportées aux directives et celles qu’il est proposé d’apporter aux Règlements permettront de réduire au minimum </w:t>
      </w:r>
      <w:r w:rsidRPr="00210A06">
        <w:rPr>
          <w:lang w:val="fr-FR"/>
        </w:rPr>
        <w:t>le risque d</w:t>
      </w:r>
      <w:r>
        <w:rPr>
          <w:lang w:val="fr-FR"/>
        </w:rPr>
        <w:t>’</w:t>
      </w:r>
      <w:r w:rsidRPr="00210A06">
        <w:rPr>
          <w:lang w:val="fr-FR"/>
        </w:rPr>
        <w:t xml:space="preserve">ouverture </w:t>
      </w:r>
      <w:r w:rsidRPr="00210A06">
        <w:rPr>
          <w:lang w:val="fr-FR"/>
        </w:rPr>
        <w:lastRenderedPageBreak/>
        <w:t>intempestive des soupapes de décompression pendant le transport, en particulier pour les citernes vides non nettoyées dans le transport ferroviaire.</w:t>
      </w:r>
    </w:p>
    <w:p w14:paraId="1E4114F9" w14:textId="4E9B52DD" w:rsidR="007107AD" w:rsidRPr="00210A06" w:rsidRDefault="007107AD" w:rsidP="00E73368">
      <w:pPr>
        <w:pStyle w:val="H1G"/>
      </w:pPr>
      <w:r w:rsidRPr="00210A06">
        <w:rPr>
          <w:lang w:val="fr-FR"/>
        </w:rPr>
        <w:tab/>
      </w:r>
      <w:r w:rsidRPr="00210A06">
        <w:rPr>
          <w:lang w:val="fr-FR"/>
        </w:rPr>
        <w:tab/>
      </w:r>
      <w:r w:rsidRPr="00CC36FF">
        <w:t>Précision</w:t>
      </w:r>
      <w:r w:rsidRPr="00210A06">
        <w:rPr>
          <w:lang w:val="fr-FR"/>
        </w:rPr>
        <w:t xml:space="preserve"> </w:t>
      </w:r>
      <w:r>
        <w:rPr>
          <w:lang w:val="fr-FR"/>
        </w:rPr>
        <w:t xml:space="preserve">supplémentaire en lien avec la session de </w:t>
      </w:r>
      <w:r w:rsidRPr="00210A06">
        <w:rPr>
          <w:lang w:val="fr-FR"/>
        </w:rPr>
        <w:t xml:space="preserve">la </w:t>
      </w:r>
      <w:r>
        <w:rPr>
          <w:lang w:val="fr-FR"/>
        </w:rPr>
        <w:t>R</w:t>
      </w:r>
      <w:r w:rsidRPr="00210A06">
        <w:rPr>
          <w:lang w:val="fr-FR"/>
        </w:rPr>
        <w:t xml:space="preserve">éunion conjointe </w:t>
      </w:r>
      <w:r>
        <w:rPr>
          <w:lang w:val="fr-FR"/>
        </w:rPr>
        <w:t xml:space="preserve">tenue </w:t>
      </w:r>
      <w:r w:rsidRPr="00210A06">
        <w:rPr>
          <w:lang w:val="fr-FR"/>
        </w:rPr>
        <w:t>du 20 au 24</w:t>
      </w:r>
      <w:r w:rsidR="006C05CD">
        <w:rPr>
          <w:lang w:val="fr-FR"/>
        </w:rPr>
        <w:t> </w:t>
      </w:r>
      <w:r w:rsidRPr="00210A06">
        <w:rPr>
          <w:lang w:val="fr-FR"/>
        </w:rPr>
        <w:t>mars 2023</w:t>
      </w:r>
    </w:p>
    <w:p w14:paraId="41CE629C" w14:textId="603FE9B7" w:rsidR="007107AD" w:rsidRPr="00210A06" w:rsidRDefault="007107AD" w:rsidP="00FB67B1">
      <w:pPr>
        <w:pStyle w:val="SingleTxtG"/>
      </w:pPr>
      <w:r w:rsidRPr="00210A06">
        <w:rPr>
          <w:lang w:val="fr-FR"/>
        </w:rPr>
        <w:t>17.</w:t>
      </w:r>
      <w:r w:rsidRPr="00210A06">
        <w:rPr>
          <w:lang w:val="fr-FR"/>
        </w:rPr>
        <w:tab/>
        <w:t>On trouvera ci</w:t>
      </w:r>
      <w:r w:rsidR="006C05CD">
        <w:rPr>
          <w:lang w:val="fr-FR"/>
        </w:rPr>
        <w:noBreakHyphen/>
      </w:r>
      <w:r w:rsidRPr="00210A06">
        <w:rPr>
          <w:lang w:val="fr-FR"/>
        </w:rPr>
        <w:t>après un extrait du rapport du Groupe de travail des citernes (ECE/</w:t>
      </w:r>
      <w:r w:rsidRPr="00FB67B1">
        <w:t>TRANS</w:t>
      </w:r>
      <w:r w:rsidRPr="00210A06">
        <w:rPr>
          <w:lang w:val="fr-FR"/>
        </w:rPr>
        <w:t>/WP.15/AC.1/168/Add.1, par.</w:t>
      </w:r>
      <w:r w:rsidR="00E50831">
        <w:rPr>
          <w:lang w:val="fr-FR"/>
        </w:rPr>
        <w:t> </w:t>
      </w:r>
      <w:r w:rsidRPr="00210A06">
        <w:rPr>
          <w:lang w:val="fr-FR"/>
        </w:rPr>
        <w:t>12, 13 et 16)</w:t>
      </w:r>
      <w:r>
        <w:rPr>
          <w:lang w:val="fr-FR"/>
        </w:rPr>
        <w:t> :</w:t>
      </w:r>
    </w:p>
    <w:p w14:paraId="25A9BF75" w14:textId="67DFC8A8" w:rsidR="007107AD" w:rsidRPr="00CC36FF" w:rsidRDefault="007107AD" w:rsidP="00CC36FF">
      <w:pPr>
        <w:pStyle w:val="SingleTxtG"/>
        <w:ind w:left="1701"/>
        <w:rPr>
          <w:i/>
          <w:iCs/>
        </w:rPr>
      </w:pPr>
      <w:r w:rsidRPr="00CC36FF">
        <w:t>« </w:t>
      </w:r>
      <w:r w:rsidRPr="00CC36FF">
        <w:rPr>
          <w:i/>
          <w:iCs/>
        </w:rPr>
        <w:t>Point</w:t>
      </w:r>
      <w:r w:rsidR="00E50831">
        <w:rPr>
          <w:i/>
          <w:iCs/>
        </w:rPr>
        <w:t> </w:t>
      </w:r>
      <w:r w:rsidRPr="00CC36FF">
        <w:rPr>
          <w:i/>
          <w:iCs/>
        </w:rPr>
        <w:t>7 :</w:t>
      </w:r>
      <w:r w:rsidRPr="00CC36FF">
        <w:rPr>
          <w:i/>
          <w:iCs/>
        </w:rPr>
        <w:tab/>
        <w:t>Temps de retenue réel des citernes pour gaz liquéfiés réfrigérés</w:t>
      </w:r>
    </w:p>
    <w:p w14:paraId="7C22BB99" w14:textId="7C38A1CB" w:rsidR="007107AD" w:rsidRPr="00CC36FF" w:rsidRDefault="007107AD" w:rsidP="006C05CD">
      <w:pPr>
        <w:pStyle w:val="SingleTxtG"/>
        <w:ind w:left="1701"/>
        <w:rPr>
          <w:i/>
          <w:iCs/>
        </w:rPr>
      </w:pPr>
      <w:r w:rsidRPr="00CC36FF">
        <w:rPr>
          <w:i/>
          <w:iCs/>
        </w:rPr>
        <w:t>Document informel :</w:t>
      </w:r>
      <w:r w:rsidR="006C05CD">
        <w:rPr>
          <w:i/>
          <w:iCs/>
        </w:rPr>
        <w:tab/>
      </w:r>
      <w:r w:rsidRPr="00CC36FF">
        <w:rPr>
          <w:i/>
          <w:iCs/>
        </w:rPr>
        <w:t>INF.21 (Pays</w:t>
      </w:r>
      <w:r w:rsidR="00CC36FF">
        <w:rPr>
          <w:i/>
          <w:iCs/>
        </w:rPr>
        <w:noBreakHyphen/>
      </w:r>
      <w:r w:rsidRPr="00CC36FF">
        <w:rPr>
          <w:i/>
          <w:iCs/>
        </w:rPr>
        <w:t>Bas)</w:t>
      </w:r>
    </w:p>
    <w:p w14:paraId="5B83E374" w14:textId="7393908D" w:rsidR="007107AD" w:rsidRPr="00CC36FF" w:rsidRDefault="007107AD" w:rsidP="00CC36FF">
      <w:pPr>
        <w:pStyle w:val="SingleTxtG"/>
        <w:ind w:left="1701"/>
        <w:rPr>
          <w:i/>
          <w:iCs/>
        </w:rPr>
      </w:pPr>
      <w:r w:rsidRPr="00CC36FF">
        <w:rPr>
          <w:i/>
          <w:iCs/>
        </w:rPr>
        <w:t>12.</w:t>
      </w:r>
      <w:r w:rsidRPr="00CC36FF">
        <w:rPr>
          <w:i/>
          <w:iCs/>
        </w:rPr>
        <w:tab/>
        <w:t>Dans le document informel</w:t>
      </w:r>
      <w:r w:rsidR="00E50831">
        <w:rPr>
          <w:i/>
          <w:iCs/>
        </w:rPr>
        <w:t> </w:t>
      </w:r>
      <w:r w:rsidRPr="00CC36FF">
        <w:rPr>
          <w:i/>
          <w:iCs/>
        </w:rPr>
        <w:t>INF.21, les Pays</w:t>
      </w:r>
      <w:r w:rsidR="00E50831">
        <w:rPr>
          <w:i/>
          <w:iCs/>
        </w:rPr>
        <w:noBreakHyphen/>
      </w:r>
      <w:r w:rsidRPr="00CC36FF">
        <w:rPr>
          <w:i/>
          <w:iCs/>
        </w:rPr>
        <w:t>Bas posaient des questions concernant les temps de retenue réels et de référence, sur la base des constatations faites à la suite d’incidents causés par l’activation prématurée de soupapes de sécurité et des conclusions d’une enquête menée par l’Inspection néerlandaise des transports et de l’environnement humain sur certains aspects du temps de retenue des citernes pour gaz liquéfiés réfrigérés.</w:t>
      </w:r>
    </w:p>
    <w:p w14:paraId="6DB9B12E" w14:textId="5345D17E" w:rsidR="007107AD" w:rsidRPr="00CC36FF" w:rsidRDefault="007107AD" w:rsidP="00CC36FF">
      <w:pPr>
        <w:pStyle w:val="SingleTxtG"/>
        <w:ind w:left="1701"/>
        <w:rPr>
          <w:i/>
          <w:iCs/>
        </w:rPr>
      </w:pPr>
      <w:r w:rsidRPr="00CC36FF">
        <w:rPr>
          <w:i/>
          <w:iCs/>
        </w:rPr>
        <w:t>13.</w:t>
      </w:r>
      <w:r w:rsidRPr="00CC36FF">
        <w:rPr>
          <w:i/>
          <w:iCs/>
        </w:rPr>
        <w:tab/>
        <w:t xml:space="preserve">L’Union internationale des chemins de fer (UIC) a indiqué qu’elle communiquerait à la session de septembre 2023 de la Réunion commune un document officiel sur ce sujet, s’agissant des citernes </w:t>
      </w:r>
      <w:r w:rsidRPr="00642322">
        <w:rPr>
          <w:i/>
          <w:iCs/>
          <w:u w:val="single"/>
        </w:rPr>
        <w:t>vides non nettoyées</w:t>
      </w:r>
      <w:r w:rsidRPr="00CC36FF">
        <w:rPr>
          <w:i/>
          <w:iCs/>
        </w:rPr>
        <w:t>, mais qu’il ne répondrait qu’en partie aux questions figurant dans le document informel</w:t>
      </w:r>
      <w:r w:rsidR="00E50831">
        <w:rPr>
          <w:i/>
          <w:iCs/>
        </w:rPr>
        <w:t> </w:t>
      </w:r>
      <w:r w:rsidRPr="00CC36FF">
        <w:rPr>
          <w:i/>
          <w:iCs/>
        </w:rPr>
        <w:t>INF.21.</w:t>
      </w:r>
    </w:p>
    <w:p w14:paraId="07CF1BF7" w14:textId="77777777" w:rsidR="007107AD" w:rsidRPr="00CC36FF" w:rsidRDefault="007107AD" w:rsidP="00CC36FF">
      <w:pPr>
        <w:pStyle w:val="SingleTxtG"/>
        <w:ind w:left="1701"/>
        <w:rPr>
          <w:i/>
          <w:iCs/>
        </w:rPr>
      </w:pPr>
      <w:r w:rsidRPr="00CC36FF">
        <w:rPr>
          <w:i/>
          <w:iCs/>
        </w:rPr>
        <w:t>(...)</w:t>
      </w:r>
    </w:p>
    <w:p w14:paraId="2F7075B9" w14:textId="03DCD5A9" w:rsidR="007107AD" w:rsidRPr="00CC36FF" w:rsidRDefault="007107AD" w:rsidP="00CC36FF">
      <w:pPr>
        <w:pStyle w:val="SingleTxtG"/>
        <w:ind w:left="1701"/>
      </w:pPr>
      <w:r w:rsidRPr="00CC36FF">
        <w:rPr>
          <w:i/>
          <w:iCs/>
        </w:rPr>
        <w:t>16.</w:t>
      </w:r>
      <w:r w:rsidRPr="00CC36FF">
        <w:rPr>
          <w:i/>
          <w:iCs/>
        </w:rPr>
        <w:tab/>
        <w:t>Il a été proposé que les Pays</w:t>
      </w:r>
      <w:r w:rsidR="00E50831">
        <w:rPr>
          <w:i/>
          <w:iCs/>
        </w:rPr>
        <w:noBreakHyphen/>
      </w:r>
      <w:r w:rsidRPr="00CC36FF">
        <w:rPr>
          <w:i/>
          <w:iCs/>
        </w:rPr>
        <w:t>Bas continuent de réfléchir avec les professionnels du secteur concernés aux moyens d’améliorer la situation et que l’examen de la question se poursuive à la session d’automne</w:t>
      </w:r>
      <w:r w:rsidR="00E50831">
        <w:rPr>
          <w:i/>
          <w:iCs/>
        </w:rPr>
        <w:t> </w:t>
      </w:r>
      <w:r w:rsidRPr="00CC36FF">
        <w:rPr>
          <w:i/>
          <w:iCs/>
        </w:rPr>
        <w:t>2023 de la Réunion commune, en s’appuyant sur le document de l’UIC</w:t>
      </w:r>
      <w:r w:rsidRPr="00CC36FF">
        <w:t>. ».</w:t>
      </w:r>
    </w:p>
    <w:p w14:paraId="08610D62" w14:textId="784A0F25" w:rsidR="007107AD" w:rsidRPr="00210A06" w:rsidRDefault="007107AD" w:rsidP="00FB67B1">
      <w:pPr>
        <w:pStyle w:val="SingleTxtG"/>
      </w:pPr>
      <w:r w:rsidRPr="00210A06">
        <w:rPr>
          <w:lang w:val="fr-FR"/>
        </w:rPr>
        <w:t>18.</w:t>
      </w:r>
      <w:r w:rsidRPr="00210A06">
        <w:rPr>
          <w:lang w:val="fr-FR"/>
        </w:rPr>
        <w:tab/>
        <w:t>L</w:t>
      </w:r>
      <w:r>
        <w:rPr>
          <w:lang w:val="fr-FR"/>
        </w:rPr>
        <w:t>’</w:t>
      </w:r>
      <w:r w:rsidRPr="00210A06">
        <w:rPr>
          <w:lang w:val="fr-FR"/>
        </w:rPr>
        <w:t>UIC souhaite souligner que la question abordée dans le présent document est distincte de celle</w:t>
      </w:r>
      <w:r>
        <w:rPr>
          <w:lang w:val="fr-FR"/>
        </w:rPr>
        <w:t>s</w:t>
      </w:r>
      <w:r w:rsidRPr="00210A06">
        <w:rPr>
          <w:lang w:val="fr-FR"/>
        </w:rPr>
        <w:t xml:space="preserve"> qui </w:t>
      </w:r>
      <w:r>
        <w:rPr>
          <w:lang w:val="fr-FR"/>
        </w:rPr>
        <w:t>ont</w:t>
      </w:r>
      <w:r w:rsidRPr="00210A06">
        <w:rPr>
          <w:lang w:val="fr-FR"/>
        </w:rPr>
        <w:t xml:space="preserve"> été soulevée</w:t>
      </w:r>
      <w:r>
        <w:rPr>
          <w:lang w:val="fr-FR"/>
        </w:rPr>
        <w:t>s</w:t>
      </w:r>
      <w:r w:rsidRPr="00210A06">
        <w:rPr>
          <w:lang w:val="fr-FR"/>
        </w:rPr>
        <w:t xml:space="preserve"> par les Pays</w:t>
      </w:r>
      <w:r w:rsidR="00FB67B1">
        <w:rPr>
          <w:lang w:val="fr-FR"/>
        </w:rPr>
        <w:noBreakHyphen/>
      </w:r>
      <w:r w:rsidRPr="00210A06">
        <w:rPr>
          <w:lang w:val="fr-FR"/>
        </w:rPr>
        <w:t>Bas. L</w:t>
      </w:r>
      <w:r>
        <w:rPr>
          <w:lang w:val="fr-FR"/>
        </w:rPr>
        <w:t>’</w:t>
      </w:r>
      <w:r w:rsidRPr="00210A06">
        <w:rPr>
          <w:lang w:val="fr-FR"/>
        </w:rPr>
        <w:t>UIC fait référence aux problèmes causés par les wagons</w:t>
      </w:r>
      <w:r w:rsidR="001508BB">
        <w:rPr>
          <w:lang w:val="fr-FR"/>
        </w:rPr>
        <w:noBreakHyphen/>
      </w:r>
      <w:r w:rsidRPr="00210A06">
        <w:rPr>
          <w:lang w:val="fr-FR"/>
        </w:rPr>
        <w:t>citernes et les conteneurs</w:t>
      </w:r>
      <w:r w:rsidR="001508BB">
        <w:rPr>
          <w:lang w:val="fr-FR"/>
        </w:rPr>
        <w:noBreakHyphen/>
      </w:r>
      <w:r w:rsidRPr="00210A06">
        <w:rPr>
          <w:lang w:val="fr-FR"/>
        </w:rPr>
        <w:t>citernes vides et non nettoyés, alors que les problèmes évoqués par les Pays</w:t>
      </w:r>
      <w:r w:rsidR="00FB67B1">
        <w:rPr>
          <w:lang w:val="fr-FR"/>
        </w:rPr>
        <w:noBreakHyphen/>
      </w:r>
      <w:r w:rsidRPr="00210A06">
        <w:rPr>
          <w:lang w:val="fr-FR"/>
        </w:rPr>
        <w:t>Bas ont trait aux wagons</w:t>
      </w:r>
      <w:r w:rsidR="001508BB">
        <w:rPr>
          <w:lang w:val="fr-FR"/>
        </w:rPr>
        <w:noBreakHyphen/>
      </w:r>
      <w:r w:rsidRPr="00FB67B1">
        <w:t>citernes</w:t>
      </w:r>
      <w:r w:rsidRPr="00210A06">
        <w:rPr>
          <w:lang w:val="fr-FR"/>
        </w:rPr>
        <w:t xml:space="preserve"> et aux conteneurs</w:t>
      </w:r>
      <w:r w:rsidR="001508BB">
        <w:rPr>
          <w:lang w:val="fr-FR"/>
        </w:rPr>
        <w:noBreakHyphen/>
      </w:r>
      <w:r w:rsidRPr="00210A06">
        <w:rPr>
          <w:lang w:val="fr-FR"/>
        </w:rPr>
        <w:t>citernes remplis.</w:t>
      </w:r>
    </w:p>
    <w:p w14:paraId="2A58F8B5" w14:textId="24687C3B" w:rsidR="00F9573C" w:rsidRDefault="007107AD" w:rsidP="00FB67B1">
      <w:pPr>
        <w:pStyle w:val="SingleTxtG"/>
        <w:rPr>
          <w:lang w:val="fr-FR"/>
        </w:rPr>
      </w:pPr>
      <w:r w:rsidRPr="00210A06">
        <w:rPr>
          <w:lang w:val="fr-FR"/>
        </w:rPr>
        <w:t>19.</w:t>
      </w:r>
      <w:r w:rsidRPr="00210A06">
        <w:rPr>
          <w:lang w:val="fr-FR"/>
        </w:rPr>
        <w:tab/>
        <w:t xml:space="preserve">Le premier problème peut être résolu </w:t>
      </w:r>
      <w:r>
        <w:rPr>
          <w:lang w:val="fr-FR"/>
        </w:rPr>
        <w:t>assez</w:t>
      </w:r>
      <w:r w:rsidRPr="00210A06">
        <w:rPr>
          <w:lang w:val="fr-FR"/>
        </w:rPr>
        <w:t xml:space="preserve"> facilement grâce aux mesures proposées ci-dessus, indépendamment des problèmes signalés par les Pays</w:t>
      </w:r>
      <w:r w:rsidR="00FB67B1">
        <w:rPr>
          <w:lang w:val="fr-FR"/>
        </w:rPr>
        <w:noBreakHyphen/>
      </w:r>
      <w:r w:rsidRPr="00210A06">
        <w:rPr>
          <w:lang w:val="fr-FR"/>
        </w:rPr>
        <w:t>Bas</w:t>
      </w:r>
      <w:r>
        <w:rPr>
          <w:lang w:val="fr-FR"/>
        </w:rPr>
        <w:t>.</w:t>
      </w:r>
    </w:p>
    <w:p w14:paraId="53DCB94C" w14:textId="60EAAB4A" w:rsidR="007107AD" w:rsidRPr="007107AD" w:rsidRDefault="007107AD" w:rsidP="007107AD">
      <w:pPr>
        <w:pStyle w:val="SingleTxtG"/>
        <w:spacing w:before="240" w:after="0"/>
        <w:jc w:val="center"/>
        <w:rPr>
          <w:u w:val="single"/>
        </w:rPr>
      </w:pPr>
      <w:r>
        <w:rPr>
          <w:u w:val="single"/>
        </w:rPr>
        <w:tab/>
      </w:r>
      <w:r>
        <w:rPr>
          <w:u w:val="single"/>
        </w:rPr>
        <w:tab/>
      </w:r>
      <w:r>
        <w:rPr>
          <w:u w:val="single"/>
        </w:rPr>
        <w:tab/>
      </w:r>
      <w:r>
        <w:rPr>
          <w:u w:val="single"/>
        </w:rPr>
        <w:tab/>
      </w:r>
    </w:p>
    <w:sectPr w:rsidR="007107AD" w:rsidRPr="007107AD" w:rsidSect="007107A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43F9" w14:textId="77777777" w:rsidR="00ED3BB3" w:rsidRDefault="00ED3BB3" w:rsidP="00F95C08">
      <w:pPr>
        <w:spacing w:line="240" w:lineRule="auto"/>
      </w:pPr>
    </w:p>
  </w:endnote>
  <w:endnote w:type="continuationSeparator" w:id="0">
    <w:p w14:paraId="38B306E7" w14:textId="77777777" w:rsidR="00ED3BB3" w:rsidRPr="00AC3823" w:rsidRDefault="00ED3BB3" w:rsidP="00AC3823">
      <w:pPr>
        <w:pStyle w:val="Pieddepage"/>
      </w:pPr>
    </w:p>
  </w:endnote>
  <w:endnote w:type="continuationNotice" w:id="1">
    <w:p w14:paraId="2E63B3EE" w14:textId="77777777" w:rsidR="00ED3BB3" w:rsidRDefault="00ED3B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271F" w14:textId="66CC773D" w:rsidR="007107AD" w:rsidRPr="007107AD" w:rsidRDefault="007107AD" w:rsidP="007107AD">
    <w:pPr>
      <w:pStyle w:val="Pieddepage"/>
      <w:tabs>
        <w:tab w:val="right" w:pos="9638"/>
      </w:tabs>
    </w:pPr>
    <w:r w:rsidRPr="007107AD">
      <w:rPr>
        <w:b/>
        <w:sz w:val="18"/>
      </w:rPr>
      <w:fldChar w:fldCharType="begin"/>
    </w:r>
    <w:r w:rsidRPr="007107AD">
      <w:rPr>
        <w:b/>
        <w:sz w:val="18"/>
      </w:rPr>
      <w:instrText xml:space="preserve"> PAGE  \* MERGEFORMAT </w:instrText>
    </w:r>
    <w:r w:rsidRPr="007107AD">
      <w:rPr>
        <w:b/>
        <w:sz w:val="18"/>
      </w:rPr>
      <w:fldChar w:fldCharType="separate"/>
    </w:r>
    <w:r w:rsidRPr="007107AD">
      <w:rPr>
        <w:b/>
        <w:noProof/>
        <w:sz w:val="18"/>
      </w:rPr>
      <w:t>2</w:t>
    </w:r>
    <w:r w:rsidRPr="007107AD">
      <w:rPr>
        <w:b/>
        <w:sz w:val="18"/>
      </w:rPr>
      <w:fldChar w:fldCharType="end"/>
    </w:r>
    <w:r>
      <w:rPr>
        <w:b/>
        <w:sz w:val="18"/>
      </w:rPr>
      <w:tab/>
    </w:r>
    <w:r>
      <w:t>GE.23-11657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06B3" w14:textId="1D455096" w:rsidR="007107AD" w:rsidRPr="007107AD" w:rsidRDefault="007107AD" w:rsidP="007107AD">
    <w:pPr>
      <w:pStyle w:val="Pieddepage"/>
      <w:tabs>
        <w:tab w:val="right" w:pos="9638"/>
      </w:tabs>
      <w:rPr>
        <w:b/>
        <w:sz w:val="18"/>
      </w:rPr>
    </w:pPr>
    <w:r>
      <w:t>GE.23-11657</w:t>
    </w:r>
    <w:r>
      <w:tab/>
    </w:r>
    <w:r w:rsidRPr="007107AD">
      <w:rPr>
        <w:b/>
        <w:sz w:val="18"/>
      </w:rPr>
      <w:fldChar w:fldCharType="begin"/>
    </w:r>
    <w:r w:rsidRPr="007107AD">
      <w:rPr>
        <w:b/>
        <w:sz w:val="18"/>
      </w:rPr>
      <w:instrText xml:space="preserve"> PAGE  \* MERGEFORMAT </w:instrText>
    </w:r>
    <w:r w:rsidRPr="007107AD">
      <w:rPr>
        <w:b/>
        <w:sz w:val="18"/>
      </w:rPr>
      <w:fldChar w:fldCharType="separate"/>
    </w:r>
    <w:r w:rsidRPr="007107AD">
      <w:rPr>
        <w:b/>
        <w:noProof/>
        <w:sz w:val="18"/>
      </w:rPr>
      <w:t>3</w:t>
    </w:r>
    <w:r w:rsidRPr="007107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822" w14:textId="2B6ED8D0" w:rsidR="007F20FA" w:rsidRPr="007107AD" w:rsidRDefault="007107AD" w:rsidP="007107A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CC336E" wp14:editId="59E256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23-11657  (F)</w:t>
    </w:r>
    <w:r>
      <w:rPr>
        <w:noProof/>
        <w:sz w:val="20"/>
      </w:rPr>
      <w:drawing>
        <wp:anchor distT="0" distB="0" distL="114300" distR="114300" simplePos="0" relativeHeight="251660288" behindDoc="0" locked="0" layoutInCell="1" allowOverlap="1" wp14:anchorId="396373A8" wp14:editId="13994A38">
          <wp:simplePos x="0" y="0"/>
          <wp:positionH relativeFrom="margin">
            <wp:posOffset>5489575</wp:posOffset>
          </wp:positionH>
          <wp:positionV relativeFrom="margin">
            <wp:posOffset>8891905</wp:posOffset>
          </wp:positionV>
          <wp:extent cx="638175" cy="638175"/>
          <wp:effectExtent l="0" t="0" r="9525" b="9525"/>
          <wp:wrapNone/>
          <wp:docPr id="15259061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0251" w14:textId="77777777" w:rsidR="00ED3BB3" w:rsidRPr="00AC3823" w:rsidRDefault="00ED3BB3" w:rsidP="00AC3823">
      <w:pPr>
        <w:pStyle w:val="Pieddepage"/>
        <w:tabs>
          <w:tab w:val="right" w:pos="2155"/>
        </w:tabs>
        <w:spacing w:after="80" w:line="240" w:lineRule="atLeast"/>
        <w:ind w:left="680"/>
        <w:rPr>
          <w:u w:val="single"/>
        </w:rPr>
      </w:pPr>
      <w:r>
        <w:rPr>
          <w:u w:val="single"/>
        </w:rPr>
        <w:tab/>
      </w:r>
    </w:p>
  </w:footnote>
  <w:footnote w:type="continuationSeparator" w:id="0">
    <w:p w14:paraId="2D665D31" w14:textId="77777777" w:rsidR="00ED3BB3" w:rsidRPr="00AC3823" w:rsidRDefault="00ED3BB3" w:rsidP="00AC3823">
      <w:pPr>
        <w:pStyle w:val="Pieddepage"/>
        <w:tabs>
          <w:tab w:val="right" w:pos="2155"/>
        </w:tabs>
        <w:spacing w:after="80" w:line="240" w:lineRule="atLeast"/>
        <w:ind w:left="680"/>
        <w:rPr>
          <w:u w:val="single"/>
        </w:rPr>
      </w:pPr>
      <w:r>
        <w:rPr>
          <w:u w:val="single"/>
        </w:rPr>
        <w:tab/>
      </w:r>
    </w:p>
  </w:footnote>
  <w:footnote w:type="continuationNotice" w:id="1">
    <w:p w14:paraId="086ADE0D" w14:textId="77777777" w:rsidR="00ED3BB3" w:rsidRPr="00AC3823" w:rsidRDefault="00ED3BB3">
      <w:pPr>
        <w:spacing w:line="240" w:lineRule="auto"/>
        <w:rPr>
          <w:sz w:val="2"/>
          <w:szCs w:val="2"/>
        </w:rPr>
      </w:pPr>
    </w:p>
  </w:footnote>
  <w:footnote w:id="2">
    <w:p w14:paraId="70535606" w14:textId="785F4ABE" w:rsidR="007107AD" w:rsidRPr="004E1128" w:rsidRDefault="007107AD" w:rsidP="007107AD">
      <w:pPr>
        <w:pStyle w:val="Notedebasdepage"/>
      </w:pPr>
      <w:r>
        <w:rPr>
          <w:lang w:val="fr-FR"/>
        </w:rPr>
        <w:tab/>
      </w:r>
      <w:r w:rsidRPr="007107AD">
        <w:rPr>
          <w:lang w:val="fr-FR"/>
        </w:rPr>
        <w:t>*</w:t>
      </w:r>
      <w:r>
        <w:rPr>
          <w:lang w:val="fr-FR"/>
        </w:rPr>
        <w:tab/>
        <w:t>A/77/6 (Sect. 20), tableau 20.6.</w:t>
      </w:r>
    </w:p>
  </w:footnote>
  <w:footnote w:id="3">
    <w:p w14:paraId="48181DCA" w14:textId="77777777" w:rsidR="007107AD" w:rsidRPr="004E1128" w:rsidRDefault="007107AD" w:rsidP="007107AD">
      <w:pPr>
        <w:pStyle w:val="Notedebasdepage"/>
      </w:pPr>
      <w:r>
        <w:rPr>
          <w:lang w:val="fr-FR"/>
        </w:rPr>
        <w:tab/>
      </w:r>
      <w:r w:rsidRPr="007107AD">
        <w:rPr>
          <w:lang w:val="fr-FR"/>
        </w:rPr>
        <w:t>**</w:t>
      </w:r>
      <w:r>
        <w:rPr>
          <w:lang w:val="fr-FR"/>
        </w:rPr>
        <w:tab/>
        <w:t>Diffusée par l’Organisation intergouvernementale pour les transports internationaux ferroviaires (OTIF) sous la cote OTIF/RID/RC/2023/26.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DC39" w14:textId="5A4C7694" w:rsidR="007107AD" w:rsidRPr="007107AD" w:rsidRDefault="00642322">
    <w:pPr>
      <w:pStyle w:val="En-tte"/>
    </w:pPr>
    <w:fldSimple w:instr=" TITLE  \* MERGEFORMAT ">
      <w:r w:rsidR="0066361E">
        <w:t>ECE/TRANS/WP.15/AC.1/2023/26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2E7F" w14:textId="11414C9E" w:rsidR="007107AD" w:rsidRPr="007107AD" w:rsidRDefault="00642322" w:rsidP="007107AD">
    <w:pPr>
      <w:pStyle w:val="En-tte"/>
      <w:jc w:val="right"/>
    </w:pPr>
    <w:fldSimple w:instr=" TITLE  \* MERGEFORMAT ">
      <w:r w:rsidR="0066361E">
        <w:t>ECE/TRANS/WP.15/AC.1/2023/26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94605518">
    <w:abstractNumId w:val="12"/>
  </w:num>
  <w:num w:numId="2" w16cid:durableId="745147158">
    <w:abstractNumId w:val="11"/>
  </w:num>
  <w:num w:numId="3" w16cid:durableId="1343971602">
    <w:abstractNumId w:val="10"/>
  </w:num>
  <w:num w:numId="4" w16cid:durableId="490759262">
    <w:abstractNumId w:val="8"/>
  </w:num>
  <w:num w:numId="5" w16cid:durableId="1518350181">
    <w:abstractNumId w:val="3"/>
  </w:num>
  <w:num w:numId="6" w16cid:durableId="191303944">
    <w:abstractNumId w:val="2"/>
  </w:num>
  <w:num w:numId="7" w16cid:durableId="885139943">
    <w:abstractNumId w:val="1"/>
  </w:num>
  <w:num w:numId="8" w16cid:durableId="52315668">
    <w:abstractNumId w:val="0"/>
  </w:num>
  <w:num w:numId="9" w16cid:durableId="168565242">
    <w:abstractNumId w:val="9"/>
  </w:num>
  <w:num w:numId="10" w16cid:durableId="441460932">
    <w:abstractNumId w:val="7"/>
  </w:num>
  <w:num w:numId="11" w16cid:durableId="1092245026">
    <w:abstractNumId w:val="6"/>
  </w:num>
  <w:num w:numId="12" w16cid:durableId="533032690">
    <w:abstractNumId w:val="5"/>
  </w:num>
  <w:num w:numId="13" w16cid:durableId="1622762502">
    <w:abstractNumId w:val="4"/>
  </w:num>
  <w:num w:numId="14" w16cid:durableId="1925605761">
    <w:abstractNumId w:val="12"/>
  </w:num>
  <w:num w:numId="15" w16cid:durableId="1696421389">
    <w:abstractNumId w:val="11"/>
  </w:num>
  <w:num w:numId="16" w16cid:durableId="929316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B3"/>
    <w:rsid w:val="00017F94"/>
    <w:rsid w:val="00023842"/>
    <w:rsid w:val="000334F9"/>
    <w:rsid w:val="00045FEB"/>
    <w:rsid w:val="000556B0"/>
    <w:rsid w:val="0007796D"/>
    <w:rsid w:val="000B7790"/>
    <w:rsid w:val="00111F2F"/>
    <w:rsid w:val="0014365E"/>
    <w:rsid w:val="00143C66"/>
    <w:rsid w:val="001508BB"/>
    <w:rsid w:val="00176178"/>
    <w:rsid w:val="001F525A"/>
    <w:rsid w:val="00201148"/>
    <w:rsid w:val="00223272"/>
    <w:rsid w:val="00234C53"/>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42322"/>
    <w:rsid w:val="0066361E"/>
    <w:rsid w:val="006C05CD"/>
    <w:rsid w:val="007107A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C36FF"/>
    <w:rsid w:val="00D3439C"/>
    <w:rsid w:val="00D7622E"/>
    <w:rsid w:val="00DB1831"/>
    <w:rsid w:val="00DD3BFD"/>
    <w:rsid w:val="00DF6678"/>
    <w:rsid w:val="00E0299A"/>
    <w:rsid w:val="00E50831"/>
    <w:rsid w:val="00E73368"/>
    <w:rsid w:val="00E85C74"/>
    <w:rsid w:val="00EA6547"/>
    <w:rsid w:val="00ED3BB3"/>
    <w:rsid w:val="00ED7237"/>
    <w:rsid w:val="00EF2E22"/>
    <w:rsid w:val="00F35BAF"/>
    <w:rsid w:val="00F660DF"/>
    <w:rsid w:val="00F94664"/>
    <w:rsid w:val="00F9573C"/>
    <w:rsid w:val="00F95C08"/>
    <w:rsid w:val="00FB67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5B41"/>
  <w15:docId w15:val="{454BF4F3-3541-4C7E-A479-91508BA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7107A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FB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ga.e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ga.e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27750-5017-4728-8323-FA8E80D7577F}"/>
</file>

<file path=customXml/itemProps2.xml><?xml version="1.0" encoding="utf-8"?>
<ds:datastoreItem xmlns:ds="http://schemas.openxmlformats.org/officeDocument/2006/customXml" ds:itemID="{DF62506F-72B3-45B0-9513-CAA89566BF76}"/>
</file>

<file path=docProps/app.xml><?xml version="1.0" encoding="utf-8"?>
<Properties xmlns="http://schemas.openxmlformats.org/officeDocument/2006/extended-properties" xmlns:vt="http://schemas.openxmlformats.org/officeDocument/2006/docPropsVTypes">
  <Template>ECE_TRANS.dotm</Template>
  <TotalTime>5</TotalTime>
  <Pages>4</Pages>
  <Words>1368</Words>
  <Characters>9576</Characters>
  <Application>Microsoft Office Word</Application>
  <DocSecurity>0</DocSecurity>
  <Lines>798</Lines>
  <Paragraphs>437</Paragraphs>
  <ScaleCrop>false</ScaleCrop>
  <HeadingPairs>
    <vt:vector size="2" baseType="variant">
      <vt:variant>
        <vt:lpstr>Titre</vt:lpstr>
      </vt:variant>
      <vt:variant>
        <vt:i4>1</vt:i4>
      </vt:variant>
    </vt:vector>
  </HeadingPairs>
  <TitlesOfParts>
    <vt:vector size="1" baseType="lpstr">
      <vt:lpstr>ECE/TRANS/WP.15/AC.1/2023/26</vt:lpstr>
    </vt:vector>
  </TitlesOfParts>
  <Company>DCM</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ECE/TRANS/WP.15/AC.1/2023/26</dc:title>
  <dc:subject/>
  <dc:creator>Estelle-Delphine DITTA</dc:creator>
  <cp:keywords/>
  <cp:lastModifiedBy>Estelle-Delphine DITTA</cp:lastModifiedBy>
  <cp:revision>3</cp:revision>
  <cp:lastPrinted>2023-07-24T09:07:00Z</cp:lastPrinted>
  <dcterms:created xsi:type="dcterms:W3CDTF">2023-07-24T09:07:00Z</dcterms:created>
  <dcterms:modified xsi:type="dcterms:W3CDTF">2023-07-24T09:09:00Z</dcterms:modified>
</cp:coreProperties>
</file>