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3CEFA4D6" w:rsidR="00157609" w:rsidRPr="00170046" w:rsidRDefault="00157609" w:rsidP="00C31681">
            <w:pPr>
              <w:jc w:val="right"/>
              <w:rPr>
                <w:b/>
                <w:bCs/>
                <w:lang w:val="en-US"/>
              </w:rPr>
            </w:pPr>
            <w:r w:rsidRPr="00DA5948">
              <w:rPr>
                <w:b/>
                <w:bCs/>
                <w:sz w:val="40"/>
              </w:rPr>
              <w:t>INF.</w:t>
            </w:r>
            <w:r w:rsidR="001F4995">
              <w:rPr>
                <w:b/>
                <w:bCs/>
                <w:sz w:val="40"/>
              </w:rPr>
              <w:t>13</w:t>
            </w:r>
          </w:p>
        </w:tc>
      </w:tr>
      <w:tr w:rsidR="00157609" w14:paraId="24ABEA35" w14:textId="77777777" w:rsidTr="00A03FDE">
        <w:trPr>
          <w:cantSplit/>
          <w:trHeight w:hRule="exact" w:val="4402"/>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550B764D" w:rsidR="007228D3" w:rsidRPr="003134DF" w:rsidRDefault="007228D3" w:rsidP="007228D3">
            <w:r>
              <w:t xml:space="preserve">Item </w:t>
            </w:r>
            <w:r w:rsidR="001F4995">
              <w:t>3 (c)</w:t>
            </w:r>
            <w:r>
              <w:t xml:space="preserve"> </w:t>
            </w:r>
            <w:r w:rsidRPr="003134DF">
              <w:t>of the provisional agenda</w:t>
            </w:r>
          </w:p>
          <w:p w14:paraId="531F1567" w14:textId="77777777" w:rsidR="00E277FB" w:rsidRDefault="0091484D" w:rsidP="00DA21C5">
            <w:pPr>
              <w:rPr>
                <w:b/>
                <w:bCs/>
              </w:rPr>
            </w:pPr>
            <w:r w:rsidRPr="00DA21C5">
              <w:rPr>
                <w:b/>
                <w:bCs/>
              </w:rPr>
              <w:t xml:space="preserve">Implementation of the European Agreement concerning the </w:t>
            </w:r>
            <w:r w:rsidR="00DA21C5">
              <w:rPr>
                <w:b/>
                <w:bCs/>
              </w:rPr>
              <w:br/>
            </w:r>
            <w:r w:rsidRPr="00DA21C5">
              <w:rPr>
                <w:b/>
                <w:bCs/>
              </w:rPr>
              <w:t xml:space="preserve">International Carriage of Dangerous Goods by </w:t>
            </w:r>
            <w:r w:rsidR="00E47B1F">
              <w:rPr>
                <w:b/>
                <w:bCs/>
              </w:rPr>
              <w:br/>
            </w:r>
            <w:r w:rsidRPr="00DA21C5">
              <w:rPr>
                <w:b/>
                <w:bCs/>
              </w:rPr>
              <w:t>Inland Waterways (ADN):</w:t>
            </w:r>
          </w:p>
          <w:p w14:paraId="333197FE" w14:textId="6298468C" w:rsidR="00E47B1F" w:rsidRPr="00A03FDE" w:rsidRDefault="00A03FDE" w:rsidP="00DA21C5">
            <w:pPr>
              <w:rPr>
                <w:b/>
                <w:bCs/>
              </w:rPr>
            </w:pPr>
            <w:r w:rsidRPr="00A03FDE">
              <w:rPr>
                <w:b/>
                <w:bCs/>
              </w:rPr>
              <w:t>interpretation of the Regulations annexed to ADN</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0D017478" w:rsidR="00157609" w:rsidRDefault="001F4995" w:rsidP="00C31681">
            <w:pPr>
              <w:spacing w:line="240" w:lineRule="exact"/>
            </w:pPr>
            <w:r>
              <w:t>7</w:t>
            </w:r>
            <w:r w:rsidR="00157609">
              <w:t xml:space="preserve"> </w:t>
            </w:r>
            <w:r w:rsidR="00AE3443">
              <w:t>Ju</w:t>
            </w:r>
            <w:r>
              <w:t>ly</w:t>
            </w:r>
            <w:r w:rsidR="00157609">
              <w:t xml:space="preserve"> 2023</w:t>
            </w:r>
          </w:p>
          <w:p w14:paraId="1C6A09C9" w14:textId="77777777" w:rsidR="00157609" w:rsidRDefault="00157609" w:rsidP="00C31681">
            <w:pPr>
              <w:spacing w:line="240" w:lineRule="exact"/>
            </w:pPr>
          </w:p>
          <w:p w14:paraId="2B061DA4" w14:textId="353FD247" w:rsidR="00157609" w:rsidRDefault="00157609" w:rsidP="00C31681">
            <w:pPr>
              <w:spacing w:line="240" w:lineRule="exact"/>
            </w:pPr>
            <w:r>
              <w:t xml:space="preserve">Original: </w:t>
            </w:r>
            <w:r w:rsidR="001F4995">
              <w:t>German</w:t>
            </w:r>
          </w:p>
        </w:tc>
      </w:tr>
    </w:tbl>
    <w:p w14:paraId="214BAD05" w14:textId="7CD61CAD" w:rsidR="00847C89" w:rsidRPr="0030727E" w:rsidRDefault="001E48F5" w:rsidP="001E48F5">
      <w:pPr>
        <w:pStyle w:val="HChG"/>
        <w:rPr>
          <w:bCs/>
          <w:szCs w:val="28"/>
        </w:rPr>
      </w:pPr>
      <w:r>
        <w:tab/>
      </w:r>
      <w:r>
        <w:tab/>
      </w:r>
      <w:r w:rsidR="00847C89">
        <w:t>7.1.5.4.3 and 7.2.5.4.3 of ADN: Berthing outside the berthing areas specifically designated by the competent authority</w:t>
      </w:r>
    </w:p>
    <w:p w14:paraId="5D4C096D" w14:textId="7AEB3C3C" w:rsidR="00847C89" w:rsidRPr="0030727E" w:rsidRDefault="001E48F5" w:rsidP="001E48F5">
      <w:pPr>
        <w:pStyle w:val="H1G"/>
      </w:pPr>
      <w:r>
        <w:tab/>
      </w:r>
      <w:r>
        <w:tab/>
      </w:r>
      <w:r w:rsidR="00847C89">
        <w:t>Submitted by the Government of Germany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A5435" w14:paraId="6B25CE49" w14:textId="77777777" w:rsidTr="006E5E26">
        <w:trPr>
          <w:jc w:val="center"/>
        </w:trPr>
        <w:tc>
          <w:tcPr>
            <w:tcW w:w="9637" w:type="dxa"/>
            <w:shd w:val="clear" w:color="auto" w:fill="auto"/>
          </w:tcPr>
          <w:p w14:paraId="2C20388A" w14:textId="77777777" w:rsidR="000A5435" w:rsidRPr="00C6263E" w:rsidRDefault="000A5435" w:rsidP="006E5E26">
            <w:pPr>
              <w:spacing w:before="240" w:after="120"/>
              <w:ind w:left="255"/>
              <w:rPr>
                <w:i/>
                <w:sz w:val="24"/>
              </w:rPr>
            </w:pPr>
            <w:r w:rsidRPr="00C6263E">
              <w:rPr>
                <w:i/>
                <w:sz w:val="24"/>
              </w:rPr>
              <w:t>Summary</w:t>
            </w:r>
          </w:p>
        </w:tc>
      </w:tr>
      <w:tr w:rsidR="000A5435" w14:paraId="3BC99E55" w14:textId="77777777" w:rsidTr="006E5E26">
        <w:trPr>
          <w:jc w:val="center"/>
        </w:trPr>
        <w:tc>
          <w:tcPr>
            <w:tcW w:w="9637" w:type="dxa"/>
            <w:shd w:val="clear" w:color="auto" w:fill="auto"/>
          </w:tcPr>
          <w:p w14:paraId="286BF40D" w14:textId="17DF73C9" w:rsidR="00037269" w:rsidRPr="00950D58" w:rsidRDefault="00FA4EBC" w:rsidP="00FA4EBC">
            <w:pPr>
              <w:ind w:left="1124" w:hanging="1124"/>
            </w:pPr>
            <w:r>
              <w:rPr>
                <w:b/>
                <w:color w:val="000000"/>
              </w:rPr>
              <w:tab/>
            </w:r>
            <w:r w:rsidR="000A5435">
              <w:rPr>
                <w:b/>
                <w:color w:val="000000"/>
              </w:rPr>
              <w:t>Related documents (cf. also Annex I):</w:t>
            </w:r>
            <w:r w:rsidR="00037269">
              <w:rPr>
                <w:b/>
                <w:color w:val="000000"/>
              </w:rPr>
              <w:tab/>
            </w:r>
            <w:r w:rsidR="00037269">
              <w:t xml:space="preserve">ECE/TRANS/WP.15/AC.2/42 (report of the </w:t>
            </w:r>
            <w:r w:rsidR="008D4C4A">
              <w:t>twentieth</w:t>
            </w:r>
            <w:r w:rsidR="00A53B76">
              <w:br/>
            </w:r>
            <w:r w:rsidR="00C226CE">
              <w:tab/>
            </w:r>
            <w:r w:rsidR="00C226CE">
              <w:tab/>
            </w:r>
            <w:r w:rsidR="00C226CE">
              <w:tab/>
            </w:r>
            <w:r w:rsidR="00C226CE">
              <w:tab/>
            </w:r>
            <w:r w:rsidR="00C226CE">
              <w:tab/>
            </w:r>
            <w:r w:rsidR="00C226CE">
              <w:tab/>
            </w:r>
            <w:r w:rsidR="00C226CE">
              <w:tab/>
            </w:r>
            <w:r w:rsidR="00037269">
              <w:t xml:space="preserve"> session, January 2012) paras. 63, 64</w:t>
            </w:r>
          </w:p>
          <w:p w14:paraId="2467C3A7" w14:textId="7269A089" w:rsidR="000A5435" w:rsidRDefault="00C226CE" w:rsidP="00621D17">
            <w:r>
              <w:tab/>
            </w:r>
            <w:r>
              <w:tab/>
            </w:r>
            <w:r>
              <w:tab/>
            </w:r>
            <w:r>
              <w:tab/>
            </w:r>
            <w:r>
              <w:tab/>
            </w:r>
            <w:r>
              <w:tab/>
            </w:r>
            <w:r>
              <w:tab/>
            </w:r>
            <w:r>
              <w:tab/>
            </w:r>
            <w:r w:rsidR="00037269">
              <w:t xml:space="preserve">ECE/TRANS/WP.15/AC.2/44 (report of the </w:t>
            </w:r>
            <w:r w:rsidR="00066382">
              <w:t>twenty-first</w:t>
            </w:r>
            <w:r w:rsidR="00621D17">
              <w:br/>
            </w:r>
            <w:r w:rsidR="00621D17">
              <w:tab/>
            </w:r>
            <w:r w:rsidR="00621D17">
              <w:tab/>
            </w:r>
            <w:r w:rsidR="00621D17">
              <w:tab/>
            </w:r>
            <w:r w:rsidR="00621D17">
              <w:tab/>
            </w:r>
            <w:r w:rsidR="00621D17">
              <w:tab/>
            </w:r>
            <w:r w:rsidR="00621D17">
              <w:tab/>
            </w:r>
            <w:r w:rsidR="00621D17">
              <w:tab/>
            </w:r>
            <w:r w:rsidR="00621D17">
              <w:tab/>
            </w:r>
            <w:r w:rsidR="00037269">
              <w:t xml:space="preserve"> session, August 2012) para. 54</w:t>
            </w:r>
          </w:p>
        </w:tc>
      </w:tr>
      <w:tr w:rsidR="000A5435" w14:paraId="6B43A0AE" w14:textId="77777777" w:rsidTr="006E5E26">
        <w:trPr>
          <w:jc w:val="center"/>
        </w:trPr>
        <w:tc>
          <w:tcPr>
            <w:tcW w:w="9637" w:type="dxa"/>
            <w:shd w:val="clear" w:color="auto" w:fill="auto"/>
          </w:tcPr>
          <w:p w14:paraId="40CBF35A" w14:textId="77777777" w:rsidR="000A5435" w:rsidRDefault="000A5435" w:rsidP="006E5E26"/>
        </w:tc>
      </w:tr>
    </w:tbl>
    <w:p w14:paraId="2B14C234" w14:textId="7564AF7C" w:rsidR="00847C89" w:rsidRPr="0030727E" w:rsidRDefault="00064428" w:rsidP="00064428">
      <w:pPr>
        <w:pStyle w:val="HChG"/>
        <w:rPr>
          <w:bCs/>
          <w:szCs w:val="28"/>
        </w:rPr>
      </w:pPr>
      <w:r>
        <w:tab/>
      </w:r>
      <w:r w:rsidR="00847C89">
        <w:tab/>
        <w:t>Introduction</w:t>
      </w:r>
    </w:p>
    <w:p w14:paraId="649853D9" w14:textId="77777777" w:rsidR="00847C89" w:rsidRDefault="00847C89" w:rsidP="00064428">
      <w:pPr>
        <w:pStyle w:val="SingleTxtG"/>
      </w:pPr>
      <w:r>
        <w:t>1.</w:t>
      </w:r>
      <w:r>
        <w:tab/>
        <w:t xml:space="preserve">7.1.5.4.3 and 7.2.5.4.3 of ADN stipulate that vessels carrying dangerous goods </w:t>
      </w:r>
      <w:proofErr w:type="gramStart"/>
      <w:r>
        <w:t>have to</w:t>
      </w:r>
      <w:proofErr w:type="gramEnd"/>
      <w:r>
        <w:t xml:space="preserve"> keep certain distances from various structures/areas while berthing outside the berthing areas specifically designated by the competent authority. “Civil engineering structures” are among these structures.</w:t>
      </w:r>
    </w:p>
    <w:p w14:paraId="0FF4EEE7" w14:textId="67E9E620" w:rsidR="00847C89" w:rsidRPr="0030727E" w:rsidRDefault="00064428" w:rsidP="00064428">
      <w:pPr>
        <w:pStyle w:val="HChG"/>
        <w:rPr>
          <w:bCs/>
          <w:szCs w:val="28"/>
        </w:rPr>
      </w:pPr>
      <w:r>
        <w:tab/>
      </w:r>
      <w:r w:rsidR="00847C89">
        <w:tab/>
        <w:t>Interpretation issue</w:t>
      </w:r>
    </w:p>
    <w:p w14:paraId="6E76DDF0" w14:textId="77777777" w:rsidR="00847C89" w:rsidRDefault="00847C89" w:rsidP="00064428">
      <w:pPr>
        <w:pStyle w:val="SingleTxtG"/>
      </w:pPr>
      <w:r>
        <w:t>2.</w:t>
      </w:r>
      <w:r>
        <w:tab/>
        <w:t>Within the German Waterways and Shipping Administration, a discussion has been ongoing for some time on what specific structures are covered by the term “civil engineering structures”. This question is of importance not only at local (berthing location) but also at international level, since the answer is of great importance to all masters, also of foreign vessels, searching for a place to berth.</w:t>
      </w:r>
    </w:p>
    <w:p w14:paraId="1EEF7ACE" w14:textId="414C1141" w:rsidR="00847C89" w:rsidRDefault="00847C89" w:rsidP="00064428">
      <w:pPr>
        <w:pStyle w:val="SingleTxtG"/>
      </w:pPr>
      <w:r>
        <w:t>3.</w:t>
      </w:r>
      <w:r>
        <w:tab/>
        <w:t xml:space="preserve">Germany already raised this issue in 2012 at the </w:t>
      </w:r>
      <w:r w:rsidR="004F2310">
        <w:t>twentieth</w:t>
      </w:r>
      <w:r>
        <w:t xml:space="preserve"> and </w:t>
      </w:r>
      <w:r w:rsidR="004F2310">
        <w:t>twenty-first</w:t>
      </w:r>
      <w:r>
        <w:t xml:space="preserve"> session</w:t>
      </w:r>
      <w:r w:rsidR="00EE21BC">
        <w:t>s</w:t>
      </w:r>
      <w:r>
        <w:t xml:space="preserve"> of the Safety Committee. Unfortunately, since then, it has neither been possible to compose a whitelist of the “civil engineering structures” relevant to ADN nor has the Safety Committee been informed of the outcome of a study planned by the CCNR for the Rhine basin.</w:t>
      </w:r>
    </w:p>
    <w:p w14:paraId="1246997C" w14:textId="77777777" w:rsidR="00847C89" w:rsidRDefault="00847C89" w:rsidP="00064428">
      <w:pPr>
        <w:pStyle w:val="SingleTxtG"/>
      </w:pPr>
      <w:r>
        <w:t>4.</w:t>
      </w:r>
      <w:r>
        <w:tab/>
        <w:t>A set of regulations that is applicable at international or European level and deals with the definition of “civil engineering structures” is not known.</w:t>
      </w:r>
    </w:p>
    <w:p w14:paraId="74C0F262" w14:textId="5AA190AE" w:rsidR="00847C89" w:rsidRDefault="00847C89" w:rsidP="00824618">
      <w:pPr>
        <w:pStyle w:val="SingleTxtG"/>
      </w:pPr>
      <w:r>
        <w:lastRenderedPageBreak/>
        <w:t>5.</w:t>
      </w:r>
      <w:r>
        <w:tab/>
        <w:t>A very long list of “civil engineering structures” can be derived from German national civil engineering regulations (DIN 1076), including</w:t>
      </w:r>
      <w:proofErr w:type="gramStart"/>
      <w:r>
        <w:t>, in particular, the</w:t>
      </w:r>
      <w:proofErr w:type="gramEnd"/>
      <w:r>
        <w:t xml:space="preserve"> following structures (list non-exhaustive):</w:t>
      </w:r>
      <w:r w:rsidR="00824618">
        <w:t xml:space="preserve"> </w:t>
      </w:r>
      <w:r>
        <w:t>bridge structures, tunnel structures, walls and sheet piling, water supply, sewage disposal and hydraulic engineering structures and facilities, other public supply network lines, structures for transport facilities, masts, flues, cooling towers, retaining structures, etc.</w:t>
      </w:r>
      <w:r w:rsidR="00824618">
        <w:t xml:space="preserve"> </w:t>
      </w:r>
      <w:r>
        <w:t>It is irrelevant in this context whether these structures are above or below ground.</w:t>
      </w:r>
    </w:p>
    <w:p w14:paraId="3831D57D" w14:textId="77777777" w:rsidR="00847C89" w:rsidRDefault="00847C89" w:rsidP="00064428">
      <w:pPr>
        <w:pStyle w:val="SingleTxtG"/>
      </w:pPr>
      <w:r>
        <w:t>6.</w:t>
      </w:r>
      <w:r>
        <w:tab/>
        <w:t>Such a wide understanding of the term “civil engineering structures” would make it difficult for masters to identify these structures along their route. Furthermore, it would considerably reduce the number of possible locations for berthing, while the number of berths designated by authorities is also limited.</w:t>
      </w:r>
    </w:p>
    <w:p w14:paraId="7925F165" w14:textId="77777777" w:rsidR="00847C89" w:rsidRDefault="00847C89" w:rsidP="00064428">
      <w:pPr>
        <w:pStyle w:val="SingleTxtG"/>
      </w:pPr>
      <w:r>
        <w:t>7.</w:t>
      </w:r>
      <w:r>
        <w:tab/>
        <w:t xml:space="preserve">Germany would like to know more about how the other Contracting Parties interpret the term “civil engineering structures” and what experience they have gained </w:t>
      </w:r>
      <w:proofErr w:type="gramStart"/>
      <w:r>
        <w:t>with regard to</w:t>
      </w:r>
      <w:proofErr w:type="gramEnd"/>
      <w:r>
        <w:t xml:space="preserve"> the resulting limitation of berthing locations. This exchange of experience might make it possible to interpret the term „civil engineering </w:t>
      </w:r>
      <w:proofErr w:type="gramStart"/>
      <w:r>
        <w:t>structures“ in</w:t>
      </w:r>
      <w:proofErr w:type="gramEnd"/>
      <w:r>
        <w:t xml:space="preserve"> 7.1.5.4.3 and 7.2.5.4.3 of ADN in a narrower sense, insofar as this is acceptable from the point of view of safety (prevention of damage to civil engineering structures in the event of incidents or accidents on vessels carrying dangerous goods). In a second step, it could be discussed how masters can identify the remaining structures.</w:t>
      </w:r>
    </w:p>
    <w:p w14:paraId="5C391FBF" w14:textId="6454D897" w:rsidR="00D36C78" w:rsidRDefault="00D36C78" w:rsidP="00064428">
      <w:pPr>
        <w:pStyle w:val="SingleTxtG"/>
      </w:pPr>
      <w:r>
        <w:br w:type="page"/>
      </w:r>
    </w:p>
    <w:p w14:paraId="426F14F8" w14:textId="77777777" w:rsidR="008E4C29" w:rsidRPr="00CF5F68" w:rsidRDefault="008E4C29" w:rsidP="008E4C29">
      <w:pPr>
        <w:pStyle w:val="HChG"/>
        <w:rPr>
          <w:bCs/>
        </w:rPr>
      </w:pPr>
      <w:r>
        <w:lastRenderedPageBreak/>
        <w:t>Annex I</w:t>
      </w:r>
    </w:p>
    <w:p w14:paraId="7F837099" w14:textId="77777777" w:rsidR="008E4C29" w:rsidRPr="00F572C8" w:rsidRDefault="008E4C29" w:rsidP="00D20B3B">
      <w:pPr>
        <w:pStyle w:val="SingleTxtG"/>
        <w:ind w:left="567" w:firstLine="567"/>
        <w:jc w:val="left"/>
        <w:rPr>
          <w:u w:val="single"/>
        </w:rPr>
      </w:pPr>
      <w:r>
        <w:rPr>
          <w:u w:val="single"/>
        </w:rPr>
        <w:t>ECE/TRANS/ADN/WP.15/AC.2/42</w:t>
      </w:r>
    </w:p>
    <w:p w14:paraId="70838D26" w14:textId="11A3B8B3" w:rsidR="008E4C29" w:rsidRPr="00CF5F68" w:rsidRDefault="00510E3B" w:rsidP="008E4C29">
      <w:pPr>
        <w:pStyle w:val="HChG"/>
      </w:pPr>
      <w:r>
        <w:tab/>
      </w:r>
      <w:r w:rsidR="004036BC">
        <w:t>"</w:t>
      </w:r>
      <w:r w:rsidR="008E4C29">
        <w:t>X.</w:t>
      </w:r>
      <w:r w:rsidR="008E4C29">
        <w:tab/>
        <w:t>Any other business (agenda item 9)</w:t>
      </w:r>
    </w:p>
    <w:p w14:paraId="01CAD67B" w14:textId="78ECC070" w:rsidR="008E4C29" w:rsidRPr="00CF5F68" w:rsidRDefault="00510E3B" w:rsidP="00510E3B">
      <w:pPr>
        <w:pStyle w:val="H1G"/>
      </w:pPr>
      <w:r>
        <w:tab/>
      </w:r>
      <w:r w:rsidR="008E4C29">
        <w:t>A.</w:t>
      </w:r>
      <w:r w:rsidR="008E4C29">
        <w:tab/>
        <w:t>Exchange of information on implementation of 7.1.5.4.3 and 7.2.5.4.3 (berthing distances)</w:t>
      </w:r>
    </w:p>
    <w:p w14:paraId="5D92E0E8" w14:textId="7C298B7C" w:rsidR="008E4C29" w:rsidRPr="00817B27" w:rsidRDefault="008E4C29" w:rsidP="00510E3B">
      <w:pPr>
        <w:pStyle w:val="SingleTxtG"/>
        <w:rPr>
          <w:i/>
          <w:iCs/>
        </w:rPr>
      </w:pPr>
      <w:r w:rsidRPr="00FB4B3C">
        <w:rPr>
          <w:i/>
          <w:iCs/>
        </w:rPr>
        <w:t>Informal document:</w:t>
      </w:r>
      <w:r w:rsidRPr="00510E3B">
        <w:tab/>
      </w:r>
      <w:r w:rsidRPr="00817B27">
        <w:rPr>
          <w:i/>
          <w:iCs/>
        </w:rPr>
        <w:t xml:space="preserve">INF.11 (Germany) </w:t>
      </w:r>
    </w:p>
    <w:p w14:paraId="66CB1546" w14:textId="77777777" w:rsidR="008E4C29" w:rsidRPr="00510E3B" w:rsidRDefault="008E4C29" w:rsidP="00510E3B">
      <w:pPr>
        <w:pStyle w:val="SingleTxtG"/>
      </w:pPr>
      <w:r w:rsidRPr="00510E3B">
        <w:t>63.</w:t>
      </w:r>
      <w:r w:rsidRPr="00510E3B">
        <w:tab/>
        <w:t xml:space="preserve">Delegations were invited to provide the information requested on the minimum distances between berthing zones established by competent authorities and residential zones/civil engineering structures, etc, set up in practice by the competent authorities of different countries. </w:t>
      </w:r>
    </w:p>
    <w:p w14:paraId="17FC0BFA" w14:textId="0BE6273C" w:rsidR="008E4C29" w:rsidRPr="00510E3B" w:rsidRDefault="008E4C29" w:rsidP="00510E3B">
      <w:pPr>
        <w:pStyle w:val="SingleTxtG"/>
      </w:pPr>
      <w:r w:rsidRPr="00510E3B">
        <w:t>64.</w:t>
      </w:r>
      <w:r w:rsidRPr="00510E3B">
        <w:tab/>
        <w:t>The representative of the CCNR said that a study was underway on this subject for the Rhine basin.</w:t>
      </w:r>
      <w:r w:rsidR="004036BC">
        <w:t>"</w:t>
      </w:r>
    </w:p>
    <w:p w14:paraId="0FC7354C" w14:textId="77777777" w:rsidR="008E4C29" w:rsidRPr="00F572C8" w:rsidRDefault="008E4C29" w:rsidP="00D20B3B">
      <w:pPr>
        <w:pStyle w:val="SingleTxtG"/>
        <w:ind w:left="567" w:firstLine="567"/>
        <w:jc w:val="left"/>
        <w:rPr>
          <w:u w:val="single"/>
        </w:rPr>
      </w:pPr>
      <w:r>
        <w:rPr>
          <w:u w:val="single"/>
        </w:rPr>
        <w:t>ECE/TRANS/WP.15/AC.2/44</w:t>
      </w:r>
    </w:p>
    <w:p w14:paraId="084B0414" w14:textId="1CB040DD" w:rsidR="008E4C29" w:rsidRPr="00102675" w:rsidRDefault="00D20B3B" w:rsidP="00D20B3B">
      <w:pPr>
        <w:pStyle w:val="HChG"/>
        <w:rPr>
          <w:noProof/>
        </w:rPr>
      </w:pPr>
      <w:r>
        <w:tab/>
      </w:r>
      <w:r w:rsidR="004036BC">
        <w:t>"</w:t>
      </w:r>
      <w:r w:rsidR="008E4C29">
        <w:t>XI.</w:t>
      </w:r>
      <w:r w:rsidR="008E4C29">
        <w:tab/>
        <w:t>Any other business (agenda item 10)</w:t>
      </w:r>
    </w:p>
    <w:p w14:paraId="40E83547" w14:textId="2510BD39" w:rsidR="008E4C29" w:rsidRPr="00D508F7" w:rsidRDefault="005E79EA" w:rsidP="005E79EA">
      <w:pPr>
        <w:pStyle w:val="H1G"/>
        <w:rPr>
          <w:noProof/>
        </w:rPr>
      </w:pPr>
      <w:r>
        <w:tab/>
      </w:r>
      <w:r w:rsidR="008E4C29">
        <w:t>A.</w:t>
      </w:r>
      <w:r w:rsidR="008E4C29">
        <w:tab/>
        <w:t>Minimum distances for berthing vessels outside of berthing areas specifically designated by the competent authority according to 7.1.5.4.3 and 7.2.5.4.3 of ADN</w:t>
      </w:r>
    </w:p>
    <w:p w14:paraId="2750BF9C" w14:textId="174FD09A" w:rsidR="008E4C29" w:rsidRPr="00D508F7" w:rsidRDefault="008E4C29" w:rsidP="005E79EA">
      <w:pPr>
        <w:pStyle w:val="SingleTxtG"/>
        <w:rPr>
          <w:i/>
          <w:iCs/>
        </w:rPr>
      </w:pPr>
      <w:r w:rsidRPr="005E79EA">
        <w:rPr>
          <w:i/>
          <w:iCs/>
        </w:rPr>
        <w:t>Informal</w:t>
      </w:r>
      <w:r>
        <w:rPr>
          <w:i/>
        </w:rPr>
        <w:t xml:space="preserve"> document:</w:t>
      </w:r>
      <w:r>
        <w:rPr>
          <w:i/>
        </w:rPr>
        <w:tab/>
        <w:t>INF.8 (Germany)</w:t>
      </w:r>
    </w:p>
    <w:p w14:paraId="5FD37CD7" w14:textId="34685708" w:rsidR="008E4C29" w:rsidRPr="005E79EA" w:rsidRDefault="008E4C29" w:rsidP="005E79EA">
      <w:pPr>
        <w:pStyle w:val="SingleTxtG"/>
      </w:pPr>
      <w:r w:rsidRPr="005E79EA">
        <w:t>54.</w:t>
      </w:r>
      <w:r w:rsidRPr="005E79EA">
        <w:tab/>
        <w:t>The Safety Committee confirmed that the term “civil engineering structures” included any works of civil engineering such as bridges or tunnels. It was decided to compose a detailed list of the works in question so as to study the possible cases that might arise and to consider how the requirements should apply in each case.</w:t>
      </w:r>
      <w:r w:rsidR="004036BC">
        <w:t>"</w:t>
      </w:r>
    </w:p>
    <w:p w14:paraId="2605FCE3" w14:textId="51FEBFEB" w:rsidR="00683A13" w:rsidRPr="00817B27" w:rsidRDefault="002B0D3F" w:rsidP="00817B27">
      <w:pPr>
        <w:spacing w:before="240"/>
        <w:jc w:val="center"/>
        <w:rPr>
          <w:u w:val="single"/>
        </w:rPr>
      </w:pPr>
      <w:r>
        <w:rPr>
          <w:u w:val="single"/>
        </w:rPr>
        <w:tab/>
      </w:r>
      <w:r>
        <w:rPr>
          <w:u w:val="single"/>
        </w:rPr>
        <w:tab/>
      </w:r>
      <w:r>
        <w:rPr>
          <w:u w:val="single"/>
        </w:rPr>
        <w:tab/>
      </w:r>
    </w:p>
    <w:sectPr w:rsidR="00683A13" w:rsidRPr="00817B27"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E577" w14:textId="77777777" w:rsidR="006634A6" w:rsidRDefault="006634A6"/>
  </w:endnote>
  <w:endnote w:type="continuationSeparator" w:id="0">
    <w:p w14:paraId="15B4C2F0" w14:textId="77777777" w:rsidR="006634A6" w:rsidRDefault="006634A6"/>
  </w:endnote>
  <w:endnote w:type="continuationNotice" w:id="1">
    <w:p w14:paraId="71B7B99B" w14:textId="77777777" w:rsidR="006634A6" w:rsidRDefault="00663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DEC4" w14:textId="77777777" w:rsidR="006634A6" w:rsidRPr="000B175B" w:rsidRDefault="006634A6" w:rsidP="000B175B">
      <w:pPr>
        <w:tabs>
          <w:tab w:val="right" w:pos="2155"/>
        </w:tabs>
        <w:spacing w:after="80"/>
        <w:ind w:left="680"/>
        <w:rPr>
          <w:u w:val="single"/>
        </w:rPr>
      </w:pPr>
      <w:r>
        <w:rPr>
          <w:u w:val="single"/>
        </w:rPr>
        <w:tab/>
      </w:r>
    </w:p>
  </w:footnote>
  <w:footnote w:type="continuationSeparator" w:id="0">
    <w:p w14:paraId="449BEDF1" w14:textId="77777777" w:rsidR="006634A6" w:rsidRPr="00FC68B7" w:rsidRDefault="006634A6" w:rsidP="00FC68B7">
      <w:pPr>
        <w:tabs>
          <w:tab w:val="left" w:pos="2155"/>
        </w:tabs>
        <w:spacing w:after="80"/>
        <w:ind w:left="680"/>
        <w:rPr>
          <w:u w:val="single"/>
        </w:rPr>
      </w:pPr>
      <w:r>
        <w:rPr>
          <w:u w:val="single"/>
        </w:rPr>
        <w:tab/>
      </w:r>
    </w:p>
  </w:footnote>
  <w:footnote w:type="continuationNotice" w:id="1">
    <w:p w14:paraId="1065B8F6" w14:textId="77777777" w:rsidR="006634A6" w:rsidRDefault="00663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3744A7DC" w:rsidR="00335B02" w:rsidRPr="00F54205" w:rsidRDefault="00236A03" w:rsidP="00F54205">
    <w:pPr>
      <w:pStyle w:val="Header"/>
    </w:pPr>
    <w:r>
      <w:t>INF.</w:t>
    </w:r>
    <w:r w:rsidR="00847C89">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18577EA9" w:rsidR="00335B02" w:rsidRPr="00EA42C1" w:rsidRDefault="00B5117E" w:rsidP="00EA42C1">
    <w:pPr>
      <w:pStyle w:val="Header"/>
      <w:jc w:val="right"/>
    </w:pPr>
    <w:r>
      <w:t>INF.</w:t>
    </w:r>
    <w:r w:rsidR="00D36C78">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4"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5"/>
  </w:num>
  <w:num w:numId="13" w16cid:durableId="2105681482">
    <w:abstractNumId w:val="11"/>
  </w:num>
  <w:num w:numId="14" w16cid:durableId="1465004137">
    <w:abstractNumId w:val="13"/>
  </w:num>
  <w:num w:numId="15" w16cid:durableId="411239685">
    <w:abstractNumId w:val="20"/>
  </w:num>
  <w:num w:numId="16" w16cid:durableId="1736125182">
    <w:abstractNumId w:val="14"/>
  </w:num>
  <w:num w:numId="17" w16cid:durableId="711076582">
    <w:abstractNumId w:val="26"/>
  </w:num>
  <w:num w:numId="18" w16cid:durableId="50083596">
    <w:abstractNumId w:val="28"/>
  </w:num>
  <w:num w:numId="19" w16cid:durableId="1413114354">
    <w:abstractNumId w:val="12"/>
  </w:num>
  <w:num w:numId="20" w16cid:durableId="1881743150">
    <w:abstractNumId w:val="12"/>
  </w:num>
  <w:num w:numId="21" w16cid:durableId="1947106276">
    <w:abstractNumId w:val="16"/>
  </w:num>
  <w:num w:numId="22" w16cid:durableId="1861047719">
    <w:abstractNumId w:val="27"/>
  </w:num>
  <w:num w:numId="23" w16cid:durableId="1115830556">
    <w:abstractNumId w:val="10"/>
  </w:num>
  <w:num w:numId="24" w16cid:durableId="1156650093">
    <w:abstractNumId w:val="18"/>
  </w:num>
  <w:num w:numId="25" w16cid:durableId="1750227226">
    <w:abstractNumId w:val="21"/>
  </w:num>
  <w:num w:numId="26" w16cid:durableId="702292337">
    <w:abstractNumId w:val="24"/>
  </w:num>
  <w:num w:numId="27" w16cid:durableId="544562602">
    <w:abstractNumId w:val="23"/>
  </w:num>
  <w:num w:numId="28" w16cid:durableId="1734738215">
    <w:abstractNumId w:val="25"/>
  </w:num>
  <w:num w:numId="29" w16cid:durableId="1986474118">
    <w:abstractNumId w:val="22"/>
  </w:num>
  <w:num w:numId="30" w16cid:durableId="101110135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36612"/>
    <w:rsid w:val="00037269"/>
    <w:rsid w:val="00047CD6"/>
    <w:rsid w:val="00047E5C"/>
    <w:rsid w:val="00050F6B"/>
    <w:rsid w:val="00062927"/>
    <w:rsid w:val="00064428"/>
    <w:rsid w:val="00066382"/>
    <w:rsid w:val="000678CD"/>
    <w:rsid w:val="00072C8C"/>
    <w:rsid w:val="00081CE0"/>
    <w:rsid w:val="00084D30"/>
    <w:rsid w:val="00090320"/>
    <w:rsid w:val="000931C0"/>
    <w:rsid w:val="000A2E09"/>
    <w:rsid w:val="000A5435"/>
    <w:rsid w:val="000B175B"/>
    <w:rsid w:val="000B3A0F"/>
    <w:rsid w:val="000B3E8E"/>
    <w:rsid w:val="000B617F"/>
    <w:rsid w:val="000C12CF"/>
    <w:rsid w:val="000C5900"/>
    <w:rsid w:val="000E0415"/>
    <w:rsid w:val="000E28B2"/>
    <w:rsid w:val="000E499D"/>
    <w:rsid w:val="000F4B19"/>
    <w:rsid w:val="000F60D4"/>
    <w:rsid w:val="000F65A3"/>
    <w:rsid w:val="000F7715"/>
    <w:rsid w:val="00100C96"/>
    <w:rsid w:val="001127E0"/>
    <w:rsid w:val="00116E26"/>
    <w:rsid w:val="00122FF4"/>
    <w:rsid w:val="00123411"/>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1CD9"/>
    <w:rsid w:val="001832E3"/>
    <w:rsid w:val="00184DDA"/>
    <w:rsid w:val="001900CD"/>
    <w:rsid w:val="001936CA"/>
    <w:rsid w:val="00195529"/>
    <w:rsid w:val="001A0452"/>
    <w:rsid w:val="001A3F08"/>
    <w:rsid w:val="001A7197"/>
    <w:rsid w:val="001B4B04"/>
    <w:rsid w:val="001B5875"/>
    <w:rsid w:val="001C4B9C"/>
    <w:rsid w:val="001C6663"/>
    <w:rsid w:val="001C7895"/>
    <w:rsid w:val="001D1368"/>
    <w:rsid w:val="001D25F0"/>
    <w:rsid w:val="001D26DF"/>
    <w:rsid w:val="001D39B7"/>
    <w:rsid w:val="001D73EE"/>
    <w:rsid w:val="001E04E7"/>
    <w:rsid w:val="001E0A73"/>
    <w:rsid w:val="001E48F5"/>
    <w:rsid w:val="001E6299"/>
    <w:rsid w:val="001E70A8"/>
    <w:rsid w:val="001E7CEE"/>
    <w:rsid w:val="001F1599"/>
    <w:rsid w:val="001F19C4"/>
    <w:rsid w:val="001F4995"/>
    <w:rsid w:val="001F6555"/>
    <w:rsid w:val="002021E0"/>
    <w:rsid w:val="002043F0"/>
    <w:rsid w:val="00204C1D"/>
    <w:rsid w:val="00206274"/>
    <w:rsid w:val="00211E0B"/>
    <w:rsid w:val="00221784"/>
    <w:rsid w:val="00226596"/>
    <w:rsid w:val="002267FF"/>
    <w:rsid w:val="00232575"/>
    <w:rsid w:val="00236A03"/>
    <w:rsid w:val="00241642"/>
    <w:rsid w:val="00244196"/>
    <w:rsid w:val="00244787"/>
    <w:rsid w:val="0024654B"/>
    <w:rsid w:val="00247258"/>
    <w:rsid w:val="00256B8A"/>
    <w:rsid w:val="00257CAC"/>
    <w:rsid w:val="0027074D"/>
    <w:rsid w:val="0027162D"/>
    <w:rsid w:val="0027237A"/>
    <w:rsid w:val="00275DB0"/>
    <w:rsid w:val="00280B61"/>
    <w:rsid w:val="002867D5"/>
    <w:rsid w:val="002920CD"/>
    <w:rsid w:val="002974E9"/>
    <w:rsid w:val="002A192D"/>
    <w:rsid w:val="002A6386"/>
    <w:rsid w:val="002A7F94"/>
    <w:rsid w:val="002B0D3F"/>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47826"/>
    <w:rsid w:val="0035223F"/>
    <w:rsid w:val="00352D4B"/>
    <w:rsid w:val="0035638C"/>
    <w:rsid w:val="003614A1"/>
    <w:rsid w:val="0036440D"/>
    <w:rsid w:val="00364500"/>
    <w:rsid w:val="00374D51"/>
    <w:rsid w:val="00377B40"/>
    <w:rsid w:val="00383FF3"/>
    <w:rsid w:val="003923B5"/>
    <w:rsid w:val="003958E2"/>
    <w:rsid w:val="00395BAD"/>
    <w:rsid w:val="003A46BB"/>
    <w:rsid w:val="003A4EC7"/>
    <w:rsid w:val="003A6F00"/>
    <w:rsid w:val="003A7295"/>
    <w:rsid w:val="003B1F60"/>
    <w:rsid w:val="003C2CC4"/>
    <w:rsid w:val="003C74FF"/>
    <w:rsid w:val="003D11AD"/>
    <w:rsid w:val="003D4B23"/>
    <w:rsid w:val="003E0C40"/>
    <w:rsid w:val="003E1458"/>
    <w:rsid w:val="003E278A"/>
    <w:rsid w:val="003F34BD"/>
    <w:rsid w:val="00400FD1"/>
    <w:rsid w:val="00401B28"/>
    <w:rsid w:val="004031CB"/>
    <w:rsid w:val="004036BC"/>
    <w:rsid w:val="00413520"/>
    <w:rsid w:val="0041770D"/>
    <w:rsid w:val="00422024"/>
    <w:rsid w:val="00430635"/>
    <w:rsid w:val="004325CB"/>
    <w:rsid w:val="00440A07"/>
    <w:rsid w:val="004453FE"/>
    <w:rsid w:val="00454D39"/>
    <w:rsid w:val="00456428"/>
    <w:rsid w:val="00457057"/>
    <w:rsid w:val="0045733B"/>
    <w:rsid w:val="00462880"/>
    <w:rsid w:val="0047042F"/>
    <w:rsid w:val="00476F24"/>
    <w:rsid w:val="0048768E"/>
    <w:rsid w:val="00491811"/>
    <w:rsid w:val="00494255"/>
    <w:rsid w:val="00497194"/>
    <w:rsid w:val="004A575C"/>
    <w:rsid w:val="004A6C9B"/>
    <w:rsid w:val="004B09B0"/>
    <w:rsid w:val="004B6706"/>
    <w:rsid w:val="004C1217"/>
    <w:rsid w:val="004C1CAC"/>
    <w:rsid w:val="004C55B0"/>
    <w:rsid w:val="004C7379"/>
    <w:rsid w:val="004C75CD"/>
    <w:rsid w:val="004E25B3"/>
    <w:rsid w:val="004E55EF"/>
    <w:rsid w:val="004F2310"/>
    <w:rsid w:val="004F6BA0"/>
    <w:rsid w:val="00500315"/>
    <w:rsid w:val="00502435"/>
    <w:rsid w:val="00503BEA"/>
    <w:rsid w:val="00506F46"/>
    <w:rsid w:val="00510E3B"/>
    <w:rsid w:val="00513E2B"/>
    <w:rsid w:val="00524C4C"/>
    <w:rsid w:val="005255EC"/>
    <w:rsid w:val="00526B0F"/>
    <w:rsid w:val="00527651"/>
    <w:rsid w:val="00533616"/>
    <w:rsid w:val="00535150"/>
    <w:rsid w:val="00535ABA"/>
    <w:rsid w:val="0053717E"/>
    <w:rsid w:val="0053768B"/>
    <w:rsid w:val="005420F2"/>
    <w:rsid w:val="0054285C"/>
    <w:rsid w:val="00545601"/>
    <w:rsid w:val="00547E92"/>
    <w:rsid w:val="00555562"/>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E0B2E"/>
    <w:rsid w:val="005E79EA"/>
    <w:rsid w:val="005F08DF"/>
    <w:rsid w:val="005F3066"/>
    <w:rsid w:val="005F3E61"/>
    <w:rsid w:val="005F4D30"/>
    <w:rsid w:val="00603E67"/>
    <w:rsid w:val="00604DDD"/>
    <w:rsid w:val="00610969"/>
    <w:rsid w:val="006115CC"/>
    <w:rsid w:val="006116E6"/>
    <w:rsid w:val="00611FC4"/>
    <w:rsid w:val="00613B39"/>
    <w:rsid w:val="006169FB"/>
    <w:rsid w:val="006176FB"/>
    <w:rsid w:val="00620A3C"/>
    <w:rsid w:val="00621D17"/>
    <w:rsid w:val="00624904"/>
    <w:rsid w:val="00630FCB"/>
    <w:rsid w:val="00640B26"/>
    <w:rsid w:val="00643883"/>
    <w:rsid w:val="0065766B"/>
    <w:rsid w:val="00660948"/>
    <w:rsid w:val="00662346"/>
    <w:rsid w:val="006634A6"/>
    <w:rsid w:val="00667E19"/>
    <w:rsid w:val="006770B2"/>
    <w:rsid w:val="00677B3E"/>
    <w:rsid w:val="00683A13"/>
    <w:rsid w:val="00686A48"/>
    <w:rsid w:val="006940E1"/>
    <w:rsid w:val="00694920"/>
    <w:rsid w:val="006A02BA"/>
    <w:rsid w:val="006A1D61"/>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B38"/>
    <w:rsid w:val="007228D3"/>
    <w:rsid w:val="0072632A"/>
    <w:rsid w:val="0073010F"/>
    <w:rsid w:val="007358E8"/>
    <w:rsid w:val="00736ECE"/>
    <w:rsid w:val="00737DC9"/>
    <w:rsid w:val="00744B37"/>
    <w:rsid w:val="0074533B"/>
    <w:rsid w:val="00751746"/>
    <w:rsid w:val="007643BC"/>
    <w:rsid w:val="00765F4B"/>
    <w:rsid w:val="007661F5"/>
    <w:rsid w:val="007741F9"/>
    <w:rsid w:val="00774DE3"/>
    <w:rsid w:val="00775F97"/>
    <w:rsid w:val="00780C68"/>
    <w:rsid w:val="00786D5E"/>
    <w:rsid w:val="007959FE"/>
    <w:rsid w:val="00795B02"/>
    <w:rsid w:val="007A0CF1"/>
    <w:rsid w:val="007A18C1"/>
    <w:rsid w:val="007A7910"/>
    <w:rsid w:val="007A7FA0"/>
    <w:rsid w:val="007B4319"/>
    <w:rsid w:val="007B6BA5"/>
    <w:rsid w:val="007B7140"/>
    <w:rsid w:val="007C1AFA"/>
    <w:rsid w:val="007C3390"/>
    <w:rsid w:val="007C42D8"/>
    <w:rsid w:val="007C4F4B"/>
    <w:rsid w:val="007D7362"/>
    <w:rsid w:val="007D769F"/>
    <w:rsid w:val="007E48F3"/>
    <w:rsid w:val="007E6254"/>
    <w:rsid w:val="007F235D"/>
    <w:rsid w:val="007F2B38"/>
    <w:rsid w:val="007F5CE2"/>
    <w:rsid w:val="007F6611"/>
    <w:rsid w:val="00800D33"/>
    <w:rsid w:val="0080216F"/>
    <w:rsid w:val="00805FE3"/>
    <w:rsid w:val="0081067A"/>
    <w:rsid w:val="00810BAC"/>
    <w:rsid w:val="008175E9"/>
    <w:rsid w:val="00817B27"/>
    <w:rsid w:val="00821DA8"/>
    <w:rsid w:val="008242D7"/>
    <w:rsid w:val="00824618"/>
    <w:rsid w:val="0082577B"/>
    <w:rsid w:val="0082692B"/>
    <w:rsid w:val="00830CCA"/>
    <w:rsid w:val="00847C89"/>
    <w:rsid w:val="008535FF"/>
    <w:rsid w:val="00862995"/>
    <w:rsid w:val="00865A74"/>
    <w:rsid w:val="00866893"/>
    <w:rsid w:val="00866F02"/>
    <w:rsid w:val="00867D18"/>
    <w:rsid w:val="00871F9A"/>
    <w:rsid w:val="00871FD5"/>
    <w:rsid w:val="0088172E"/>
    <w:rsid w:val="00881EFA"/>
    <w:rsid w:val="008879CB"/>
    <w:rsid w:val="008903D9"/>
    <w:rsid w:val="00891A4B"/>
    <w:rsid w:val="008950ED"/>
    <w:rsid w:val="008951C8"/>
    <w:rsid w:val="008974AA"/>
    <w:rsid w:val="008979B1"/>
    <w:rsid w:val="008A0100"/>
    <w:rsid w:val="008A105B"/>
    <w:rsid w:val="008A1CDC"/>
    <w:rsid w:val="008A297C"/>
    <w:rsid w:val="008A310E"/>
    <w:rsid w:val="008A6635"/>
    <w:rsid w:val="008A6B25"/>
    <w:rsid w:val="008A6C4F"/>
    <w:rsid w:val="008A76C4"/>
    <w:rsid w:val="008B389E"/>
    <w:rsid w:val="008B5973"/>
    <w:rsid w:val="008B6E42"/>
    <w:rsid w:val="008C4835"/>
    <w:rsid w:val="008D045E"/>
    <w:rsid w:val="008D3F25"/>
    <w:rsid w:val="008D4C4A"/>
    <w:rsid w:val="008D4D82"/>
    <w:rsid w:val="008E0E46"/>
    <w:rsid w:val="008E4C29"/>
    <w:rsid w:val="008E4DD5"/>
    <w:rsid w:val="008E7116"/>
    <w:rsid w:val="008F143B"/>
    <w:rsid w:val="008F3882"/>
    <w:rsid w:val="008F4499"/>
    <w:rsid w:val="008F4B7C"/>
    <w:rsid w:val="008F7AD9"/>
    <w:rsid w:val="00900D30"/>
    <w:rsid w:val="00906A76"/>
    <w:rsid w:val="009109FD"/>
    <w:rsid w:val="00911006"/>
    <w:rsid w:val="0091484D"/>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061"/>
    <w:rsid w:val="009822AC"/>
    <w:rsid w:val="0098592B"/>
    <w:rsid w:val="00985FC4"/>
    <w:rsid w:val="00987197"/>
    <w:rsid w:val="00990766"/>
    <w:rsid w:val="00991261"/>
    <w:rsid w:val="009912B5"/>
    <w:rsid w:val="0099551A"/>
    <w:rsid w:val="00995F45"/>
    <w:rsid w:val="009964C4"/>
    <w:rsid w:val="009A2E32"/>
    <w:rsid w:val="009A7B81"/>
    <w:rsid w:val="009B1F85"/>
    <w:rsid w:val="009B480C"/>
    <w:rsid w:val="009B6F8B"/>
    <w:rsid w:val="009C1DEB"/>
    <w:rsid w:val="009C22D9"/>
    <w:rsid w:val="009C245D"/>
    <w:rsid w:val="009C3B36"/>
    <w:rsid w:val="009D01C0"/>
    <w:rsid w:val="009D42E8"/>
    <w:rsid w:val="009D6A08"/>
    <w:rsid w:val="009D72CA"/>
    <w:rsid w:val="009E0A16"/>
    <w:rsid w:val="009E6CB7"/>
    <w:rsid w:val="009E7970"/>
    <w:rsid w:val="009F1DD3"/>
    <w:rsid w:val="009F215A"/>
    <w:rsid w:val="009F2EAC"/>
    <w:rsid w:val="009F57E3"/>
    <w:rsid w:val="00A03FDE"/>
    <w:rsid w:val="00A05149"/>
    <w:rsid w:val="00A10F4F"/>
    <w:rsid w:val="00A11067"/>
    <w:rsid w:val="00A1704A"/>
    <w:rsid w:val="00A2015C"/>
    <w:rsid w:val="00A33F67"/>
    <w:rsid w:val="00A375EC"/>
    <w:rsid w:val="00A37B39"/>
    <w:rsid w:val="00A425EB"/>
    <w:rsid w:val="00A50DC5"/>
    <w:rsid w:val="00A51820"/>
    <w:rsid w:val="00A53B76"/>
    <w:rsid w:val="00A66932"/>
    <w:rsid w:val="00A66E77"/>
    <w:rsid w:val="00A715B6"/>
    <w:rsid w:val="00A725BF"/>
    <w:rsid w:val="00A72F22"/>
    <w:rsid w:val="00A733BC"/>
    <w:rsid w:val="00A748A6"/>
    <w:rsid w:val="00A7492A"/>
    <w:rsid w:val="00A76A69"/>
    <w:rsid w:val="00A80A27"/>
    <w:rsid w:val="00A879A4"/>
    <w:rsid w:val="00A9769E"/>
    <w:rsid w:val="00AA0FF8"/>
    <w:rsid w:val="00AA63BF"/>
    <w:rsid w:val="00AB134D"/>
    <w:rsid w:val="00AC0F2C"/>
    <w:rsid w:val="00AC502A"/>
    <w:rsid w:val="00AC7516"/>
    <w:rsid w:val="00AC75B7"/>
    <w:rsid w:val="00AC776A"/>
    <w:rsid w:val="00AD1E81"/>
    <w:rsid w:val="00AD5224"/>
    <w:rsid w:val="00AD68E0"/>
    <w:rsid w:val="00AE3044"/>
    <w:rsid w:val="00AE3443"/>
    <w:rsid w:val="00AE67A8"/>
    <w:rsid w:val="00AF58C1"/>
    <w:rsid w:val="00B0152A"/>
    <w:rsid w:val="00B04A3F"/>
    <w:rsid w:val="00B06643"/>
    <w:rsid w:val="00B105AE"/>
    <w:rsid w:val="00B15055"/>
    <w:rsid w:val="00B17F9E"/>
    <w:rsid w:val="00B20551"/>
    <w:rsid w:val="00B23A30"/>
    <w:rsid w:val="00B30179"/>
    <w:rsid w:val="00B33898"/>
    <w:rsid w:val="00B33FC7"/>
    <w:rsid w:val="00B37B15"/>
    <w:rsid w:val="00B401E4"/>
    <w:rsid w:val="00B40290"/>
    <w:rsid w:val="00B423E4"/>
    <w:rsid w:val="00B45943"/>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439"/>
    <w:rsid w:val="00BA0C02"/>
    <w:rsid w:val="00BA339B"/>
    <w:rsid w:val="00BB6BEC"/>
    <w:rsid w:val="00BC1E7E"/>
    <w:rsid w:val="00BC3BE9"/>
    <w:rsid w:val="00BC74E9"/>
    <w:rsid w:val="00BD00BA"/>
    <w:rsid w:val="00BD2307"/>
    <w:rsid w:val="00BD519A"/>
    <w:rsid w:val="00BE1EA4"/>
    <w:rsid w:val="00BE36A9"/>
    <w:rsid w:val="00BE618E"/>
    <w:rsid w:val="00BE7BEC"/>
    <w:rsid w:val="00BF071A"/>
    <w:rsid w:val="00BF0A5A"/>
    <w:rsid w:val="00BF0E63"/>
    <w:rsid w:val="00BF12A3"/>
    <w:rsid w:val="00BF13B9"/>
    <w:rsid w:val="00BF15AF"/>
    <w:rsid w:val="00BF16D7"/>
    <w:rsid w:val="00BF2373"/>
    <w:rsid w:val="00BF6F61"/>
    <w:rsid w:val="00C01DBD"/>
    <w:rsid w:val="00C044E2"/>
    <w:rsid w:val="00C048CB"/>
    <w:rsid w:val="00C06575"/>
    <w:rsid w:val="00C066F3"/>
    <w:rsid w:val="00C06D6A"/>
    <w:rsid w:val="00C11CDD"/>
    <w:rsid w:val="00C120F2"/>
    <w:rsid w:val="00C14EA4"/>
    <w:rsid w:val="00C172C8"/>
    <w:rsid w:val="00C226CE"/>
    <w:rsid w:val="00C26233"/>
    <w:rsid w:val="00C31337"/>
    <w:rsid w:val="00C31681"/>
    <w:rsid w:val="00C3268B"/>
    <w:rsid w:val="00C35AD0"/>
    <w:rsid w:val="00C463DD"/>
    <w:rsid w:val="00C5379E"/>
    <w:rsid w:val="00C555B8"/>
    <w:rsid w:val="00C6124E"/>
    <w:rsid w:val="00C61A27"/>
    <w:rsid w:val="00C63266"/>
    <w:rsid w:val="00C63E18"/>
    <w:rsid w:val="00C6530C"/>
    <w:rsid w:val="00C701AD"/>
    <w:rsid w:val="00C72190"/>
    <w:rsid w:val="00C745C3"/>
    <w:rsid w:val="00C81E40"/>
    <w:rsid w:val="00C84EF4"/>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B3B"/>
    <w:rsid w:val="00D20CE1"/>
    <w:rsid w:val="00D25FE2"/>
    <w:rsid w:val="00D31DE0"/>
    <w:rsid w:val="00D36C78"/>
    <w:rsid w:val="00D37DA9"/>
    <w:rsid w:val="00D406A7"/>
    <w:rsid w:val="00D43252"/>
    <w:rsid w:val="00D44D86"/>
    <w:rsid w:val="00D45DA0"/>
    <w:rsid w:val="00D50B7D"/>
    <w:rsid w:val="00D52012"/>
    <w:rsid w:val="00D55493"/>
    <w:rsid w:val="00D56ABD"/>
    <w:rsid w:val="00D57D04"/>
    <w:rsid w:val="00D63F62"/>
    <w:rsid w:val="00D704E5"/>
    <w:rsid w:val="00D72727"/>
    <w:rsid w:val="00D7486F"/>
    <w:rsid w:val="00D77EE2"/>
    <w:rsid w:val="00D922A3"/>
    <w:rsid w:val="00D978C6"/>
    <w:rsid w:val="00DA06BA"/>
    <w:rsid w:val="00DA0956"/>
    <w:rsid w:val="00DA1766"/>
    <w:rsid w:val="00DA21C5"/>
    <w:rsid w:val="00DA3272"/>
    <w:rsid w:val="00DA357F"/>
    <w:rsid w:val="00DA3E12"/>
    <w:rsid w:val="00DA5336"/>
    <w:rsid w:val="00DA545A"/>
    <w:rsid w:val="00DA5948"/>
    <w:rsid w:val="00DB74FE"/>
    <w:rsid w:val="00DB7AA6"/>
    <w:rsid w:val="00DC18AD"/>
    <w:rsid w:val="00DD0BFF"/>
    <w:rsid w:val="00DD5550"/>
    <w:rsid w:val="00DE1BCC"/>
    <w:rsid w:val="00DF61DE"/>
    <w:rsid w:val="00DF7CAE"/>
    <w:rsid w:val="00DF7F7D"/>
    <w:rsid w:val="00E10765"/>
    <w:rsid w:val="00E1425B"/>
    <w:rsid w:val="00E226B4"/>
    <w:rsid w:val="00E22D5B"/>
    <w:rsid w:val="00E23EB6"/>
    <w:rsid w:val="00E24586"/>
    <w:rsid w:val="00E277FB"/>
    <w:rsid w:val="00E339C7"/>
    <w:rsid w:val="00E37D87"/>
    <w:rsid w:val="00E41634"/>
    <w:rsid w:val="00E423C0"/>
    <w:rsid w:val="00E4440C"/>
    <w:rsid w:val="00E4753A"/>
    <w:rsid w:val="00E47B1F"/>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D7C0C"/>
    <w:rsid w:val="00EE21BC"/>
    <w:rsid w:val="00EE2E61"/>
    <w:rsid w:val="00EF1D7F"/>
    <w:rsid w:val="00EF4A03"/>
    <w:rsid w:val="00F0137E"/>
    <w:rsid w:val="00F03E94"/>
    <w:rsid w:val="00F112C6"/>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A4EBC"/>
    <w:rsid w:val="00FB3617"/>
    <w:rsid w:val="00FB4B3C"/>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customStyle="1" w:styleId="ui-provider">
    <w:name w:val="ui-provider"/>
    <w:basedOn w:val="DefaultParagraphFont"/>
    <w:rsid w:val="001A7197"/>
  </w:style>
  <w:style w:type="paragraph" w:styleId="Revision">
    <w:name w:val="Revision"/>
    <w:hidden/>
    <w:uiPriority w:val="99"/>
    <w:semiHidden/>
    <w:rsid w:val="00824618"/>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DED8225-5BEF-4727-B0B5-6199FBF9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745</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ND</cp:lastModifiedBy>
  <cp:revision>47</cp:revision>
  <cp:lastPrinted>2023-01-25T20:50:00Z</cp:lastPrinted>
  <dcterms:created xsi:type="dcterms:W3CDTF">2023-07-07T10:51:00Z</dcterms:created>
  <dcterms:modified xsi:type="dcterms:W3CDTF">2023-07-07T14:45:00Z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