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45864CE"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243B13">
              <w:rPr>
                <w:b/>
                <w:sz w:val="40"/>
                <w:szCs w:val="40"/>
              </w:rPr>
              <w:t>47</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59A378A6"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243B13">
              <w:rPr>
                <w:b/>
              </w:rPr>
              <w:t>6 July</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01A8D2CA"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A94FF9">
              <w:t>2</w:t>
            </w:r>
            <w:r w:rsidR="00540532" w:rsidRPr="0099520A">
              <w:t xml:space="preserve"> </w:t>
            </w:r>
            <w:r w:rsidRPr="0099520A">
              <w:t>of the provisional agenda</w:t>
            </w:r>
            <w:r w:rsidRPr="0099520A">
              <w:br/>
            </w:r>
            <w:r w:rsidR="00A94FF9" w:rsidRPr="007F14EF">
              <w:rPr>
                <w:b/>
                <w:bCs/>
                <w:lang w:val="en-US"/>
              </w:rPr>
              <w:t>Explosives and related matters</w:t>
            </w:r>
          </w:p>
        </w:tc>
      </w:tr>
    </w:tbl>
    <w:p w14:paraId="53DA9904" w14:textId="77777777" w:rsidR="001C2639" w:rsidRPr="007F14EF" w:rsidRDefault="00A53982" w:rsidP="001C2639">
      <w:pPr>
        <w:pStyle w:val="HChG"/>
        <w:rPr>
          <w:lang w:val="en-US"/>
        </w:rPr>
      </w:pPr>
      <w:r w:rsidRPr="0099520A">
        <w:rPr>
          <w:rFonts w:eastAsia="Arial Unicode MS"/>
          <w:lang w:val="en-GB"/>
        </w:rPr>
        <w:tab/>
      </w:r>
      <w:r w:rsidRPr="0099520A">
        <w:rPr>
          <w:rFonts w:eastAsia="Arial Unicode MS"/>
          <w:lang w:val="en-GB"/>
        </w:rPr>
        <w:tab/>
      </w:r>
      <w:r w:rsidR="001C2639" w:rsidRPr="007F14EF">
        <w:rPr>
          <w:lang w:val="en-US"/>
        </w:rPr>
        <w:t>Report of the Working Group on Explosives</w:t>
      </w:r>
    </w:p>
    <w:p w14:paraId="042D1688" w14:textId="77777777" w:rsidR="001C2639" w:rsidRPr="007F14EF" w:rsidRDefault="001C2639" w:rsidP="001C2639">
      <w:pPr>
        <w:pStyle w:val="H1G"/>
        <w:rPr>
          <w:lang w:val="en-US"/>
        </w:rPr>
      </w:pPr>
      <w:r w:rsidRPr="007F14EF">
        <w:rPr>
          <w:lang w:val="en-US"/>
        </w:rPr>
        <w:tab/>
      </w:r>
      <w:r w:rsidRPr="007F14EF">
        <w:rPr>
          <w:lang w:val="en-US"/>
        </w:rPr>
        <w:tab/>
        <w:t>Transmitted by the Chair of the Working Group</w:t>
      </w:r>
    </w:p>
    <w:p w14:paraId="50C61E58" w14:textId="77777777" w:rsidR="001C2639" w:rsidRPr="007F14EF" w:rsidRDefault="001C2639" w:rsidP="001C2639">
      <w:pPr>
        <w:pStyle w:val="HChG"/>
        <w:rPr>
          <w:lang w:val="en-US"/>
        </w:rPr>
      </w:pPr>
      <w:r w:rsidRPr="007F14EF">
        <w:rPr>
          <w:lang w:val="en-US"/>
        </w:rPr>
        <w:tab/>
      </w:r>
      <w:r w:rsidRPr="007F14EF">
        <w:rPr>
          <w:lang w:val="en-US"/>
        </w:rPr>
        <w:tab/>
        <w:t>Introduction</w:t>
      </w:r>
    </w:p>
    <w:p w14:paraId="5B8705FC" w14:textId="77777777" w:rsidR="001C2639" w:rsidRPr="0038390D" w:rsidRDefault="001C2639" w:rsidP="003C5ADC">
      <w:pPr>
        <w:pStyle w:val="SingleTxtG"/>
        <w:numPr>
          <w:ilvl w:val="0"/>
          <w:numId w:val="18"/>
        </w:numPr>
        <w:spacing w:line="240" w:lineRule="auto"/>
        <w:ind w:right="39"/>
        <w:rPr>
          <w:lang w:val="en-US"/>
        </w:rPr>
      </w:pPr>
      <w:r w:rsidRPr="0038390D">
        <w:rPr>
          <w:lang w:val="en-US"/>
        </w:rPr>
        <w:t>The working group met from 3 – 6 July 2023 in a parallel session to the plenary meeting of the Sub-Committee of Experts on the Transport of Dangerous Goods. This meeting of the working group was well attended, with 36 experts in attendance from Belgium, Canada, China, France, Germany, Japan, Netherlands, Republic of Korea,  Spain, Sweden, United Kingdom, United States of America, Australasian Explosives Industry Safety Group (AEISG), Council on Safe Transportation of Hazardous Articles (COSTHA), European Chemical Industry Council (CEFIC), Institute of Makers of Explosives (IME), Responsible Packaging Management Association of South Africa (RPMASA), and Sporting Arms and Ammunition Manufacturers' Institute (SAAMI). Annex 1 of this report provides a list of participants.  The group was tasked to discuss technical matters related to official papers and to discuss informal papers as time allowed.  Mr. Ed de Jong (Netherlands) served as chair of the working group, and Dr. Joshua Hoffman (IME) as secretariat.</w:t>
      </w:r>
    </w:p>
    <w:p w14:paraId="65FD8397" w14:textId="77777777" w:rsidR="001C2639" w:rsidRPr="007F14EF" w:rsidRDefault="001C2639" w:rsidP="003C5ADC">
      <w:pPr>
        <w:pStyle w:val="SingleTxtG"/>
        <w:numPr>
          <w:ilvl w:val="0"/>
          <w:numId w:val="18"/>
        </w:numPr>
        <w:spacing w:line="240" w:lineRule="auto"/>
        <w:ind w:right="1"/>
        <w:rPr>
          <w:lang w:val="en-US"/>
        </w:rPr>
      </w:pPr>
      <w:r w:rsidRPr="007F14EF">
        <w:rPr>
          <w:lang w:val="en-US"/>
        </w:rPr>
        <w:t>Throughout this report, the following abbreviations may be used:</w:t>
      </w:r>
    </w:p>
    <w:p w14:paraId="49AE190A" w14:textId="77777777" w:rsidR="001C2639" w:rsidRPr="007F14EF" w:rsidRDefault="001C2639" w:rsidP="0089553B">
      <w:pPr>
        <w:pStyle w:val="Bullet1G"/>
        <w:rPr>
          <w:lang w:val="en-US"/>
        </w:rPr>
      </w:pPr>
      <w:r w:rsidRPr="007F14EF">
        <w:rPr>
          <w:lang w:val="en-US"/>
        </w:rPr>
        <w:t>DGL – Dangerous Goods List</w:t>
      </w:r>
    </w:p>
    <w:p w14:paraId="37035EAA" w14:textId="77777777" w:rsidR="001C2639" w:rsidRPr="007F14EF" w:rsidRDefault="001C2639" w:rsidP="0089553B">
      <w:pPr>
        <w:pStyle w:val="Bullet1G"/>
        <w:rPr>
          <w:lang w:val="en-US"/>
        </w:rPr>
      </w:pPr>
      <w:r w:rsidRPr="007F14EF">
        <w:rPr>
          <w:lang w:val="en-US"/>
        </w:rPr>
        <w:t>EWG – Working Group on Explosives</w:t>
      </w:r>
    </w:p>
    <w:p w14:paraId="175364EB" w14:textId="77777777" w:rsidR="001C2639" w:rsidRPr="007F14EF" w:rsidRDefault="001C2639" w:rsidP="0089553B">
      <w:pPr>
        <w:pStyle w:val="Bullet1G"/>
        <w:rPr>
          <w:lang w:val="en-US"/>
        </w:rPr>
      </w:pPr>
      <w:r w:rsidRPr="007F14EF">
        <w:rPr>
          <w:lang w:val="en-US"/>
        </w:rPr>
        <w:t>GHS – Globally Harmonized System</w:t>
      </w:r>
    </w:p>
    <w:p w14:paraId="755357F2" w14:textId="77777777" w:rsidR="001C2639" w:rsidRPr="007F14EF" w:rsidRDefault="001C2639" w:rsidP="0089553B">
      <w:pPr>
        <w:pStyle w:val="Bullet1G"/>
        <w:rPr>
          <w:lang w:val="en-US"/>
        </w:rPr>
      </w:pPr>
      <w:r w:rsidRPr="007F14EF">
        <w:rPr>
          <w:lang w:val="en-US"/>
        </w:rPr>
        <w:t>ICG – Informal Correspondence Group</w:t>
      </w:r>
    </w:p>
    <w:p w14:paraId="1961D12F" w14:textId="77777777" w:rsidR="001C2639" w:rsidRPr="007F14EF" w:rsidRDefault="001C2639" w:rsidP="0089553B">
      <w:pPr>
        <w:pStyle w:val="Bullet1G"/>
        <w:rPr>
          <w:lang w:val="en-US"/>
        </w:rPr>
      </w:pPr>
      <w:r>
        <w:rPr>
          <w:lang w:val="en-US"/>
        </w:rPr>
        <w:t>UN</w:t>
      </w:r>
      <w:r w:rsidRPr="007F14EF">
        <w:rPr>
          <w:lang w:val="en-US"/>
        </w:rPr>
        <w:t>MR –</w:t>
      </w:r>
      <w:r>
        <w:rPr>
          <w:lang w:val="en-US"/>
        </w:rPr>
        <w:t xml:space="preserve"> United Nations</w:t>
      </w:r>
      <w:r w:rsidRPr="007F14EF">
        <w:rPr>
          <w:lang w:val="en-US"/>
        </w:rPr>
        <w:t xml:space="preserve"> Model Regulations</w:t>
      </w:r>
    </w:p>
    <w:p w14:paraId="58A2ABB3" w14:textId="77777777" w:rsidR="001C2639" w:rsidRPr="007F14EF" w:rsidRDefault="001C2639" w:rsidP="0089553B">
      <w:pPr>
        <w:pStyle w:val="Bullet1G"/>
        <w:rPr>
          <w:lang w:val="en-US"/>
        </w:rPr>
      </w:pPr>
      <w:r w:rsidRPr="007F14EF">
        <w:rPr>
          <w:lang w:val="en-US"/>
        </w:rPr>
        <w:t>MTC – Manual of Tests and Criteria</w:t>
      </w:r>
    </w:p>
    <w:p w14:paraId="73A1D1A2" w14:textId="77777777" w:rsidR="001C2639" w:rsidRPr="007F14EF" w:rsidRDefault="001C2639" w:rsidP="0089553B">
      <w:pPr>
        <w:pStyle w:val="Bullet1G"/>
        <w:rPr>
          <w:lang w:val="en-US"/>
        </w:rPr>
      </w:pPr>
      <w:r w:rsidRPr="007F14EF">
        <w:rPr>
          <w:lang w:val="en-US"/>
        </w:rPr>
        <w:t>TDG – Transport of Dangerous Goods</w:t>
      </w:r>
    </w:p>
    <w:p w14:paraId="21F42B5D" w14:textId="77777777" w:rsidR="001C2639" w:rsidRPr="007F14EF" w:rsidRDefault="001C2639" w:rsidP="003C5ADC">
      <w:pPr>
        <w:pStyle w:val="SingleTxtG"/>
        <w:numPr>
          <w:ilvl w:val="0"/>
          <w:numId w:val="18"/>
        </w:numPr>
        <w:spacing w:before="240" w:line="240" w:lineRule="auto"/>
        <w:ind w:right="43"/>
        <w:rPr>
          <w:lang w:val="en-US"/>
        </w:rPr>
      </w:pPr>
      <w:r w:rsidRPr="007F14EF">
        <w:rPr>
          <w:lang w:val="en-US"/>
        </w:rPr>
        <w:t>As described below, the following documents identified in agenda item</w:t>
      </w:r>
      <w:r w:rsidRPr="0038390D">
        <w:rPr>
          <w:lang w:val="en-US"/>
        </w:rPr>
        <w:t>s 2 and 6 of</w:t>
      </w:r>
      <w:r w:rsidRPr="007F14EF">
        <w:rPr>
          <w:lang w:val="en-US"/>
        </w:rPr>
        <w:t xml:space="preserve"> the revised provisional agenda for the 62</w:t>
      </w:r>
      <w:r w:rsidRPr="007F14EF">
        <w:rPr>
          <w:vertAlign w:val="superscript"/>
          <w:lang w:val="en-US"/>
        </w:rPr>
        <w:t>nd</w:t>
      </w:r>
      <w:r w:rsidRPr="007F14EF">
        <w:rPr>
          <w:lang w:val="en-US"/>
        </w:rPr>
        <w:t xml:space="preserve"> session</w:t>
      </w:r>
      <w:r w:rsidRPr="007F14EF">
        <w:rPr>
          <w:rStyle w:val="FootnoteReference"/>
          <w:lang w:val="en-US"/>
        </w:rPr>
        <w:footnoteReference w:id="2"/>
      </w:r>
      <w:r w:rsidRPr="007F14EF">
        <w:rPr>
          <w:lang w:val="en-US"/>
        </w:rPr>
        <w:t xml:space="preserve"> were considered for discussion.</w:t>
      </w:r>
    </w:p>
    <w:tbl>
      <w:tblPr>
        <w:tblW w:w="8952" w:type="dxa"/>
        <w:tblInd w:w="1108" w:type="dxa"/>
        <w:tblCellMar>
          <w:top w:w="29" w:type="dxa"/>
          <w:left w:w="115" w:type="dxa"/>
          <w:bottom w:w="29" w:type="dxa"/>
          <w:right w:w="115" w:type="dxa"/>
        </w:tblCellMar>
        <w:tblLook w:val="04A0" w:firstRow="1" w:lastRow="0" w:firstColumn="1" w:lastColumn="0" w:noHBand="0" w:noVBand="1"/>
      </w:tblPr>
      <w:tblGrid>
        <w:gridCol w:w="2905"/>
        <w:gridCol w:w="4236"/>
        <w:gridCol w:w="1561"/>
        <w:gridCol w:w="250"/>
      </w:tblGrid>
      <w:tr w:rsidR="001C2639" w:rsidRPr="007F14EF" w14:paraId="74CF2999" w14:textId="77777777" w:rsidTr="00C57B5A">
        <w:trPr>
          <w:gridAfter w:val="1"/>
          <w:wAfter w:w="250" w:type="dxa"/>
          <w:cantSplit/>
          <w:trHeight w:val="255"/>
          <w:tblHeader/>
        </w:trPr>
        <w:tc>
          <w:tcPr>
            <w:tcW w:w="2905" w:type="dxa"/>
            <w:hideMark/>
          </w:tcPr>
          <w:p w14:paraId="2F305DD6" w14:textId="77777777" w:rsidR="001C2639" w:rsidRPr="007F14EF" w:rsidRDefault="001C2639" w:rsidP="00C57B5A">
            <w:pPr>
              <w:keepNext/>
              <w:suppressAutoHyphens w:val="0"/>
              <w:spacing w:line="240" w:lineRule="auto"/>
              <w:ind w:left="216" w:hanging="216"/>
              <w:rPr>
                <w:b/>
                <w:bCs/>
                <w:lang w:val="en-US"/>
              </w:rPr>
            </w:pPr>
            <w:r w:rsidRPr="007F14EF">
              <w:rPr>
                <w:b/>
                <w:bCs/>
                <w:lang w:val="en-US"/>
              </w:rPr>
              <w:lastRenderedPageBreak/>
              <w:t>Document</w:t>
            </w:r>
          </w:p>
        </w:tc>
        <w:tc>
          <w:tcPr>
            <w:tcW w:w="4236" w:type="dxa"/>
            <w:hideMark/>
          </w:tcPr>
          <w:p w14:paraId="6D8CA66B" w14:textId="77777777" w:rsidR="001C2639" w:rsidRPr="007F14EF" w:rsidRDefault="001C2639" w:rsidP="00C57B5A">
            <w:pPr>
              <w:suppressAutoHyphens w:val="0"/>
              <w:spacing w:line="240" w:lineRule="auto"/>
              <w:ind w:left="264" w:hanging="264"/>
              <w:rPr>
                <w:b/>
                <w:bCs/>
                <w:lang w:val="en-US"/>
              </w:rPr>
            </w:pPr>
            <w:r w:rsidRPr="007F14EF">
              <w:rPr>
                <w:b/>
                <w:bCs/>
                <w:lang w:val="en-US"/>
              </w:rPr>
              <w:t>Title</w:t>
            </w:r>
          </w:p>
        </w:tc>
        <w:tc>
          <w:tcPr>
            <w:tcW w:w="1561" w:type="dxa"/>
            <w:hideMark/>
          </w:tcPr>
          <w:p w14:paraId="47D9423E" w14:textId="77777777" w:rsidR="001C2639" w:rsidRPr="007F14EF" w:rsidRDefault="001C2639" w:rsidP="00C57B5A">
            <w:pPr>
              <w:suppressAutoHyphens w:val="0"/>
              <w:spacing w:line="240" w:lineRule="auto"/>
              <w:ind w:left="264" w:hanging="264"/>
              <w:jc w:val="center"/>
              <w:rPr>
                <w:b/>
                <w:bCs/>
                <w:lang w:val="en-US"/>
              </w:rPr>
            </w:pPr>
            <w:r w:rsidRPr="007F14EF">
              <w:rPr>
                <w:b/>
                <w:bCs/>
                <w:lang w:val="en-US"/>
              </w:rPr>
              <w:t>Paragraph</w:t>
            </w:r>
          </w:p>
        </w:tc>
      </w:tr>
      <w:tr w:rsidR="001C2639" w:rsidRPr="007F14EF" w14:paraId="6701B4F9" w14:textId="77777777" w:rsidTr="00C57B5A">
        <w:trPr>
          <w:gridAfter w:val="1"/>
          <w:wAfter w:w="250" w:type="dxa"/>
          <w:cantSplit/>
          <w:trHeight w:val="20"/>
        </w:trPr>
        <w:tc>
          <w:tcPr>
            <w:tcW w:w="2905" w:type="dxa"/>
            <w:shd w:val="clear" w:color="auto" w:fill="E6E6E6"/>
            <w:hideMark/>
          </w:tcPr>
          <w:p w14:paraId="4A7BD40F" w14:textId="77777777" w:rsidR="001C2639" w:rsidRPr="00E4539D" w:rsidRDefault="001C2639" w:rsidP="00C57B5A">
            <w:pPr>
              <w:keepNext/>
              <w:suppressAutoHyphens w:val="0"/>
              <w:spacing w:line="240" w:lineRule="auto"/>
              <w:ind w:left="216" w:hanging="216"/>
              <w:rPr>
                <w:iCs/>
                <w:u w:val="single"/>
                <w:lang w:val="en-US"/>
              </w:rPr>
            </w:pPr>
            <w:r w:rsidRPr="00E4539D">
              <w:rPr>
                <w:iCs/>
                <w:u w:val="single"/>
                <w:lang w:val="en-US"/>
              </w:rPr>
              <w:t>Agenda Item 2(a)</w:t>
            </w:r>
          </w:p>
        </w:tc>
        <w:tc>
          <w:tcPr>
            <w:tcW w:w="4236" w:type="dxa"/>
            <w:shd w:val="clear" w:color="auto" w:fill="E6E6E6"/>
            <w:hideMark/>
          </w:tcPr>
          <w:p w14:paraId="0B83187F" w14:textId="77777777" w:rsidR="001C2639" w:rsidRPr="00E4539D" w:rsidRDefault="001C2639" w:rsidP="00C57B5A">
            <w:pPr>
              <w:suppressAutoHyphens w:val="0"/>
              <w:spacing w:line="240" w:lineRule="auto"/>
              <w:rPr>
                <w:iCs/>
                <w:u w:val="single"/>
                <w:lang w:val="en-US"/>
              </w:rPr>
            </w:pPr>
            <w:r w:rsidRPr="00E4539D">
              <w:rPr>
                <w:iCs/>
                <w:u w:val="single"/>
                <w:lang w:val="en-US"/>
              </w:rPr>
              <w:t>Review of Test Series 6</w:t>
            </w:r>
          </w:p>
        </w:tc>
        <w:tc>
          <w:tcPr>
            <w:tcW w:w="1561" w:type="dxa"/>
            <w:shd w:val="clear" w:color="auto" w:fill="E6E6E6"/>
          </w:tcPr>
          <w:p w14:paraId="3F4F79D5" w14:textId="77777777" w:rsidR="001C2639" w:rsidRPr="00E4539D" w:rsidRDefault="001C2639" w:rsidP="00C57B5A">
            <w:pPr>
              <w:suppressAutoHyphens w:val="0"/>
              <w:spacing w:line="240" w:lineRule="auto"/>
              <w:jc w:val="center"/>
              <w:rPr>
                <w:iCs/>
                <w:lang w:val="en-US"/>
              </w:rPr>
            </w:pPr>
          </w:p>
        </w:tc>
      </w:tr>
      <w:tr w:rsidR="001C2639" w:rsidRPr="007F14EF" w14:paraId="07542BAB" w14:textId="77777777" w:rsidTr="00C57B5A">
        <w:trPr>
          <w:gridAfter w:val="1"/>
          <w:wAfter w:w="250" w:type="dxa"/>
          <w:cantSplit/>
          <w:trHeight w:val="20"/>
        </w:trPr>
        <w:tc>
          <w:tcPr>
            <w:tcW w:w="2905" w:type="dxa"/>
            <w:hideMark/>
          </w:tcPr>
          <w:p w14:paraId="47889111" w14:textId="77777777" w:rsidR="001C2639" w:rsidRPr="00E4539D" w:rsidRDefault="001C2639" w:rsidP="00C57B5A">
            <w:pPr>
              <w:suppressAutoHyphens w:val="0"/>
              <w:spacing w:line="240" w:lineRule="auto"/>
              <w:rPr>
                <w:i/>
                <w:iCs/>
                <w:lang w:val="en-US"/>
              </w:rPr>
            </w:pPr>
            <w:r w:rsidRPr="00E4539D">
              <w:rPr>
                <w:i/>
                <w:iCs/>
                <w:lang w:val="en-US"/>
              </w:rPr>
              <w:t xml:space="preserve">ST/SG/AC.10/C.3/2023/26 (COSTHA, SAAMI), </w:t>
            </w:r>
          </w:p>
          <w:p w14:paraId="5D32267F" w14:textId="77777777" w:rsidR="001C2639" w:rsidRPr="00086D1B" w:rsidRDefault="001C2639" w:rsidP="00C57B5A">
            <w:pPr>
              <w:suppressAutoHyphens w:val="0"/>
              <w:spacing w:line="240" w:lineRule="auto"/>
              <w:rPr>
                <w:i/>
                <w:iCs/>
                <w:lang w:val="fr-FR"/>
              </w:rPr>
            </w:pPr>
            <w:r w:rsidRPr="00086D1B">
              <w:rPr>
                <w:i/>
                <w:iCs/>
                <w:lang w:val="fr-FR"/>
              </w:rPr>
              <w:t>UN/SCETD</w:t>
            </w:r>
            <w:r>
              <w:rPr>
                <w:i/>
                <w:iCs/>
                <w:lang w:val="fr-FR"/>
              </w:rPr>
              <w:t>G</w:t>
            </w:r>
            <w:r w:rsidRPr="00086D1B">
              <w:rPr>
                <w:i/>
                <w:iCs/>
                <w:lang w:val="fr-FR"/>
              </w:rPr>
              <w:t>/62.INF.25 (SAAMI),</w:t>
            </w:r>
          </w:p>
          <w:p w14:paraId="67FBB080" w14:textId="77777777" w:rsidR="001C2639" w:rsidRPr="00086D1B" w:rsidRDefault="001C2639" w:rsidP="00C57B5A">
            <w:pPr>
              <w:suppressAutoHyphens w:val="0"/>
              <w:spacing w:line="240" w:lineRule="auto"/>
              <w:rPr>
                <w:i/>
                <w:iCs/>
                <w:lang w:val="fr-FR"/>
              </w:rPr>
            </w:pPr>
            <w:r w:rsidRPr="00086D1B">
              <w:rPr>
                <w:i/>
                <w:iCs/>
                <w:lang w:val="fr-FR"/>
              </w:rPr>
              <w:t>UN/SCETD</w:t>
            </w:r>
            <w:r>
              <w:rPr>
                <w:i/>
                <w:iCs/>
                <w:lang w:val="fr-FR"/>
              </w:rPr>
              <w:t>G</w:t>
            </w:r>
            <w:r w:rsidRPr="00086D1B">
              <w:rPr>
                <w:i/>
                <w:iCs/>
                <w:lang w:val="fr-FR"/>
              </w:rPr>
              <w:t>/62.INF.27 (SAAMI),</w:t>
            </w:r>
          </w:p>
          <w:p w14:paraId="3DAEFA96" w14:textId="77777777" w:rsidR="001C2639" w:rsidRPr="00086D1B" w:rsidRDefault="001C2639" w:rsidP="00C57B5A">
            <w:pPr>
              <w:suppressAutoHyphens w:val="0"/>
              <w:spacing w:line="240" w:lineRule="auto"/>
              <w:rPr>
                <w:i/>
                <w:iCs/>
                <w:lang w:val="fr-FR"/>
              </w:rPr>
            </w:pPr>
            <w:r w:rsidRPr="00086D1B">
              <w:rPr>
                <w:i/>
                <w:iCs/>
                <w:lang w:val="fr-FR"/>
              </w:rPr>
              <w:t>UN/SCETDG/62/INF.31 (COSTHA), UN/SCETDG/62/INF.32</w:t>
            </w:r>
          </w:p>
          <w:p w14:paraId="7CD02F65" w14:textId="77777777" w:rsidR="001C2639" w:rsidRPr="00E4539D" w:rsidRDefault="001C2639" w:rsidP="00C57B5A">
            <w:pPr>
              <w:suppressAutoHyphens w:val="0"/>
              <w:spacing w:line="240" w:lineRule="auto"/>
              <w:rPr>
                <w:i/>
                <w:iCs/>
                <w:lang w:val="en-US"/>
              </w:rPr>
            </w:pPr>
            <w:r w:rsidRPr="00E4539D">
              <w:rPr>
                <w:i/>
                <w:iCs/>
                <w:lang w:val="en-US"/>
              </w:rPr>
              <w:t>(COSTHA, SAAMI)</w:t>
            </w:r>
          </w:p>
        </w:tc>
        <w:tc>
          <w:tcPr>
            <w:tcW w:w="4236" w:type="dxa"/>
          </w:tcPr>
          <w:p w14:paraId="59B72CE7" w14:textId="77777777" w:rsidR="001C2639" w:rsidRPr="00E4539D" w:rsidRDefault="001C2639" w:rsidP="00C57B5A">
            <w:pPr>
              <w:suppressAutoHyphens w:val="0"/>
              <w:spacing w:line="240" w:lineRule="auto"/>
              <w:rPr>
                <w:i/>
                <w:iCs/>
                <w:lang w:val="en-US"/>
              </w:rPr>
            </w:pPr>
            <w:r w:rsidRPr="00E4539D">
              <w:rPr>
                <w:lang w:val="en-US"/>
              </w:rPr>
              <w:t>Research in relation to exit from Class 1 and test 6 (d)</w:t>
            </w:r>
          </w:p>
        </w:tc>
        <w:tc>
          <w:tcPr>
            <w:tcW w:w="1561" w:type="dxa"/>
            <w:hideMark/>
          </w:tcPr>
          <w:p w14:paraId="63427375" w14:textId="77777777" w:rsidR="001C2639" w:rsidRPr="00E4539D" w:rsidRDefault="001C2639" w:rsidP="00C57B5A">
            <w:pPr>
              <w:suppressAutoHyphens w:val="0"/>
              <w:spacing w:line="240" w:lineRule="auto"/>
              <w:jc w:val="center"/>
              <w:rPr>
                <w:lang w:val="en-US"/>
              </w:rPr>
            </w:pPr>
            <w:r w:rsidRPr="00E4539D">
              <w:rPr>
                <w:lang w:val="en-US"/>
              </w:rPr>
              <w:t>5</w:t>
            </w:r>
          </w:p>
        </w:tc>
      </w:tr>
      <w:tr w:rsidR="001C2639" w:rsidRPr="007F14EF" w14:paraId="5D268BFB" w14:textId="77777777" w:rsidTr="00C57B5A">
        <w:trPr>
          <w:gridAfter w:val="1"/>
          <w:wAfter w:w="250" w:type="dxa"/>
          <w:cantSplit/>
          <w:trHeight w:val="20"/>
        </w:trPr>
        <w:tc>
          <w:tcPr>
            <w:tcW w:w="2905" w:type="dxa"/>
            <w:shd w:val="clear" w:color="auto" w:fill="E6E6E6"/>
            <w:hideMark/>
          </w:tcPr>
          <w:p w14:paraId="431C02A2" w14:textId="77777777" w:rsidR="001C2639" w:rsidRPr="00180D36" w:rsidRDefault="001C2639" w:rsidP="00C57B5A">
            <w:pPr>
              <w:suppressAutoHyphens w:val="0"/>
              <w:spacing w:line="240" w:lineRule="auto"/>
              <w:rPr>
                <w:i/>
                <w:iCs/>
                <w:lang w:val="en-US"/>
              </w:rPr>
            </w:pPr>
            <w:r w:rsidRPr="00180D36">
              <w:rPr>
                <w:iCs/>
                <w:u w:val="single"/>
                <w:lang w:val="en-US"/>
              </w:rPr>
              <w:t>Agenda Item 2(b)</w:t>
            </w:r>
          </w:p>
        </w:tc>
        <w:tc>
          <w:tcPr>
            <w:tcW w:w="4236" w:type="dxa"/>
            <w:shd w:val="clear" w:color="auto" w:fill="E6E6E6"/>
            <w:hideMark/>
          </w:tcPr>
          <w:p w14:paraId="249DCD95" w14:textId="77777777" w:rsidR="001C2639" w:rsidRPr="00180D36" w:rsidRDefault="001C2639" w:rsidP="00C57B5A">
            <w:pPr>
              <w:suppressAutoHyphens w:val="0"/>
              <w:spacing w:line="240" w:lineRule="auto"/>
              <w:rPr>
                <w:i/>
                <w:iCs/>
                <w:lang w:val="en-US"/>
              </w:rPr>
            </w:pPr>
            <w:r w:rsidRPr="00180D36">
              <w:rPr>
                <w:iCs/>
                <w:u w:val="single"/>
                <w:lang w:val="en-US"/>
              </w:rPr>
              <w:t>Improvement of Test Series 8</w:t>
            </w:r>
          </w:p>
        </w:tc>
        <w:tc>
          <w:tcPr>
            <w:tcW w:w="1561" w:type="dxa"/>
            <w:shd w:val="clear" w:color="auto" w:fill="E6E6E6"/>
          </w:tcPr>
          <w:p w14:paraId="54E4809B" w14:textId="77777777" w:rsidR="001C2639" w:rsidRPr="001D7558" w:rsidRDefault="001C2639" w:rsidP="00C57B5A">
            <w:pPr>
              <w:suppressAutoHyphens w:val="0"/>
              <w:spacing w:line="240" w:lineRule="auto"/>
              <w:jc w:val="center"/>
              <w:rPr>
                <w:i/>
                <w:iCs/>
                <w:color w:val="00B0F0"/>
                <w:lang w:val="en-US"/>
              </w:rPr>
            </w:pPr>
          </w:p>
        </w:tc>
      </w:tr>
      <w:tr w:rsidR="001C2639" w:rsidRPr="007F14EF" w14:paraId="73288761" w14:textId="77777777" w:rsidTr="00C57B5A">
        <w:trPr>
          <w:gridAfter w:val="1"/>
          <w:wAfter w:w="250" w:type="dxa"/>
          <w:cantSplit/>
          <w:trHeight w:val="20"/>
        </w:trPr>
        <w:tc>
          <w:tcPr>
            <w:tcW w:w="2905" w:type="dxa"/>
            <w:hideMark/>
          </w:tcPr>
          <w:p w14:paraId="2AD4F593" w14:textId="77777777" w:rsidR="001C2639" w:rsidRPr="00C45C0A" w:rsidRDefault="001C2639" w:rsidP="00C57B5A">
            <w:pPr>
              <w:suppressAutoHyphens w:val="0"/>
              <w:spacing w:line="240" w:lineRule="auto"/>
              <w:rPr>
                <w:i/>
                <w:iCs/>
                <w:lang w:val="fr-FR"/>
              </w:rPr>
            </w:pPr>
            <w:r w:rsidRPr="00C45C0A">
              <w:rPr>
                <w:i/>
                <w:iCs/>
                <w:lang w:val="fr-FR"/>
              </w:rPr>
              <w:t>UN/SCETDG/62/INF.10 (RPMASA), UN/SCETDG/62/INF.37 (IME)</w:t>
            </w:r>
          </w:p>
        </w:tc>
        <w:bookmarkStart w:id="0" w:name="_Hlk138951276"/>
        <w:tc>
          <w:tcPr>
            <w:tcW w:w="4236" w:type="dxa"/>
          </w:tcPr>
          <w:p w14:paraId="46DDD6A1" w14:textId="77777777" w:rsidR="001C2639" w:rsidRPr="00180D36" w:rsidRDefault="001C2639" w:rsidP="00C57B5A">
            <w:pPr>
              <w:suppressAutoHyphens w:val="0"/>
              <w:spacing w:line="240" w:lineRule="auto"/>
              <w:rPr>
                <w:rStyle w:val="field-content"/>
                <w:lang w:val="en-US"/>
              </w:rPr>
            </w:pPr>
            <w:r w:rsidRPr="00180D36">
              <w:rPr>
                <w:rStyle w:val="field-content"/>
                <w:lang w:val="en-US"/>
              </w:rPr>
              <w:fldChar w:fldCharType="begin"/>
            </w:r>
            <w:r w:rsidRPr="00180D36">
              <w:rPr>
                <w:rStyle w:val="field-content"/>
                <w:lang w:val="en-US"/>
              </w:rPr>
              <w:instrText>HYPERLINK "https://unece.org/transport/documents/2023/06/informal-documents/further-validation-test-series-8-applicability-test"</w:instrText>
            </w:r>
            <w:r w:rsidRPr="00180D36">
              <w:rPr>
                <w:rStyle w:val="field-content"/>
                <w:lang w:val="en-US"/>
              </w:rPr>
              <w:fldChar w:fldCharType="separate"/>
            </w:r>
            <w:r w:rsidRPr="00180D36">
              <w:rPr>
                <w:rStyle w:val="Hyperlink"/>
                <w:lang w:val="en-US"/>
              </w:rPr>
              <w:t>Further validation of test series 8: applicability of test series 8 (d)</w:t>
            </w:r>
            <w:r w:rsidRPr="00180D36">
              <w:rPr>
                <w:rStyle w:val="field-content"/>
                <w:lang w:val="en-US"/>
              </w:rPr>
              <w:fldChar w:fldCharType="end"/>
            </w:r>
            <w:bookmarkEnd w:id="0"/>
          </w:p>
          <w:p w14:paraId="477FAA3E" w14:textId="77777777" w:rsidR="001C2639" w:rsidRPr="00C45C0A" w:rsidRDefault="001C2639" w:rsidP="00C57B5A">
            <w:pPr>
              <w:suppressAutoHyphens w:val="0"/>
              <w:spacing w:line="240" w:lineRule="auto"/>
              <w:rPr>
                <w:lang w:val="fr-FR"/>
              </w:rPr>
            </w:pPr>
            <w:r w:rsidRPr="00C45C0A">
              <w:rPr>
                <w:rFonts w:eastAsia="MS Mincho"/>
                <w:lang w:val="fr-FR"/>
              </w:rPr>
              <w:t>Response to informal document UN/SCETDG/62/INF.10</w:t>
            </w:r>
          </w:p>
        </w:tc>
        <w:tc>
          <w:tcPr>
            <w:tcW w:w="1561" w:type="dxa"/>
            <w:hideMark/>
          </w:tcPr>
          <w:p w14:paraId="07B2D881" w14:textId="77777777" w:rsidR="001C2639" w:rsidRPr="00180D36" w:rsidRDefault="001C2639" w:rsidP="00C57B5A">
            <w:pPr>
              <w:suppressAutoHyphens w:val="0"/>
              <w:spacing w:line="240" w:lineRule="auto"/>
              <w:jc w:val="center"/>
              <w:rPr>
                <w:lang w:val="en-US"/>
              </w:rPr>
            </w:pPr>
            <w:r w:rsidRPr="00180D36">
              <w:rPr>
                <w:lang w:val="en-US"/>
              </w:rPr>
              <w:t>6, 8</w:t>
            </w:r>
          </w:p>
        </w:tc>
      </w:tr>
      <w:tr w:rsidR="001C2639" w:rsidRPr="007F14EF" w14:paraId="3D7A0B48" w14:textId="77777777" w:rsidTr="00C57B5A">
        <w:trPr>
          <w:gridAfter w:val="1"/>
          <w:wAfter w:w="250" w:type="dxa"/>
          <w:cantSplit/>
          <w:trHeight w:val="20"/>
        </w:trPr>
        <w:tc>
          <w:tcPr>
            <w:tcW w:w="2905" w:type="dxa"/>
            <w:hideMark/>
          </w:tcPr>
          <w:p w14:paraId="74DE8F1E" w14:textId="77777777" w:rsidR="001C2639" w:rsidRPr="00180D36" w:rsidRDefault="001C2639" w:rsidP="00C57B5A">
            <w:pPr>
              <w:suppressAutoHyphens w:val="0"/>
              <w:spacing w:line="240" w:lineRule="auto"/>
              <w:rPr>
                <w:i/>
                <w:iCs/>
                <w:lang w:val="en-US"/>
              </w:rPr>
            </w:pPr>
          </w:p>
        </w:tc>
        <w:tc>
          <w:tcPr>
            <w:tcW w:w="4236" w:type="dxa"/>
            <w:hideMark/>
          </w:tcPr>
          <w:p w14:paraId="19256DE8" w14:textId="77777777" w:rsidR="001C2639" w:rsidRPr="00180D36" w:rsidRDefault="001C2639" w:rsidP="00C57B5A">
            <w:pPr>
              <w:suppressAutoHyphens w:val="0"/>
              <w:spacing w:line="240" w:lineRule="auto"/>
              <w:rPr>
                <w:i/>
                <w:iCs/>
                <w:lang w:val="en-US"/>
              </w:rPr>
            </w:pPr>
          </w:p>
        </w:tc>
        <w:tc>
          <w:tcPr>
            <w:tcW w:w="1561" w:type="dxa"/>
            <w:hideMark/>
          </w:tcPr>
          <w:p w14:paraId="4BF6286F" w14:textId="77777777" w:rsidR="001C2639" w:rsidRPr="00180D36" w:rsidRDefault="001C2639" w:rsidP="00C57B5A">
            <w:pPr>
              <w:suppressAutoHyphens w:val="0"/>
              <w:spacing w:line="240" w:lineRule="auto"/>
              <w:jc w:val="center"/>
              <w:rPr>
                <w:lang w:val="en-US"/>
              </w:rPr>
            </w:pPr>
          </w:p>
        </w:tc>
      </w:tr>
      <w:tr w:rsidR="001C2639" w:rsidRPr="007F14EF" w14:paraId="688E870A" w14:textId="77777777" w:rsidTr="00C57B5A">
        <w:trPr>
          <w:gridAfter w:val="1"/>
          <w:wAfter w:w="250" w:type="dxa"/>
          <w:cantSplit/>
          <w:trHeight w:val="20"/>
        </w:trPr>
        <w:tc>
          <w:tcPr>
            <w:tcW w:w="2905" w:type="dxa"/>
            <w:shd w:val="clear" w:color="auto" w:fill="E6E6E6"/>
            <w:hideMark/>
          </w:tcPr>
          <w:p w14:paraId="0E0FA4A6" w14:textId="77777777" w:rsidR="001C2639" w:rsidRPr="00180D36" w:rsidRDefault="001C2639" w:rsidP="00C57B5A">
            <w:pPr>
              <w:keepNext/>
              <w:suppressAutoHyphens w:val="0"/>
              <w:spacing w:line="240" w:lineRule="auto"/>
              <w:rPr>
                <w:i/>
                <w:iCs/>
                <w:lang w:val="en-US"/>
              </w:rPr>
            </w:pPr>
            <w:r w:rsidRPr="00180D36">
              <w:rPr>
                <w:iCs/>
                <w:u w:val="single"/>
                <w:lang w:val="en-US"/>
              </w:rPr>
              <w:t>Agenda Item 2(c)</w:t>
            </w:r>
          </w:p>
        </w:tc>
        <w:tc>
          <w:tcPr>
            <w:tcW w:w="4236" w:type="dxa"/>
            <w:shd w:val="clear" w:color="auto" w:fill="E6E6E6"/>
            <w:hideMark/>
          </w:tcPr>
          <w:p w14:paraId="092C1F78" w14:textId="77777777" w:rsidR="001C2639" w:rsidRPr="00180D36" w:rsidRDefault="001C2639" w:rsidP="00C57B5A">
            <w:pPr>
              <w:keepNext/>
              <w:suppressAutoHyphens w:val="0"/>
              <w:spacing w:line="240" w:lineRule="auto"/>
              <w:rPr>
                <w:i/>
                <w:iCs/>
                <w:lang w:val="en-US"/>
              </w:rPr>
            </w:pPr>
            <w:r w:rsidRPr="00180D36">
              <w:rPr>
                <w:iCs/>
                <w:u w:val="single"/>
                <w:lang w:val="en-US"/>
              </w:rPr>
              <w:t>Review of tests in parts I, II and III of the Manual of Tests and Criteria</w:t>
            </w:r>
          </w:p>
        </w:tc>
        <w:tc>
          <w:tcPr>
            <w:tcW w:w="1561" w:type="dxa"/>
            <w:shd w:val="clear" w:color="auto" w:fill="EAEAEA"/>
            <w:hideMark/>
          </w:tcPr>
          <w:p w14:paraId="7CBFE3AE" w14:textId="77777777" w:rsidR="001C2639" w:rsidRPr="00180D36" w:rsidRDefault="001C2639" w:rsidP="00C57B5A">
            <w:pPr>
              <w:keepNext/>
              <w:suppressAutoHyphens w:val="0"/>
              <w:spacing w:line="240" w:lineRule="auto"/>
              <w:rPr>
                <w:i/>
                <w:iCs/>
                <w:lang w:val="en-US"/>
              </w:rPr>
            </w:pPr>
          </w:p>
        </w:tc>
      </w:tr>
      <w:tr w:rsidR="001C2639" w:rsidRPr="007F14EF" w14:paraId="24F6BA0A" w14:textId="77777777" w:rsidTr="00C57B5A">
        <w:trPr>
          <w:gridAfter w:val="1"/>
          <w:wAfter w:w="250" w:type="dxa"/>
          <w:cantSplit/>
          <w:trHeight w:val="20"/>
        </w:trPr>
        <w:tc>
          <w:tcPr>
            <w:tcW w:w="2905" w:type="dxa"/>
            <w:hideMark/>
          </w:tcPr>
          <w:p w14:paraId="3EDF7C26" w14:textId="77777777" w:rsidR="001C2639" w:rsidRPr="00180D36" w:rsidRDefault="001C2639" w:rsidP="00C57B5A">
            <w:pPr>
              <w:suppressAutoHyphens w:val="0"/>
              <w:spacing w:line="240" w:lineRule="auto"/>
              <w:rPr>
                <w:i/>
                <w:iCs/>
                <w:lang w:val="en-US"/>
              </w:rPr>
            </w:pPr>
            <w:bookmarkStart w:id="1" w:name="_Hlk54861900"/>
            <w:r w:rsidRPr="00180D36">
              <w:rPr>
                <w:i/>
                <w:iCs/>
                <w:lang w:val="en-US"/>
              </w:rPr>
              <w:t>UN/SCETDG/62/INF.36 (UK, USA)</w:t>
            </w:r>
          </w:p>
        </w:tc>
        <w:tc>
          <w:tcPr>
            <w:tcW w:w="4236" w:type="dxa"/>
          </w:tcPr>
          <w:p w14:paraId="1EAA9EC4" w14:textId="77777777" w:rsidR="001C2639" w:rsidRPr="00180D36" w:rsidRDefault="001C2639" w:rsidP="00C57B5A">
            <w:pPr>
              <w:keepNext/>
              <w:suppressAutoHyphens w:val="0"/>
              <w:spacing w:line="240" w:lineRule="auto"/>
              <w:rPr>
                <w:lang w:val="en-US"/>
              </w:rPr>
            </w:pPr>
            <w:r w:rsidRPr="00180D36">
              <w:rPr>
                <w:lang w:val="en-US"/>
              </w:rPr>
              <w:t>Explosive Working Group Koenen tube round-robin initial test results</w:t>
            </w:r>
          </w:p>
        </w:tc>
        <w:tc>
          <w:tcPr>
            <w:tcW w:w="1561" w:type="dxa"/>
          </w:tcPr>
          <w:p w14:paraId="12997A55" w14:textId="77777777" w:rsidR="001C2639" w:rsidRPr="00180D36" w:rsidRDefault="001C2639" w:rsidP="00C57B5A">
            <w:pPr>
              <w:suppressAutoHyphens w:val="0"/>
              <w:spacing w:line="240" w:lineRule="auto"/>
              <w:jc w:val="center"/>
              <w:rPr>
                <w:lang w:val="en-US"/>
              </w:rPr>
            </w:pPr>
            <w:r w:rsidRPr="00180D36">
              <w:rPr>
                <w:lang w:val="en-US"/>
              </w:rPr>
              <w:t>7</w:t>
            </w:r>
          </w:p>
        </w:tc>
      </w:tr>
      <w:tr w:rsidR="001C2639" w:rsidRPr="007F14EF" w14:paraId="371E3609" w14:textId="77777777" w:rsidTr="00C57B5A">
        <w:trPr>
          <w:gridAfter w:val="1"/>
          <w:wAfter w:w="250" w:type="dxa"/>
          <w:cantSplit/>
          <w:trHeight w:val="20"/>
        </w:trPr>
        <w:tc>
          <w:tcPr>
            <w:tcW w:w="2905" w:type="dxa"/>
            <w:shd w:val="clear" w:color="auto" w:fill="E6E6E6"/>
            <w:hideMark/>
          </w:tcPr>
          <w:p w14:paraId="284BDD16" w14:textId="77777777" w:rsidR="001C2639" w:rsidRPr="00180D36" w:rsidRDefault="001C2639" w:rsidP="00C57B5A">
            <w:pPr>
              <w:suppressAutoHyphens w:val="0"/>
              <w:spacing w:line="240" w:lineRule="auto"/>
              <w:rPr>
                <w:i/>
                <w:iCs/>
                <w:lang w:val="en-US"/>
              </w:rPr>
            </w:pPr>
            <w:r w:rsidRPr="00180D36">
              <w:rPr>
                <w:iCs/>
                <w:u w:val="single"/>
                <w:lang w:val="en-US"/>
              </w:rPr>
              <w:t>Agenda Item 2(d)</w:t>
            </w:r>
          </w:p>
        </w:tc>
        <w:tc>
          <w:tcPr>
            <w:tcW w:w="4236" w:type="dxa"/>
            <w:shd w:val="clear" w:color="auto" w:fill="E6E6E6"/>
            <w:hideMark/>
          </w:tcPr>
          <w:p w14:paraId="016D6B77" w14:textId="77777777" w:rsidR="001C2639" w:rsidRPr="00180D36" w:rsidRDefault="001C2639" w:rsidP="00C57B5A">
            <w:pPr>
              <w:suppressAutoHyphens w:val="0"/>
              <w:spacing w:line="240" w:lineRule="auto"/>
              <w:rPr>
                <w:i/>
                <w:iCs/>
                <w:lang w:val="en-US"/>
              </w:rPr>
            </w:pPr>
            <w:r w:rsidRPr="00180D36">
              <w:rPr>
                <w:iCs/>
                <w:u w:val="single"/>
                <w:lang w:val="en-US"/>
              </w:rPr>
              <w:t>“UN” standard detonators</w:t>
            </w:r>
          </w:p>
        </w:tc>
        <w:tc>
          <w:tcPr>
            <w:tcW w:w="1561" w:type="dxa"/>
            <w:shd w:val="clear" w:color="auto" w:fill="E6E6E6"/>
            <w:hideMark/>
          </w:tcPr>
          <w:p w14:paraId="5DC058DE" w14:textId="77777777" w:rsidR="001C2639" w:rsidRPr="001D7558" w:rsidRDefault="001C2639" w:rsidP="00C57B5A">
            <w:pPr>
              <w:tabs>
                <w:tab w:val="left" w:pos="601"/>
                <w:tab w:val="center" w:pos="665"/>
              </w:tabs>
              <w:suppressAutoHyphens w:val="0"/>
              <w:spacing w:line="240" w:lineRule="auto"/>
              <w:rPr>
                <w:i/>
                <w:iCs/>
                <w:color w:val="00B0F0"/>
                <w:lang w:val="en-US"/>
              </w:rPr>
            </w:pPr>
          </w:p>
        </w:tc>
        <w:bookmarkEnd w:id="1"/>
      </w:tr>
      <w:tr w:rsidR="001C2639" w:rsidRPr="007F14EF" w14:paraId="602F131E" w14:textId="77777777" w:rsidTr="00C57B5A">
        <w:trPr>
          <w:cantSplit/>
          <w:trHeight w:val="20"/>
        </w:trPr>
        <w:tc>
          <w:tcPr>
            <w:tcW w:w="2905" w:type="dxa"/>
            <w:hideMark/>
          </w:tcPr>
          <w:p w14:paraId="1D0BC01A" w14:textId="77777777" w:rsidR="001C2639" w:rsidRPr="00180D36" w:rsidRDefault="001C2639" w:rsidP="00C57B5A">
            <w:pPr>
              <w:keepNext/>
              <w:suppressAutoHyphens w:val="0"/>
              <w:spacing w:line="240" w:lineRule="auto"/>
              <w:ind w:left="213" w:hanging="213"/>
              <w:rPr>
                <w:i/>
                <w:iCs/>
                <w:lang w:val="en-US"/>
              </w:rPr>
            </w:pPr>
            <w:r w:rsidRPr="00180D36">
              <w:rPr>
                <w:i/>
                <w:iCs/>
                <w:lang w:val="en-US"/>
              </w:rPr>
              <w:t>No document</w:t>
            </w:r>
          </w:p>
        </w:tc>
        <w:tc>
          <w:tcPr>
            <w:tcW w:w="5797" w:type="dxa"/>
            <w:gridSpan w:val="2"/>
            <w:hideMark/>
          </w:tcPr>
          <w:p w14:paraId="66D56E33" w14:textId="77777777" w:rsidR="001C2639" w:rsidRPr="00180D36" w:rsidRDefault="001C2639" w:rsidP="00C57B5A">
            <w:pPr>
              <w:suppressAutoHyphens w:val="0"/>
              <w:spacing w:line="240" w:lineRule="auto"/>
              <w:rPr>
                <w:i/>
                <w:iCs/>
                <w:lang w:val="en-US"/>
              </w:rPr>
            </w:pPr>
          </w:p>
        </w:tc>
        <w:tc>
          <w:tcPr>
            <w:tcW w:w="250" w:type="dxa"/>
          </w:tcPr>
          <w:p w14:paraId="24F182AE" w14:textId="77777777" w:rsidR="001C2639" w:rsidRPr="007F14EF" w:rsidRDefault="001C2639" w:rsidP="00C57B5A">
            <w:pPr>
              <w:suppressAutoHyphens w:val="0"/>
              <w:spacing w:line="240" w:lineRule="auto"/>
              <w:rPr>
                <w:color w:val="FF0000"/>
                <w:lang w:val="en-US"/>
              </w:rPr>
            </w:pPr>
          </w:p>
        </w:tc>
      </w:tr>
      <w:tr w:rsidR="001C2639" w:rsidRPr="007F14EF" w14:paraId="5C89A34F" w14:textId="77777777" w:rsidTr="00C57B5A">
        <w:trPr>
          <w:gridAfter w:val="1"/>
          <w:wAfter w:w="250" w:type="dxa"/>
          <w:cantSplit/>
          <w:trHeight w:val="20"/>
        </w:trPr>
        <w:tc>
          <w:tcPr>
            <w:tcW w:w="2905" w:type="dxa"/>
            <w:shd w:val="clear" w:color="auto" w:fill="E6E6E6"/>
            <w:hideMark/>
          </w:tcPr>
          <w:p w14:paraId="08FD51CD" w14:textId="77777777" w:rsidR="001C2639" w:rsidRPr="00180D36" w:rsidRDefault="001C2639" w:rsidP="00C57B5A">
            <w:pPr>
              <w:suppressAutoHyphens w:val="0"/>
              <w:spacing w:line="240" w:lineRule="auto"/>
              <w:rPr>
                <w:i/>
                <w:iCs/>
                <w:lang w:val="en-US"/>
              </w:rPr>
            </w:pPr>
            <w:r w:rsidRPr="00180D36">
              <w:rPr>
                <w:iCs/>
                <w:u w:val="single"/>
                <w:lang w:val="en-US"/>
              </w:rPr>
              <w:t>Agenda Item 2(e)</w:t>
            </w:r>
          </w:p>
        </w:tc>
        <w:tc>
          <w:tcPr>
            <w:tcW w:w="4236" w:type="dxa"/>
            <w:shd w:val="clear" w:color="auto" w:fill="E6E6E6"/>
          </w:tcPr>
          <w:p w14:paraId="7937C829" w14:textId="77777777" w:rsidR="001C2639" w:rsidRPr="00180D36" w:rsidRDefault="001C2639" w:rsidP="00C57B5A">
            <w:pPr>
              <w:suppressAutoHyphens w:val="0"/>
              <w:spacing w:line="240" w:lineRule="auto"/>
              <w:rPr>
                <w:i/>
                <w:iCs/>
                <w:lang w:val="en-US"/>
              </w:rPr>
            </w:pPr>
            <w:r w:rsidRPr="00180D36">
              <w:rPr>
                <w:iCs/>
                <w:u w:val="single"/>
                <w:lang w:val="en-US"/>
              </w:rPr>
              <w:t xml:space="preserve">Energetic samples </w:t>
            </w:r>
          </w:p>
        </w:tc>
        <w:tc>
          <w:tcPr>
            <w:tcW w:w="1561" w:type="dxa"/>
            <w:shd w:val="clear" w:color="auto" w:fill="E6E6E6"/>
          </w:tcPr>
          <w:p w14:paraId="6C06D0EA" w14:textId="77777777" w:rsidR="001C2639" w:rsidRPr="001D7558" w:rsidRDefault="001C2639" w:rsidP="00C57B5A">
            <w:pPr>
              <w:suppressAutoHyphens w:val="0"/>
              <w:spacing w:line="240" w:lineRule="auto"/>
              <w:jc w:val="center"/>
              <w:rPr>
                <w:i/>
                <w:iCs/>
                <w:color w:val="00B0F0"/>
                <w:lang w:val="en-US"/>
              </w:rPr>
            </w:pPr>
          </w:p>
        </w:tc>
      </w:tr>
      <w:tr w:rsidR="001C2639" w:rsidRPr="007F14EF" w14:paraId="1B318465" w14:textId="77777777" w:rsidTr="00C57B5A">
        <w:trPr>
          <w:gridAfter w:val="1"/>
          <w:wAfter w:w="250" w:type="dxa"/>
          <w:cantSplit/>
          <w:trHeight w:val="20"/>
        </w:trPr>
        <w:tc>
          <w:tcPr>
            <w:tcW w:w="2905" w:type="dxa"/>
          </w:tcPr>
          <w:p w14:paraId="274AE2BF" w14:textId="77777777" w:rsidR="001C2639" w:rsidRPr="00180D36" w:rsidRDefault="001C2639" w:rsidP="00C57B5A">
            <w:pPr>
              <w:suppressAutoHyphens w:val="0"/>
              <w:spacing w:line="240" w:lineRule="auto"/>
              <w:ind w:left="213" w:hanging="213"/>
              <w:rPr>
                <w:iCs/>
                <w:u w:val="single"/>
                <w:lang w:val="en-US"/>
              </w:rPr>
            </w:pPr>
            <w:r w:rsidRPr="00180D36">
              <w:rPr>
                <w:i/>
                <w:iCs/>
                <w:lang w:val="en-US"/>
              </w:rPr>
              <w:t>No document</w:t>
            </w:r>
          </w:p>
        </w:tc>
        <w:tc>
          <w:tcPr>
            <w:tcW w:w="4236" w:type="dxa"/>
          </w:tcPr>
          <w:p w14:paraId="7EE97314" w14:textId="77777777" w:rsidR="001C2639" w:rsidRPr="00180D36" w:rsidRDefault="001C2639" w:rsidP="00C57B5A">
            <w:pPr>
              <w:suppressAutoHyphens w:val="0"/>
              <w:spacing w:line="240" w:lineRule="auto"/>
              <w:rPr>
                <w:iCs/>
                <w:u w:val="single"/>
                <w:lang w:val="en-US"/>
              </w:rPr>
            </w:pPr>
          </w:p>
        </w:tc>
        <w:tc>
          <w:tcPr>
            <w:tcW w:w="1561" w:type="dxa"/>
          </w:tcPr>
          <w:p w14:paraId="5CF0C139" w14:textId="77777777" w:rsidR="001C2639" w:rsidRPr="001D7558" w:rsidRDefault="001C2639" w:rsidP="00C57B5A">
            <w:pPr>
              <w:suppressAutoHyphens w:val="0"/>
              <w:spacing w:line="240" w:lineRule="auto"/>
              <w:jc w:val="center"/>
              <w:rPr>
                <w:i/>
                <w:iCs/>
                <w:color w:val="00B0F0"/>
                <w:lang w:val="en-US"/>
              </w:rPr>
            </w:pPr>
          </w:p>
        </w:tc>
      </w:tr>
      <w:tr w:rsidR="001C2639" w:rsidRPr="007F14EF" w14:paraId="523E5E2A" w14:textId="77777777" w:rsidTr="00C57B5A">
        <w:trPr>
          <w:gridAfter w:val="1"/>
          <w:wAfter w:w="250" w:type="dxa"/>
          <w:cantSplit/>
          <w:trHeight w:val="20"/>
        </w:trPr>
        <w:tc>
          <w:tcPr>
            <w:tcW w:w="2905" w:type="dxa"/>
            <w:shd w:val="clear" w:color="auto" w:fill="E6E6E6"/>
            <w:hideMark/>
          </w:tcPr>
          <w:p w14:paraId="55B0E49E" w14:textId="77777777" w:rsidR="001C2639" w:rsidRPr="00180D36" w:rsidRDefault="001C2639" w:rsidP="00C57B5A">
            <w:pPr>
              <w:suppressAutoHyphens w:val="0"/>
              <w:spacing w:line="240" w:lineRule="auto"/>
              <w:rPr>
                <w:i/>
                <w:iCs/>
                <w:lang w:val="en-US"/>
              </w:rPr>
            </w:pPr>
            <w:r w:rsidRPr="00180D36">
              <w:rPr>
                <w:iCs/>
                <w:u w:val="single"/>
                <w:lang w:val="en-US"/>
              </w:rPr>
              <w:t>Agenda Item 2(f)</w:t>
            </w:r>
          </w:p>
        </w:tc>
        <w:tc>
          <w:tcPr>
            <w:tcW w:w="4236" w:type="dxa"/>
            <w:shd w:val="clear" w:color="auto" w:fill="E6E6E6"/>
          </w:tcPr>
          <w:p w14:paraId="7E3F57A3" w14:textId="77777777" w:rsidR="001C2639" w:rsidRPr="00180D36" w:rsidRDefault="001C2639" w:rsidP="00C57B5A">
            <w:pPr>
              <w:suppressAutoHyphens w:val="0"/>
              <w:spacing w:line="240" w:lineRule="auto"/>
              <w:rPr>
                <w:i/>
                <w:iCs/>
                <w:lang w:val="en-US"/>
              </w:rPr>
            </w:pPr>
            <w:r w:rsidRPr="00993492">
              <w:rPr>
                <w:iCs/>
                <w:u w:val="single"/>
                <w:lang w:val="en-US"/>
              </w:rPr>
              <w:t>Review of packaging and transport requirements for ammonium nitrate emulsions</w:t>
            </w:r>
          </w:p>
        </w:tc>
        <w:tc>
          <w:tcPr>
            <w:tcW w:w="1561" w:type="dxa"/>
            <w:shd w:val="clear" w:color="auto" w:fill="E6E6E6"/>
          </w:tcPr>
          <w:p w14:paraId="5F120B0A" w14:textId="77777777" w:rsidR="001C2639" w:rsidRPr="001D7558" w:rsidRDefault="001C2639" w:rsidP="00C57B5A">
            <w:pPr>
              <w:suppressAutoHyphens w:val="0"/>
              <w:spacing w:line="240" w:lineRule="auto"/>
              <w:jc w:val="center"/>
              <w:rPr>
                <w:i/>
                <w:iCs/>
                <w:color w:val="00B0F0"/>
                <w:lang w:val="en-US"/>
              </w:rPr>
            </w:pPr>
          </w:p>
        </w:tc>
      </w:tr>
      <w:tr w:rsidR="001C2639" w:rsidRPr="007F14EF" w14:paraId="76332886" w14:textId="77777777" w:rsidTr="00C57B5A">
        <w:trPr>
          <w:gridAfter w:val="1"/>
          <w:wAfter w:w="250" w:type="dxa"/>
          <w:cantSplit/>
          <w:trHeight w:val="20"/>
        </w:trPr>
        <w:tc>
          <w:tcPr>
            <w:tcW w:w="2905" w:type="dxa"/>
            <w:hideMark/>
          </w:tcPr>
          <w:p w14:paraId="3DAF61CD" w14:textId="77777777" w:rsidR="001C2639" w:rsidRPr="00180D36" w:rsidRDefault="001C2639" w:rsidP="00C57B5A">
            <w:pPr>
              <w:keepNext/>
              <w:suppressAutoHyphens w:val="0"/>
              <w:spacing w:line="240" w:lineRule="auto"/>
              <w:rPr>
                <w:i/>
                <w:iCs/>
                <w:lang w:val="en-US"/>
              </w:rPr>
            </w:pPr>
            <w:r w:rsidRPr="00180D36">
              <w:rPr>
                <w:i/>
                <w:iCs/>
                <w:lang w:val="en-US"/>
              </w:rPr>
              <w:t>ST/SG/AC.10/C.3/2023/16 (IME)</w:t>
            </w:r>
          </w:p>
        </w:tc>
        <w:tc>
          <w:tcPr>
            <w:tcW w:w="4236" w:type="dxa"/>
            <w:hideMark/>
          </w:tcPr>
          <w:p w14:paraId="0C47C892" w14:textId="77777777" w:rsidR="001C2639" w:rsidRPr="00180D36" w:rsidRDefault="001C2639" w:rsidP="00C57B5A">
            <w:pPr>
              <w:suppressAutoHyphens w:val="0"/>
              <w:spacing w:line="240" w:lineRule="auto"/>
              <w:rPr>
                <w:i/>
                <w:iCs/>
                <w:lang w:val="en-US"/>
              </w:rPr>
            </w:pPr>
            <w:hyperlink r:id="rId11" w:history="1">
              <w:r w:rsidRPr="00180D36">
                <w:rPr>
                  <w:rStyle w:val="Hyperlink"/>
                  <w:lang w:val="en-US"/>
                </w:rPr>
                <w:t>Proposal to remove the requirement of test series 8(d) for assessing the suitability of ammonium nitrate emulsions for transport in portable tanks</w:t>
              </w:r>
            </w:hyperlink>
          </w:p>
        </w:tc>
        <w:tc>
          <w:tcPr>
            <w:tcW w:w="1561" w:type="dxa"/>
          </w:tcPr>
          <w:p w14:paraId="38E64D60" w14:textId="77777777" w:rsidR="001C2639" w:rsidRPr="00180D36" w:rsidRDefault="001C2639" w:rsidP="00C57B5A">
            <w:pPr>
              <w:suppressAutoHyphens w:val="0"/>
              <w:spacing w:line="240" w:lineRule="auto"/>
              <w:jc w:val="center"/>
              <w:rPr>
                <w:lang w:val="en-US"/>
              </w:rPr>
            </w:pPr>
            <w:r w:rsidRPr="00180D36">
              <w:rPr>
                <w:lang w:val="en-US"/>
              </w:rPr>
              <w:t>8</w:t>
            </w:r>
          </w:p>
        </w:tc>
      </w:tr>
      <w:tr w:rsidR="001C2639" w:rsidRPr="007F14EF" w14:paraId="43188CF0" w14:textId="77777777" w:rsidTr="00C57B5A">
        <w:trPr>
          <w:gridAfter w:val="1"/>
          <w:wAfter w:w="250" w:type="dxa"/>
          <w:cantSplit/>
          <w:trHeight w:val="20"/>
        </w:trPr>
        <w:tc>
          <w:tcPr>
            <w:tcW w:w="2905" w:type="dxa"/>
            <w:shd w:val="clear" w:color="auto" w:fill="E6E6E6"/>
            <w:hideMark/>
          </w:tcPr>
          <w:p w14:paraId="23A695EA" w14:textId="77777777" w:rsidR="001C2639" w:rsidRPr="00180D36" w:rsidRDefault="001C2639" w:rsidP="00C57B5A">
            <w:pPr>
              <w:suppressAutoHyphens w:val="0"/>
              <w:spacing w:line="240" w:lineRule="auto"/>
              <w:rPr>
                <w:i/>
                <w:iCs/>
                <w:lang w:val="en-US"/>
              </w:rPr>
            </w:pPr>
            <w:r w:rsidRPr="00180D36">
              <w:rPr>
                <w:iCs/>
                <w:u w:val="single"/>
                <w:lang w:val="en-US"/>
              </w:rPr>
              <w:t>Agenda Item 2(g)</w:t>
            </w:r>
          </w:p>
        </w:tc>
        <w:tc>
          <w:tcPr>
            <w:tcW w:w="4236" w:type="dxa"/>
            <w:shd w:val="clear" w:color="auto" w:fill="E6E6E6"/>
            <w:hideMark/>
          </w:tcPr>
          <w:p w14:paraId="48D207F3" w14:textId="77777777" w:rsidR="001C2639" w:rsidRPr="00180D36" w:rsidRDefault="001C2639" w:rsidP="00C57B5A">
            <w:pPr>
              <w:suppressAutoHyphens w:val="0"/>
              <w:spacing w:line="240" w:lineRule="auto"/>
              <w:rPr>
                <w:i/>
                <w:iCs/>
                <w:lang w:val="en-US"/>
              </w:rPr>
            </w:pPr>
            <w:r w:rsidRPr="00180D36">
              <w:rPr>
                <w:iCs/>
                <w:u w:val="single"/>
                <w:lang w:val="en-US"/>
              </w:rPr>
              <w:t>Electrification and alternative fuels and how they will affect transport of explosives</w:t>
            </w:r>
          </w:p>
        </w:tc>
        <w:tc>
          <w:tcPr>
            <w:tcW w:w="1561" w:type="dxa"/>
            <w:shd w:val="clear" w:color="auto" w:fill="E6E6E6"/>
            <w:hideMark/>
          </w:tcPr>
          <w:p w14:paraId="3C87DC3B" w14:textId="77777777" w:rsidR="001C2639" w:rsidRPr="001D7558" w:rsidRDefault="001C2639" w:rsidP="00C57B5A">
            <w:pPr>
              <w:suppressAutoHyphens w:val="0"/>
              <w:spacing w:line="240" w:lineRule="auto"/>
              <w:jc w:val="center"/>
              <w:rPr>
                <w:i/>
                <w:iCs/>
                <w:color w:val="00B0F0"/>
                <w:lang w:val="en-US"/>
              </w:rPr>
            </w:pPr>
          </w:p>
        </w:tc>
      </w:tr>
      <w:tr w:rsidR="001C2639" w:rsidRPr="007F14EF" w14:paraId="057C788F" w14:textId="77777777" w:rsidTr="00C57B5A">
        <w:trPr>
          <w:gridAfter w:val="1"/>
          <w:wAfter w:w="250" w:type="dxa"/>
          <w:cantSplit/>
          <w:trHeight w:val="20"/>
        </w:trPr>
        <w:tc>
          <w:tcPr>
            <w:tcW w:w="2905" w:type="dxa"/>
            <w:hideMark/>
          </w:tcPr>
          <w:p w14:paraId="1FE3B44C" w14:textId="77777777" w:rsidR="001C2639" w:rsidRPr="00180D36" w:rsidRDefault="001C2639" w:rsidP="00C57B5A">
            <w:pPr>
              <w:keepNext/>
              <w:suppressAutoHyphens w:val="0"/>
              <w:spacing w:line="240" w:lineRule="auto"/>
              <w:ind w:left="213" w:hanging="213"/>
              <w:rPr>
                <w:i/>
                <w:iCs/>
                <w:lang w:val="en-US"/>
              </w:rPr>
            </w:pPr>
            <w:r w:rsidRPr="00180D36">
              <w:rPr>
                <w:i/>
                <w:iCs/>
                <w:lang w:val="en-US"/>
              </w:rPr>
              <w:t>No document</w:t>
            </w:r>
          </w:p>
        </w:tc>
        <w:tc>
          <w:tcPr>
            <w:tcW w:w="4236" w:type="dxa"/>
          </w:tcPr>
          <w:p w14:paraId="7D888AAB" w14:textId="77777777" w:rsidR="001C2639" w:rsidRPr="00180D36" w:rsidRDefault="001C2639" w:rsidP="00C57B5A">
            <w:pPr>
              <w:suppressAutoHyphens w:val="0"/>
              <w:spacing w:line="240" w:lineRule="auto"/>
              <w:rPr>
                <w:u w:val="single"/>
                <w:lang w:val="en-US"/>
              </w:rPr>
            </w:pPr>
          </w:p>
        </w:tc>
        <w:tc>
          <w:tcPr>
            <w:tcW w:w="1561" w:type="dxa"/>
          </w:tcPr>
          <w:p w14:paraId="7A3CB1C3" w14:textId="77777777" w:rsidR="001C2639" w:rsidRPr="001D7558" w:rsidRDefault="001C2639" w:rsidP="00C57B5A">
            <w:pPr>
              <w:spacing w:line="240" w:lineRule="auto"/>
              <w:jc w:val="center"/>
              <w:rPr>
                <w:color w:val="00B0F0"/>
                <w:lang w:val="en-US"/>
              </w:rPr>
            </w:pPr>
          </w:p>
        </w:tc>
      </w:tr>
      <w:tr w:rsidR="001C2639" w:rsidRPr="007F14EF" w14:paraId="5E010C76" w14:textId="77777777" w:rsidTr="00C57B5A">
        <w:trPr>
          <w:gridAfter w:val="1"/>
          <w:wAfter w:w="250" w:type="dxa"/>
          <w:cantSplit/>
          <w:trHeight w:val="20"/>
        </w:trPr>
        <w:tc>
          <w:tcPr>
            <w:tcW w:w="2905" w:type="dxa"/>
            <w:shd w:val="clear" w:color="auto" w:fill="E6E6E6"/>
            <w:hideMark/>
          </w:tcPr>
          <w:p w14:paraId="1329BD06" w14:textId="77777777" w:rsidR="001C2639" w:rsidRPr="00180D36" w:rsidRDefault="001C2639" w:rsidP="00C57B5A">
            <w:pPr>
              <w:suppressAutoHyphens w:val="0"/>
              <w:spacing w:line="240" w:lineRule="auto"/>
              <w:rPr>
                <w:i/>
                <w:iCs/>
                <w:lang w:val="en-US"/>
              </w:rPr>
            </w:pPr>
            <w:r w:rsidRPr="00180D36">
              <w:rPr>
                <w:iCs/>
                <w:u w:val="single"/>
                <w:lang w:val="en-US"/>
              </w:rPr>
              <w:t>Agenda Item 2(h)</w:t>
            </w:r>
          </w:p>
        </w:tc>
        <w:tc>
          <w:tcPr>
            <w:tcW w:w="4236" w:type="dxa"/>
            <w:shd w:val="clear" w:color="auto" w:fill="E6E6E6"/>
            <w:hideMark/>
          </w:tcPr>
          <w:p w14:paraId="43455610" w14:textId="77777777" w:rsidR="001C2639" w:rsidRPr="00180D36" w:rsidRDefault="001C2639" w:rsidP="00C57B5A">
            <w:pPr>
              <w:suppressAutoHyphens w:val="0"/>
              <w:spacing w:line="240" w:lineRule="auto"/>
              <w:rPr>
                <w:i/>
                <w:iCs/>
                <w:lang w:val="en-US"/>
              </w:rPr>
            </w:pPr>
            <w:r w:rsidRPr="00180D36">
              <w:rPr>
                <w:iCs/>
                <w:u w:val="single"/>
                <w:lang w:val="en-US"/>
              </w:rPr>
              <w:t>Miscellaneous</w:t>
            </w:r>
          </w:p>
        </w:tc>
        <w:tc>
          <w:tcPr>
            <w:tcW w:w="1561" w:type="dxa"/>
            <w:shd w:val="clear" w:color="auto" w:fill="E6E6E6"/>
            <w:hideMark/>
          </w:tcPr>
          <w:p w14:paraId="56037735" w14:textId="77777777" w:rsidR="001C2639" w:rsidRPr="001D7558" w:rsidRDefault="001C2639" w:rsidP="00C57B5A">
            <w:pPr>
              <w:suppressAutoHyphens w:val="0"/>
              <w:spacing w:line="240" w:lineRule="auto"/>
              <w:jc w:val="center"/>
              <w:rPr>
                <w:i/>
                <w:iCs/>
                <w:color w:val="00B0F0"/>
                <w:lang w:val="en-US"/>
              </w:rPr>
            </w:pPr>
          </w:p>
        </w:tc>
      </w:tr>
      <w:tr w:rsidR="001C2639" w:rsidRPr="007F14EF" w14:paraId="0B0572A9" w14:textId="77777777" w:rsidTr="00C57B5A">
        <w:trPr>
          <w:gridAfter w:val="1"/>
          <w:wAfter w:w="250" w:type="dxa"/>
          <w:cantSplit/>
          <w:trHeight w:val="20"/>
        </w:trPr>
        <w:tc>
          <w:tcPr>
            <w:tcW w:w="2905" w:type="dxa"/>
            <w:hideMark/>
          </w:tcPr>
          <w:p w14:paraId="6947ED65" w14:textId="77777777" w:rsidR="001C2639" w:rsidRPr="00180D36" w:rsidRDefault="001C2639" w:rsidP="00C57B5A">
            <w:pPr>
              <w:suppressAutoHyphens w:val="0"/>
              <w:spacing w:line="240" w:lineRule="auto"/>
              <w:rPr>
                <w:iCs/>
                <w:u w:val="single"/>
                <w:lang w:val="en-US"/>
              </w:rPr>
            </w:pPr>
            <w:r w:rsidRPr="00180D36">
              <w:rPr>
                <w:i/>
                <w:iCs/>
                <w:lang w:val="en-US"/>
              </w:rPr>
              <w:t>ST/SG/AC.10/C.3/2023/6 (China)</w:t>
            </w:r>
          </w:p>
        </w:tc>
        <w:tc>
          <w:tcPr>
            <w:tcW w:w="4236" w:type="dxa"/>
            <w:hideMark/>
          </w:tcPr>
          <w:p w14:paraId="076B366D" w14:textId="77777777" w:rsidR="001C2639" w:rsidRPr="00180D36" w:rsidRDefault="001C2639" w:rsidP="00C57B5A">
            <w:pPr>
              <w:keepNext/>
              <w:suppressAutoHyphens w:val="0"/>
              <w:spacing w:line="240" w:lineRule="auto"/>
              <w:ind w:left="12" w:hanging="12"/>
              <w:rPr>
                <w:iCs/>
                <w:lang w:val="en-US"/>
              </w:rPr>
            </w:pPr>
            <w:r w:rsidRPr="00180D36">
              <w:rPr>
                <w:iCs/>
                <w:lang w:val="en-US"/>
              </w:rPr>
              <w:t>Amendment to section 51.4.4.2 (e) of the Manual of Tests and Criteria</w:t>
            </w:r>
          </w:p>
        </w:tc>
        <w:tc>
          <w:tcPr>
            <w:tcW w:w="1561" w:type="dxa"/>
          </w:tcPr>
          <w:p w14:paraId="3713BB4E" w14:textId="77777777" w:rsidR="001C2639" w:rsidRPr="00180D36" w:rsidRDefault="001C2639" w:rsidP="00C57B5A">
            <w:pPr>
              <w:keepNext/>
              <w:suppressAutoHyphens w:val="0"/>
              <w:spacing w:line="240" w:lineRule="auto"/>
              <w:ind w:left="213" w:hanging="213"/>
              <w:jc w:val="center"/>
              <w:rPr>
                <w:iCs/>
                <w:lang w:val="en-US"/>
              </w:rPr>
            </w:pPr>
            <w:r w:rsidRPr="00180D36">
              <w:rPr>
                <w:iCs/>
                <w:lang w:val="en-US"/>
              </w:rPr>
              <w:t>9</w:t>
            </w:r>
          </w:p>
        </w:tc>
      </w:tr>
      <w:tr w:rsidR="001C2639" w:rsidRPr="007F14EF" w14:paraId="0709E614" w14:textId="77777777" w:rsidTr="00C57B5A">
        <w:trPr>
          <w:gridAfter w:val="1"/>
          <w:wAfter w:w="250" w:type="dxa"/>
          <w:cantSplit/>
          <w:trHeight w:val="20"/>
        </w:trPr>
        <w:tc>
          <w:tcPr>
            <w:tcW w:w="2905" w:type="dxa"/>
          </w:tcPr>
          <w:p w14:paraId="6B0C7045" w14:textId="77777777" w:rsidR="001C2639" w:rsidRPr="00836581" w:rsidRDefault="001C2639" w:rsidP="00C57B5A">
            <w:pPr>
              <w:suppressAutoHyphens w:val="0"/>
              <w:spacing w:line="240" w:lineRule="auto"/>
              <w:rPr>
                <w:i/>
                <w:iCs/>
                <w:lang w:val="en-US"/>
              </w:rPr>
            </w:pPr>
            <w:r w:rsidRPr="00836581">
              <w:rPr>
                <w:i/>
                <w:iCs/>
                <w:lang w:val="en-US"/>
              </w:rPr>
              <w:t>ST/SG/AC.10/C.3/2023/12 (Sweden)</w:t>
            </w:r>
          </w:p>
        </w:tc>
        <w:tc>
          <w:tcPr>
            <w:tcW w:w="4236" w:type="dxa"/>
          </w:tcPr>
          <w:p w14:paraId="573BEDB8" w14:textId="77777777" w:rsidR="001C2639" w:rsidRPr="00836581" w:rsidRDefault="001C2639" w:rsidP="00C57B5A">
            <w:pPr>
              <w:keepNext/>
              <w:suppressAutoHyphens w:val="0"/>
              <w:spacing w:line="240" w:lineRule="auto"/>
              <w:ind w:left="12" w:hanging="12"/>
              <w:rPr>
                <w:iCs/>
                <w:u w:val="single"/>
                <w:lang w:val="en-US"/>
              </w:rPr>
            </w:pPr>
            <w:r w:rsidRPr="00836581">
              <w:rPr>
                <w:bCs/>
                <w:lang w:val="en-US"/>
              </w:rPr>
              <w:t>Amendment of definition “explosive or pyrotechnic effect”</w:t>
            </w:r>
          </w:p>
        </w:tc>
        <w:tc>
          <w:tcPr>
            <w:tcW w:w="1561" w:type="dxa"/>
          </w:tcPr>
          <w:p w14:paraId="311B7FFD" w14:textId="77777777" w:rsidR="001C2639" w:rsidRPr="00836581" w:rsidRDefault="001C2639" w:rsidP="00C57B5A">
            <w:pPr>
              <w:keepNext/>
              <w:suppressAutoHyphens w:val="0"/>
              <w:spacing w:line="240" w:lineRule="auto"/>
              <w:ind w:left="213" w:hanging="213"/>
              <w:jc w:val="center"/>
              <w:rPr>
                <w:iCs/>
                <w:lang w:val="en-US"/>
              </w:rPr>
            </w:pPr>
            <w:r w:rsidRPr="00836581">
              <w:rPr>
                <w:iCs/>
                <w:lang w:val="en-US"/>
              </w:rPr>
              <w:t>10</w:t>
            </w:r>
          </w:p>
        </w:tc>
      </w:tr>
      <w:tr w:rsidR="001C2639" w:rsidRPr="007F14EF" w14:paraId="57995F20" w14:textId="77777777" w:rsidTr="00C57B5A">
        <w:trPr>
          <w:gridAfter w:val="1"/>
          <w:wAfter w:w="250" w:type="dxa"/>
          <w:cantSplit/>
          <w:trHeight w:val="20"/>
        </w:trPr>
        <w:tc>
          <w:tcPr>
            <w:tcW w:w="2905" w:type="dxa"/>
          </w:tcPr>
          <w:p w14:paraId="21CC4697" w14:textId="77777777" w:rsidR="001C2639" w:rsidRPr="006F4363" w:rsidRDefault="001C2639" w:rsidP="00C57B5A">
            <w:pPr>
              <w:suppressAutoHyphens w:val="0"/>
              <w:spacing w:line="240" w:lineRule="auto"/>
              <w:rPr>
                <w:i/>
                <w:iCs/>
                <w:lang w:val="en-US"/>
              </w:rPr>
            </w:pPr>
            <w:r w:rsidRPr="006F4363">
              <w:rPr>
                <w:i/>
                <w:iCs/>
                <w:lang w:val="en-US"/>
              </w:rPr>
              <w:t xml:space="preserve">ST/SG/AC.10/C.3/2023/17 (AEISG), </w:t>
            </w:r>
            <w:r w:rsidRPr="006F4363">
              <w:rPr>
                <w:rStyle w:val="Strong"/>
                <w:b w:val="0"/>
                <w:bCs w:val="0"/>
                <w:i/>
                <w:iCs/>
                <w:lang w:val="en-US"/>
              </w:rPr>
              <w:t>UN/SCETDG/62/INF.28 (SAAMI)</w:t>
            </w:r>
          </w:p>
        </w:tc>
        <w:tc>
          <w:tcPr>
            <w:tcW w:w="4236" w:type="dxa"/>
          </w:tcPr>
          <w:p w14:paraId="34BCC09C" w14:textId="77777777" w:rsidR="001C2639" w:rsidRPr="006F4363" w:rsidRDefault="001C2639" w:rsidP="00C57B5A">
            <w:pPr>
              <w:keepNext/>
              <w:suppressAutoHyphens w:val="0"/>
              <w:spacing w:line="240" w:lineRule="auto"/>
              <w:ind w:left="12" w:hanging="12"/>
              <w:rPr>
                <w:iCs/>
                <w:u w:val="single"/>
                <w:lang w:val="en-US"/>
              </w:rPr>
            </w:pPr>
            <w:r w:rsidRPr="006F4363">
              <w:rPr>
                <w:rFonts w:eastAsia="MS Mincho"/>
                <w:lang w:val="en-US" w:eastAsia="ja-JP"/>
              </w:rPr>
              <w:t>Consideration of amendments to chapter 2.17 (Desensitized explosives) of the Globally Harmonized System and section 51 of the Manual of Tests and Criteria</w:t>
            </w:r>
          </w:p>
        </w:tc>
        <w:tc>
          <w:tcPr>
            <w:tcW w:w="1561" w:type="dxa"/>
          </w:tcPr>
          <w:p w14:paraId="4835EB86" w14:textId="77777777" w:rsidR="001C2639" w:rsidRPr="006F4363" w:rsidRDefault="001C2639" w:rsidP="00C57B5A">
            <w:pPr>
              <w:keepNext/>
              <w:suppressAutoHyphens w:val="0"/>
              <w:spacing w:line="240" w:lineRule="auto"/>
              <w:ind w:left="213" w:hanging="213"/>
              <w:jc w:val="center"/>
              <w:rPr>
                <w:iCs/>
                <w:lang w:val="en-US"/>
              </w:rPr>
            </w:pPr>
            <w:r w:rsidRPr="006F4363">
              <w:rPr>
                <w:iCs/>
                <w:lang w:val="en-US"/>
              </w:rPr>
              <w:t>11</w:t>
            </w:r>
          </w:p>
        </w:tc>
      </w:tr>
      <w:tr w:rsidR="001C2639" w:rsidRPr="007F14EF" w14:paraId="5372CF11" w14:textId="77777777" w:rsidTr="00C57B5A">
        <w:trPr>
          <w:gridAfter w:val="1"/>
          <w:wAfter w:w="250" w:type="dxa"/>
          <w:cantSplit/>
          <w:trHeight w:val="20"/>
        </w:trPr>
        <w:tc>
          <w:tcPr>
            <w:tcW w:w="2905" w:type="dxa"/>
          </w:tcPr>
          <w:p w14:paraId="31E33A99" w14:textId="77777777" w:rsidR="001C2639" w:rsidRPr="00477EF6" w:rsidRDefault="001C2639" w:rsidP="00C57B5A">
            <w:pPr>
              <w:suppressAutoHyphens w:val="0"/>
              <w:spacing w:line="240" w:lineRule="auto"/>
              <w:rPr>
                <w:i/>
                <w:iCs/>
                <w:lang w:val="en-US"/>
              </w:rPr>
            </w:pPr>
            <w:r w:rsidRPr="00477EF6">
              <w:rPr>
                <w:i/>
                <w:iCs/>
                <w:lang w:val="en-US"/>
              </w:rPr>
              <w:t>ST/SG/AC.10/C.3/2023/18 (AEISG)</w:t>
            </w:r>
          </w:p>
        </w:tc>
        <w:tc>
          <w:tcPr>
            <w:tcW w:w="4236" w:type="dxa"/>
          </w:tcPr>
          <w:p w14:paraId="754BCF9A" w14:textId="77777777" w:rsidR="001C2639" w:rsidRPr="00477EF6" w:rsidRDefault="001C2639" w:rsidP="00C57B5A">
            <w:pPr>
              <w:keepNext/>
              <w:suppressAutoHyphens w:val="0"/>
              <w:spacing w:line="240" w:lineRule="auto"/>
              <w:ind w:left="12" w:hanging="12"/>
              <w:rPr>
                <w:iCs/>
                <w:u w:val="single"/>
                <w:lang w:val="en-US"/>
              </w:rPr>
            </w:pPr>
            <w:r w:rsidRPr="00477EF6">
              <w:rPr>
                <w:lang w:val="en-US"/>
              </w:rPr>
              <w:t>Proposal to amend the definition for Class 1 explosives</w:t>
            </w:r>
          </w:p>
        </w:tc>
        <w:tc>
          <w:tcPr>
            <w:tcW w:w="1561" w:type="dxa"/>
          </w:tcPr>
          <w:p w14:paraId="786846D8" w14:textId="77777777" w:rsidR="001C2639" w:rsidRPr="00477EF6" w:rsidRDefault="001C2639" w:rsidP="00C57B5A">
            <w:pPr>
              <w:keepNext/>
              <w:suppressAutoHyphens w:val="0"/>
              <w:spacing w:line="240" w:lineRule="auto"/>
              <w:ind w:left="213" w:hanging="213"/>
              <w:jc w:val="center"/>
              <w:rPr>
                <w:iCs/>
                <w:lang w:val="en-US"/>
              </w:rPr>
            </w:pPr>
            <w:r w:rsidRPr="00477EF6">
              <w:rPr>
                <w:iCs/>
                <w:lang w:val="en-US"/>
              </w:rPr>
              <w:t>12</w:t>
            </w:r>
          </w:p>
        </w:tc>
      </w:tr>
      <w:tr w:rsidR="001C2639" w:rsidRPr="007F14EF" w14:paraId="545396F2" w14:textId="77777777" w:rsidTr="00C57B5A">
        <w:trPr>
          <w:gridAfter w:val="1"/>
          <w:wAfter w:w="250" w:type="dxa"/>
          <w:cantSplit/>
          <w:trHeight w:val="20"/>
        </w:trPr>
        <w:tc>
          <w:tcPr>
            <w:tcW w:w="2905" w:type="dxa"/>
          </w:tcPr>
          <w:p w14:paraId="767EB017" w14:textId="77777777" w:rsidR="001C2639" w:rsidRPr="00573FD4" w:rsidRDefault="001C2639" w:rsidP="00C57B5A">
            <w:pPr>
              <w:suppressAutoHyphens w:val="0"/>
              <w:spacing w:line="240" w:lineRule="auto"/>
              <w:rPr>
                <w:i/>
                <w:iCs/>
                <w:lang w:val="en-US"/>
              </w:rPr>
            </w:pPr>
            <w:r w:rsidRPr="00573FD4">
              <w:rPr>
                <w:i/>
                <w:iCs/>
                <w:lang w:val="en-US"/>
              </w:rPr>
              <w:t>ST/SG/AC.10/C.3/2023/19 (AEISG), UN/SCETDG/62/INF.19 (Sweden)</w:t>
            </w:r>
          </w:p>
        </w:tc>
        <w:tc>
          <w:tcPr>
            <w:tcW w:w="4236" w:type="dxa"/>
          </w:tcPr>
          <w:p w14:paraId="7536584A" w14:textId="77777777" w:rsidR="001C2639" w:rsidRPr="00573FD4" w:rsidRDefault="001C2639" w:rsidP="00C57B5A">
            <w:pPr>
              <w:keepNext/>
              <w:suppressAutoHyphens w:val="0"/>
              <w:spacing w:line="240" w:lineRule="auto"/>
              <w:ind w:left="12" w:hanging="12"/>
              <w:rPr>
                <w:iCs/>
                <w:u w:val="single"/>
                <w:lang w:val="en-US"/>
              </w:rPr>
            </w:pPr>
            <w:r w:rsidRPr="00573FD4">
              <w:rPr>
                <w:lang w:val="en-US"/>
              </w:rPr>
              <w:t>Proposal to extend the entry for UN 3375 to provide for all potential packing groups</w:t>
            </w:r>
          </w:p>
        </w:tc>
        <w:tc>
          <w:tcPr>
            <w:tcW w:w="1561" w:type="dxa"/>
          </w:tcPr>
          <w:p w14:paraId="40E60B7D" w14:textId="77777777" w:rsidR="001C2639" w:rsidRPr="00573FD4" w:rsidRDefault="001C2639" w:rsidP="00C57B5A">
            <w:pPr>
              <w:keepNext/>
              <w:suppressAutoHyphens w:val="0"/>
              <w:spacing w:line="240" w:lineRule="auto"/>
              <w:ind w:left="213" w:hanging="213"/>
              <w:jc w:val="center"/>
              <w:rPr>
                <w:iCs/>
                <w:lang w:val="en-US"/>
              </w:rPr>
            </w:pPr>
            <w:r w:rsidRPr="00573FD4">
              <w:rPr>
                <w:iCs/>
                <w:lang w:val="en-US"/>
              </w:rPr>
              <w:t>13</w:t>
            </w:r>
          </w:p>
        </w:tc>
      </w:tr>
      <w:tr w:rsidR="001C2639" w:rsidRPr="007F14EF" w14:paraId="2FD4603C" w14:textId="77777777" w:rsidTr="00C57B5A">
        <w:trPr>
          <w:gridAfter w:val="1"/>
          <w:wAfter w:w="250" w:type="dxa"/>
          <w:cantSplit/>
          <w:trHeight w:val="20"/>
        </w:trPr>
        <w:tc>
          <w:tcPr>
            <w:tcW w:w="2905" w:type="dxa"/>
          </w:tcPr>
          <w:p w14:paraId="25D2A845" w14:textId="77777777" w:rsidR="001C2639" w:rsidRPr="0032415B" w:rsidRDefault="001C2639" w:rsidP="00C57B5A">
            <w:pPr>
              <w:suppressAutoHyphens w:val="0"/>
              <w:spacing w:line="240" w:lineRule="auto"/>
              <w:rPr>
                <w:i/>
                <w:iCs/>
                <w:lang w:val="en-US"/>
              </w:rPr>
            </w:pPr>
            <w:r w:rsidRPr="0032415B">
              <w:rPr>
                <w:i/>
                <w:iCs/>
                <w:lang w:val="en-US"/>
              </w:rPr>
              <w:t>ST/SG/AC.10/C.3/2023/25 (SAAMI)</w:t>
            </w:r>
          </w:p>
        </w:tc>
        <w:tc>
          <w:tcPr>
            <w:tcW w:w="4236" w:type="dxa"/>
          </w:tcPr>
          <w:p w14:paraId="1D8E1731" w14:textId="77777777" w:rsidR="001C2639" w:rsidRPr="0032415B" w:rsidRDefault="001C2639" w:rsidP="00C57B5A">
            <w:pPr>
              <w:keepNext/>
              <w:suppressAutoHyphens w:val="0"/>
              <w:spacing w:line="240" w:lineRule="auto"/>
              <w:ind w:left="12" w:hanging="12"/>
              <w:rPr>
                <w:iCs/>
                <w:u w:val="single"/>
                <w:lang w:val="en-US"/>
              </w:rPr>
            </w:pPr>
            <w:r w:rsidRPr="0032415B">
              <w:rPr>
                <w:lang w:val="en-US"/>
              </w:rPr>
              <w:t>Packing instruction P130 and metal on metal contact between explosives and packaging</w:t>
            </w:r>
          </w:p>
        </w:tc>
        <w:tc>
          <w:tcPr>
            <w:tcW w:w="1561" w:type="dxa"/>
          </w:tcPr>
          <w:p w14:paraId="6F1C6826" w14:textId="77777777" w:rsidR="001C2639" w:rsidRPr="0032415B" w:rsidRDefault="001C2639" w:rsidP="00C57B5A">
            <w:pPr>
              <w:keepNext/>
              <w:suppressAutoHyphens w:val="0"/>
              <w:spacing w:line="240" w:lineRule="auto"/>
              <w:ind w:left="213" w:hanging="213"/>
              <w:jc w:val="center"/>
              <w:rPr>
                <w:iCs/>
                <w:lang w:val="en-US"/>
              </w:rPr>
            </w:pPr>
            <w:r w:rsidRPr="0032415B">
              <w:rPr>
                <w:iCs/>
                <w:lang w:val="en-US"/>
              </w:rPr>
              <w:t>14</w:t>
            </w:r>
          </w:p>
        </w:tc>
      </w:tr>
      <w:tr w:rsidR="001C2639" w:rsidRPr="007F14EF" w14:paraId="364DAD1A" w14:textId="77777777" w:rsidTr="00C57B5A">
        <w:trPr>
          <w:gridAfter w:val="1"/>
          <w:wAfter w:w="250" w:type="dxa"/>
          <w:cantSplit/>
          <w:trHeight w:val="20"/>
        </w:trPr>
        <w:tc>
          <w:tcPr>
            <w:tcW w:w="2905" w:type="dxa"/>
          </w:tcPr>
          <w:p w14:paraId="017C9CF7" w14:textId="77777777" w:rsidR="001C2639" w:rsidRPr="0032415B" w:rsidRDefault="001C2639" w:rsidP="00C57B5A">
            <w:pPr>
              <w:suppressAutoHyphens w:val="0"/>
              <w:spacing w:line="240" w:lineRule="auto"/>
              <w:rPr>
                <w:i/>
                <w:iCs/>
                <w:lang w:val="en-US"/>
              </w:rPr>
            </w:pPr>
            <w:bookmarkStart w:id="2" w:name="_Hlk139267538"/>
            <w:r w:rsidRPr="0032415B">
              <w:rPr>
                <w:i/>
                <w:iCs/>
                <w:lang w:val="en-US"/>
              </w:rPr>
              <w:t>UN/SCEDTDG/62/INF.3 CEFIC</w:t>
            </w:r>
            <w:bookmarkEnd w:id="2"/>
          </w:p>
        </w:tc>
        <w:tc>
          <w:tcPr>
            <w:tcW w:w="4236" w:type="dxa"/>
          </w:tcPr>
          <w:p w14:paraId="249E67EE" w14:textId="77777777" w:rsidR="001C2639" w:rsidRPr="0032415B" w:rsidRDefault="001C2639" w:rsidP="00C57B5A">
            <w:pPr>
              <w:keepNext/>
              <w:suppressAutoHyphens w:val="0"/>
              <w:spacing w:line="240" w:lineRule="auto"/>
              <w:ind w:left="12" w:hanging="12"/>
              <w:rPr>
                <w:lang w:val="en-US"/>
              </w:rPr>
            </w:pPr>
            <w:r w:rsidRPr="0032415B">
              <w:rPr>
                <w:lang w:val="en-US"/>
              </w:rPr>
              <w:t>Polymerizing substances and Self Acceleration Polymerization Temperature</w:t>
            </w:r>
          </w:p>
        </w:tc>
        <w:tc>
          <w:tcPr>
            <w:tcW w:w="1561" w:type="dxa"/>
          </w:tcPr>
          <w:p w14:paraId="6C05D1C7" w14:textId="77777777" w:rsidR="001C2639" w:rsidRPr="0032415B" w:rsidRDefault="001C2639" w:rsidP="00C57B5A">
            <w:pPr>
              <w:keepNext/>
              <w:suppressAutoHyphens w:val="0"/>
              <w:spacing w:line="240" w:lineRule="auto"/>
              <w:ind w:left="213" w:hanging="213"/>
              <w:jc w:val="center"/>
              <w:rPr>
                <w:iCs/>
                <w:lang w:val="en-US"/>
              </w:rPr>
            </w:pPr>
            <w:r w:rsidRPr="0032415B">
              <w:rPr>
                <w:iCs/>
                <w:lang w:val="en-US"/>
              </w:rPr>
              <w:t>15</w:t>
            </w:r>
          </w:p>
        </w:tc>
      </w:tr>
      <w:tr w:rsidR="001C2639" w:rsidRPr="007F14EF" w14:paraId="3BA15D78" w14:textId="77777777" w:rsidTr="00C57B5A">
        <w:trPr>
          <w:gridAfter w:val="1"/>
          <w:wAfter w:w="250" w:type="dxa"/>
          <w:cantSplit/>
          <w:trHeight w:val="20"/>
        </w:trPr>
        <w:tc>
          <w:tcPr>
            <w:tcW w:w="2905" w:type="dxa"/>
          </w:tcPr>
          <w:p w14:paraId="5CF68C98" w14:textId="77777777" w:rsidR="001C2639" w:rsidRPr="00D17921" w:rsidRDefault="001C2639" w:rsidP="00C57B5A">
            <w:pPr>
              <w:suppressAutoHyphens w:val="0"/>
              <w:spacing w:line="240" w:lineRule="auto"/>
              <w:rPr>
                <w:rStyle w:val="Strong"/>
                <w:i/>
                <w:iCs/>
                <w:lang w:val="en-US"/>
              </w:rPr>
            </w:pPr>
            <w:r w:rsidRPr="00D17921">
              <w:rPr>
                <w:i/>
                <w:iCs/>
                <w:lang w:val="en-US"/>
              </w:rPr>
              <w:lastRenderedPageBreak/>
              <w:t>UN/SCETDG/62/INF.5 (Chair of the Working group on explosives)</w:t>
            </w:r>
          </w:p>
        </w:tc>
        <w:tc>
          <w:tcPr>
            <w:tcW w:w="4236" w:type="dxa"/>
          </w:tcPr>
          <w:p w14:paraId="797C8E5D" w14:textId="77777777" w:rsidR="001C2639" w:rsidRPr="00D17921" w:rsidRDefault="001C2639" w:rsidP="00C57B5A">
            <w:pPr>
              <w:keepNext/>
              <w:suppressAutoHyphens w:val="0"/>
              <w:spacing w:line="240" w:lineRule="auto"/>
              <w:ind w:left="12" w:hanging="12"/>
              <w:rPr>
                <w:lang w:val="en-US"/>
              </w:rPr>
            </w:pPr>
            <w:hyperlink r:id="rId12" w:history="1">
              <w:r w:rsidRPr="00D17921">
                <w:rPr>
                  <w:rStyle w:val="Hyperlink"/>
                  <w:lang w:val="en-US"/>
                </w:rPr>
                <w:t>Report of the intersessional correspondence group on fireworks</w:t>
              </w:r>
            </w:hyperlink>
          </w:p>
        </w:tc>
        <w:tc>
          <w:tcPr>
            <w:tcW w:w="1561" w:type="dxa"/>
          </w:tcPr>
          <w:p w14:paraId="3A6E7C3F" w14:textId="77777777" w:rsidR="001C2639" w:rsidRPr="00D17921" w:rsidRDefault="001C2639" w:rsidP="00C57B5A">
            <w:pPr>
              <w:keepNext/>
              <w:suppressAutoHyphens w:val="0"/>
              <w:spacing w:line="240" w:lineRule="auto"/>
              <w:ind w:left="213" w:hanging="213"/>
              <w:jc w:val="center"/>
              <w:rPr>
                <w:iCs/>
                <w:lang w:val="en-US"/>
              </w:rPr>
            </w:pPr>
            <w:r w:rsidRPr="00D17921">
              <w:rPr>
                <w:iCs/>
                <w:lang w:val="en-US"/>
              </w:rPr>
              <w:t>16</w:t>
            </w:r>
          </w:p>
        </w:tc>
      </w:tr>
      <w:tr w:rsidR="001C2639" w:rsidRPr="007F14EF" w14:paraId="31BCA9C3" w14:textId="77777777" w:rsidTr="00C57B5A">
        <w:trPr>
          <w:gridAfter w:val="1"/>
          <w:wAfter w:w="250" w:type="dxa"/>
          <w:cantSplit/>
          <w:trHeight w:val="20"/>
        </w:trPr>
        <w:tc>
          <w:tcPr>
            <w:tcW w:w="2905" w:type="dxa"/>
          </w:tcPr>
          <w:p w14:paraId="388BA39B" w14:textId="77777777" w:rsidR="001C2639" w:rsidRPr="00EE4879" w:rsidRDefault="001C2639" w:rsidP="00C57B5A">
            <w:pPr>
              <w:suppressAutoHyphens w:val="0"/>
              <w:spacing w:line="240" w:lineRule="auto"/>
              <w:rPr>
                <w:i/>
                <w:iCs/>
                <w:lang w:val="en-US"/>
              </w:rPr>
            </w:pPr>
            <w:r w:rsidRPr="00EE4879">
              <w:rPr>
                <w:i/>
                <w:iCs/>
                <w:lang w:val="en-US"/>
              </w:rPr>
              <w:t>UN/SCETDG/62/INF.29 (USA)</w:t>
            </w:r>
          </w:p>
        </w:tc>
        <w:tc>
          <w:tcPr>
            <w:tcW w:w="4236" w:type="dxa"/>
          </w:tcPr>
          <w:p w14:paraId="60103112" w14:textId="77777777" w:rsidR="001C2639" w:rsidRPr="00EE4879" w:rsidRDefault="001C2639" w:rsidP="00C57B5A">
            <w:pPr>
              <w:keepNext/>
              <w:suppressAutoHyphens w:val="0"/>
              <w:spacing w:line="240" w:lineRule="auto"/>
              <w:ind w:left="12" w:hanging="12"/>
              <w:rPr>
                <w:lang w:val="en-US"/>
              </w:rPr>
            </w:pPr>
            <w:bookmarkStart w:id="3" w:name="_Hlk138951694"/>
            <w:r w:rsidRPr="00EE4879">
              <w:rPr>
                <w:lang w:val="en-US"/>
              </w:rPr>
              <w:t>Termination of certain explosive classification approvals due to the Model Regulation Test Series 6(d) requirement</w:t>
            </w:r>
            <w:bookmarkEnd w:id="3"/>
          </w:p>
        </w:tc>
        <w:tc>
          <w:tcPr>
            <w:tcW w:w="1561" w:type="dxa"/>
          </w:tcPr>
          <w:p w14:paraId="68376F7B" w14:textId="77777777" w:rsidR="001C2639" w:rsidRPr="00EE4879" w:rsidRDefault="001C2639" w:rsidP="00C57B5A">
            <w:pPr>
              <w:keepNext/>
              <w:suppressAutoHyphens w:val="0"/>
              <w:spacing w:line="240" w:lineRule="auto"/>
              <w:ind w:left="213" w:hanging="213"/>
              <w:jc w:val="center"/>
              <w:rPr>
                <w:iCs/>
                <w:lang w:val="en-US"/>
              </w:rPr>
            </w:pPr>
            <w:r w:rsidRPr="00EE4879">
              <w:rPr>
                <w:iCs/>
                <w:lang w:val="en-US"/>
              </w:rPr>
              <w:t>17</w:t>
            </w:r>
          </w:p>
        </w:tc>
      </w:tr>
      <w:tr w:rsidR="001C2639" w:rsidRPr="007F14EF" w14:paraId="4D020934" w14:textId="77777777" w:rsidTr="00C57B5A">
        <w:trPr>
          <w:gridAfter w:val="1"/>
          <w:wAfter w:w="250" w:type="dxa"/>
          <w:cantSplit/>
          <w:trHeight w:val="20"/>
        </w:trPr>
        <w:tc>
          <w:tcPr>
            <w:tcW w:w="2905" w:type="dxa"/>
          </w:tcPr>
          <w:p w14:paraId="2DC95CC8" w14:textId="77777777" w:rsidR="001C2639" w:rsidRPr="0069557C" w:rsidRDefault="001C2639" w:rsidP="00C57B5A">
            <w:pPr>
              <w:suppressAutoHyphens w:val="0"/>
              <w:spacing w:line="240" w:lineRule="auto"/>
              <w:rPr>
                <w:rStyle w:val="Strong"/>
                <w:b w:val="0"/>
                <w:bCs w:val="0"/>
                <w:i/>
                <w:iCs/>
                <w:lang w:val="en-US"/>
              </w:rPr>
            </w:pPr>
            <w:r w:rsidRPr="0069557C">
              <w:rPr>
                <w:rStyle w:val="Strong"/>
                <w:b w:val="0"/>
                <w:bCs w:val="0"/>
                <w:i/>
                <w:iCs/>
                <w:lang w:val="en-US"/>
              </w:rPr>
              <w:t>UN/SCETDG/62/INF.35 (China)</w:t>
            </w:r>
          </w:p>
        </w:tc>
        <w:tc>
          <w:tcPr>
            <w:tcW w:w="4236" w:type="dxa"/>
          </w:tcPr>
          <w:p w14:paraId="20F92E50" w14:textId="77777777" w:rsidR="001C2639" w:rsidRPr="0069557C" w:rsidRDefault="001C2639" w:rsidP="00C57B5A">
            <w:pPr>
              <w:keepNext/>
              <w:suppressAutoHyphens w:val="0"/>
              <w:spacing w:line="240" w:lineRule="auto"/>
              <w:ind w:left="12" w:hanging="12"/>
              <w:rPr>
                <w:lang w:val="en-US"/>
              </w:rPr>
            </w:pPr>
            <w:hyperlink r:id="rId13" w:history="1">
              <w:bookmarkStart w:id="4" w:name="_Hlk138951757"/>
              <w:r w:rsidRPr="0069557C">
                <w:rPr>
                  <w:rStyle w:val="Hyperlink"/>
                  <w:lang w:val="en-US"/>
                </w:rPr>
                <w:t>New special provision and special packing provision of UN 202</w:t>
              </w:r>
              <w:bookmarkEnd w:id="4"/>
              <w:r w:rsidRPr="0069557C">
                <w:rPr>
                  <w:rStyle w:val="Hyperlink"/>
                  <w:lang w:val="en-US"/>
                </w:rPr>
                <w:t xml:space="preserve">9 </w:t>
              </w:r>
            </w:hyperlink>
          </w:p>
        </w:tc>
        <w:tc>
          <w:tcPr>
            <w:tcW w:w="1561" w:type="dxa"/>
          </w:tcPr>
          <w:p w14:paraId="12727BBF" w14:textId="77777777" w:rsidR="001C2639" w:rsidRPr="0069557C" w:rsidRDefault="001C2639" w:rsidP="00C57B5A">
            <w:pPr>
              <w:keepNext/>
              <w:suppressAutoHyphens w:val="0"/>
              <w:spacing w:line="240" w:lineRule="auto"/>
              <w:ind w:left="213" w:hanging="213"/>
              <w:jc w:val="center"/>
              <w:rPr>
                <w:iCs/>
                <w:lang w:val="en-US"/>
              </w:rPr>
            </w:pPr>
            <w:r w:rsidRPr="0069557C">
              <w:rPr>
                <w:iCs/>
                <w:lang w:val="en-US"/>
              </w:rPr>
              <w:t>18</w:t>
            </w:r>
          </w:p>
        </w:tc>
      </w:tr>
      <w:tr w:rsidR="001C2639" w:rsidRPr="007F14EF" w14:paraId="396A3149" w14:textId="77777777" w:rsidTr="00C57B5A">
        <w:trPr>
          <w:gridAfter w:val="1"/>
          <w:wAfter w:w="250" w:type="dxa"/>
          <w:cantSplit/>
          <w:trHeight w:val="20"/>
        </w:trPr>
        <w:tc>
          <w:tcPr>
            <w:tcW w:w="2905" w:type="dxa"/>
          </w:tcPr>
          <w:p w14:paraId="62280048" w14:textId="77777777" w:rsidR="001C2639" w:rsidRPr="00615BDC" w:rsidRDefault="001C2639" w:rsidP="00C57B5A">
            <w:pPr>
              <w:suppressAutoHyphens w:val="0"/>
              <w:spacing w:line="240" w:lineRule="auto"/>
              <w:rPr>
                <w:rStyle w:val="Strong"/>
                <w:b w:val="0"/>
                <w:bCs w:val="0"/>
                <w:i/>
                <w:iCs/>
                <w:lang w:val="en-US"/>
              </w:rPr>
            </w:pPr>
            <w:r w:rsidRPr="0069557C">
              <w:rPr>
                <w:rStyle w:val="Strong"/>
                <w:b w:val="0"/>
                <w:bCs w:val="0"/>
                <w:i/>
                <w:iCs/>
                <w:lang w:val="en-US"/>
              </w:rPr>
              <w:t>UN/SCETDG/62</w:t>
            </w:r>
            <w:r>
              <w:rPr>
                <w:rStyle w:val="Strong"/>
                <w:b w:val="0"/>
                <w:bCs w:val="0"/>
                <w:i/>
                <w:iCs/>
                <w:lang w:val="en-US"/>
              </w:rPr>
              <w:t>/</w:t>
            </w:r>
            <w:r w:rsidRPr="00615BDC">
              <w:rPr>
                <w:rStyle w:val="Strong"/>
                <w:b w:val="0"/>
                <w:bCs w:val="0"/>
                <w:i/>
                <w:iCs/>
                <w:lang w:val="en-US"/>
              </w:rPr>
              <w:t>INF.39 (COSTHA)</w:t>
            </w:r>
          </w:p>
        </w:tc>
        <w:tc>
          <w:tcPr>
            <w:tcW w:w="4236" w:type="dxa"/>
          </w:tcPr>
          <w:p w14:paraId="339FB5AE" w14:textId="77777777" w:rsidR="001C2639" w:rsidRPr="00615BDC" w:rsidRDefault="001C2639" w:rsidP="00C57B5A">
            <w:pPr>
              <w:keepNext/>
              <w:suppressAutoHyphens w:val="0"/>
              <w:spacing w:line="240" w:lineRule="auto"/>
              <w:ind w:left="12" w:hanging="12"/>
              <w:rPr>
                <w:lang w:val="en-US"/>
              </w:rPr>
            </w:pPr>
            <w:bookmarkStart w:id="5" w:name="_Hlk139267905"/>
            <w:r w:rsidRPr="00615BDC">
              <w:rPr>
                <w:lang w:val="en-US"/>
              </w:rPr>
              <w:t>Introduction of Division 1.4 Entry for QDO</w:t>
            </w:r>
            <w:bookmarkEnd w:id="5"/>
          </w:p>
        </w:tc>
        <w:tc>
          <w:tcPr>
            <w:tcW w:w="1561" w:type="dxa"/>
          </w:tcPr>
          <w:p w14:paraId="1109A0CA" w14:textId="77777777" w:rsidR="001C2639" w:rsidRPr="001D7558" w:rsidRDefault="001C2639" w:rsidP="00C57B5A">
            <w:pPr>
              <w:keepNext/>
              <w:suppressAutoHyphens w:val="0"/>
              <w:spacing w:line="240" w:lineRule="auto"/>
              <w:ind w:left="213" w:hanging="213"/>
              <w:jc w:val="center"/>
              <w:rPr>
                <w:iCs/>
                <w:color w:val="00B0F0"/>
                <w:lang w:val="en-US"/>
              </w:rPr>
            </w:pPr>
            <w:r w:rsidRPr="00615BDC">
              <w:rPr>
                <w:iCs/>
                <w:lang w:val="en-US"/>
              </w:rPr>
              <w:t>19</w:t>
            </w:r>
          </w:p>
        </w:tc>
      </w:tr>
      <w:tr w:rsidR="001C2639" w:rsidRPr="007F14EF" w14:paraId="4A456099" w14:textId="77777777" w:rsidTr="00C57B5A">
        <w:trPr>
          <w:gridAfter w:val="1"/>
          <w:wAfter w:w="250" w:type="dxa"/>
          <w:cantSplit/>
          <w:trHeight w:val="20"/>
        </w:trPr>
        <w:tc>
          <w:tcPr>
            <w:tcW w:w="2905" w:type="dxa"/>
            <w:shd w:val="clear" w:color="auto" w:fill="E6E6E6"/>
            <w:hideMark/>
          </w:tcPr>
          <w:p w14:paraId="39F1976F" w14:textId="77777777" w:rsidR="001C2639" w:rsidRPr="00615BDC" w:rsidRDefault="001C2639" w:rsidP="00C57B5A">
            <w:pPr>
              <w:suppressAutoHyphens w:val="0"/>
              <w:spacing w:line="240" w:lineRule="auto"/>
              <w:ind w:left="213" w:hanging="213"/>
              <w:rPr>
                <w:iCs/>
                <w:u w:val="single"/>
                <w:lang w:val="en-US"/>
              </w:rPr>
            </w:pPr>
            <w:r w:rsidRPr="00615BDC">
              <w:rPr>
                <w:iCs/>
                <w:u w:val="single"/>
                <w:lang w:val="en-US"/>
              </w:rPr>
              <w:t>Agenda Item 6(d)</w:t>
            </w:r>
          </w:p>
        </w:tc>
        <w:tc>
          <w:tcPr>
            <w:tcW w:w="4236" w:type="dxa"/>
            <w:shd w:val="clear" w:color="auto" w:fill="E6E6E6"/>
            <w:hideMark/>
          </w:tcPr>
          <w:p w14:paraId="044B55F8" w14:textId="77777777" w:rsidR="001C2639" w:rsidRPr="00615BDC" w:rsidRDefault="001C2639" w:rsidP="00C57B5A">
            <w:pPr>
              <w:suppressAutoHyphens w:val="0"/>
              <w:spacing w:line="240" w:lineRule="auto"/>
              <w:ind w:left="12" w:hanging="12"/>
              <w:rPr>
                <w:iCs/>
                <w:u w:val="single"/>
                <w:lang w:val="en-US"/>
              </w:rPr>
            </w:pPr>
            <w:r w:rsidRPr="00615BDC">
              <w:rPr>
                <w:iCs/>
                <w:u w:val="single"/>
                <w:lang w:val="en-US"/>
              </w:rPr>
              <w:t>Miscellaneous proposals for amendments to the Model Regulations on the Transport of Dangerous Goods - Other miscellaneous proposals</w:t>
            </w:r>
          </w:p>
        </w:tc>
        <w:tc>
          <w:tcPr>
            <w:tcW w:w="1561" w:type="dxa"/>
            <w:shd w:val="clear" w:color="auto" w:fill="E6E6E6"/>
          </w:tcPr>
          <w:p w14:paraId="592DB9FF" w14:textId="77777777" w:rsidR="001C2639" w:rsidRPr="001D7558" w:rsidRDefault="001C2639" w:rsidP="00C57B5A">
            <w:pPr>
              <w:suppressAutoHyphens w:val="0"/>
              <w:spacing w:line="240" w:lineRule="auto"/>
              <w:ind w:left="264" w:hanging="264"/>
              <w:jc w:val="center"/>
              <w:rPr>
                <w:color w:val="00B0F0"/>
                <w:u w:val="single"/>
                <w:lang w:val="en-US"/>
              </w:rPr>
            </w:pPr>
          </w:p>
        </w:tc>
      </w:tr>
      <w:tr w:rsidR="001C2639" w:rsidRPr="007F14EF" w14:paraId="5D86A906" w14:textId="77777777" w:rsidTr="00C57B5A">
        <w:trPr>
          <w:gridAfter w:val="1"/>
          <w:wAfter w:w="250" w:type="dxa"/>
          <w:cantSplit/>
          <w:trHeight w:val="20"/>
        </w:trPr>
        <w:tc>
          <w:tcPr>
            <w:tcW w:w="2905" w:type="dxa"/>
          </w:tcPr>
          <w:p w14:paraId="6297BC2D" w14:textId="77777777" w:rsidR="001C2639" w:rsidRPr="001D7558" w:rsidRDefault="001C2639" w:rsidP="00C57B5A">
            <w:pPr>
              <w:suppressAutoHyphens w:val="0"/>
              <w:spacing w:line="240" w:lineRule="auto"/>
              <w:rPr>
                <w:i/>
                <w:iCs/>
                <w:lang w:val="en-US"/>
              </w:rPr>
            </w:pPr>
            <w:r w:rsidRPr="001D7558">
              <w:rPr>
                <w:i/>
                <w:iCs/>
                <w:lang w:val="en-US"/>
              </w:rPr>
              <w:t>ST/SG/AC.10/C.3/2023/2 (Spain)</w:t>
            </w:r>
          </w:p>
        </w:tc>
        <w:tc>
          <w:tcPr>
            <w:tcW w:w="4236" w:type="dxa"/>
          </w:tcPr>
          <w:p w14:paraId="721AE815" w14:textId="77777777" w:rsidR="001C2639" w:rsidRPr="001D7558" w:rsidRDefault="001C2639" w:rsidP="00C57B5A">
            <w:pPr>
              <w:suppressAutoHyphens w:val="0"/>
              <w:spacing w:line="240" w:lineRule="auto"/>
              <w:rPr>
                <w:lang w:val="en-US"/>
              </w:rPr>
            </w:pPr>
            <w:r w:rsidRPr="001D7558">
              <w:rPr>
                <w:lang w:val="en-US"/>
              </w:rPr>
              <w:t>Units of measurement</w:t>
            </w:r>
          </w:p>
        </w:tc>
        <w:tc>
          <w:tcPr>
            <w:tcW w:w="1561" w:type="dxa"/>
            <w:hideMark/>
          </w:tcPr>
          <w:p w14:paraId="0D465063" w14:textId="77777777" w:rsidR="001C2639" w:rsidRPr="001D7558" w:rsidRDefault="001C2639" w:rsidP="00C57B5A">
            <w:pPr>
              <w:keepNext/>
              <w:suppressAutoHyphens w:val="0"/>
              <w:spacing w:line="240" w:lineRule="auto"/>
              <w:ind w:left="213" w:hanging="213"/>
              <w:jc w:val="center"/>
              <w:rPr>
                <w:lang w:val="en-US"/>
              </w:rPr>
            </w:pPr>
            <w:r w:rsidRPr="001D7558">
              <w:rPr>
                <w:lang w:val="en-US"/>
              </w:rPr>
              <w:t>20</w:t>
            </w:r>
          </w:p>
        </w:tc>
      </w:tr>
    </w:tbl>
    <w:p w14:paraId="120F3AD3" w14:textId="77777777" w:rsidR="001C2639" w:rsidRPr="00FB185D" w:rsidRDefault="001C2639" w:rsidP="003C5ADC">
      <w:pPr>
        <w:pStyle w:val="SingleTxtG"/>
        <w:numPr>
          <w:ilvl w:val="0"/>
          <w:numId w:val="18"/>
        </w:numPr>
        <w:spacing w:before="240" w:line="240" w:lineRule="auto"/>
        <w:ind w:right="43"/>
        <w:rPr>
          <w:lang w:val="en-US"/>
        </w:rPr>
      </w:pPr>
      <w:r w:rsidRPr="00FB185D">
        <w:rPr>
          <w:lang w:val="en-US"/>
        </w:rPr>
        <w:t xml:space="preserve">There are two annexes to this report: </w:t>
      </w:r>
    </w:p>
    <w:p w14:paraId="6D507CDA" w14:textId="77777777" w:rsidR="001C2639" w:rsidRPr="00FB185D" w:rsidRDefault="001C2639" w:rsidP="003C5ADC">
      <w:pPr>
        <w:pStyle w:val="SingleTxtG"/>
        <w:numPr>
          <w:ilvl w:val="0"/>
          <w:numId w:val="19"/>
        </w:numPr>
        <w:spacing w:after="0" w:line="240" w:lineRule="auto"/>
        <w:ind w:left="2070" w:right="43"/>
        <w:contextualSpacing/>
        <w:rPr>
          <w:lang w:val="en-US"/>
        </w:rPr>
      </w:pPr>
      <w:hyperlink r:id="rId14" w:anchor="annex1">
        <w:r w:rsidRPr="00FB185D">
          <w:rPr>
            <w:rStyle w:val="Hyperlink"/>
            <w:lang w:val="en-US"/>
          </w:rPr>
          <w:t>Annex 1</w:t>
        </w:r>
      </w:hyperlink>
      <w:r w:rsidRPr="00FB185D">
        <w:rPr>
          <w:lang w:val="en-US"/>
        </w:rPr>
        <w:t xml:space="preserve"> – List of Participants</w:t>
      </w:r>
    </w:p>
    <w:p w14:paraId="43D2ACFC" w14:textId="77777777" w:rsidR="001C2639" w:rsidRPr="00FB185D" w:rsidRDefault="001C2639" w:rsidP="003C5ADC">
      <w:pPr>
        <w:pStyle w:val="SingleTxtG"/>
        <w:numPr>
          <w:ilvl w:val="0"/>
          <w:numId w:val="19"/>
        </w:numPr>
        <w:spacing w:before="240" w:after="0" w:line="240" w:lineRule="auto"/>
        <w:ind w:left="2070" w:right="43"/>
        <w:contextualSpacing/>
        <w:rPr>
          <w:lang w:val="en-US"/>
        </w:rPr>
      </w:pPr>
      <w:hyperlink r:id="rId15" w:anchor="annex2">
        <w:r w:rsidRPr="00FB185D">
          <w:rPr>
            <w:rStyle w:val="Hyperlink"/>
            <w:lang w:val="en-US"/>
          </w:rPr>
          <w:t>Annex 2</w:t>
        </w:r>
      </w:hyperlink>
      <w:r w:rsidRPr="00FB185D">
        <w:rPr>
          <w:lang w:val="en-US"/>
        </w:rPr>
        <w:t xml:space="preserve"> – Recommended </w:t>
      </w:r>
      <w:r w:rsidRPr="00FB185D">
        <w:rPr>
          <w:rFonts w:eastAsia="MS Mincho"/>
          <w:lang w:val="en-US"/>
        </w:rPr>
        <w:t xml:space="preserve">Changes for the </w:t>
      </w:r>
      <w:r w:rsidRPr="00FB185D">
        <w:rPr>
          <w:rFonts w:eastAsia="MS Mincho"/>
          <w:szCs w:val="28"/>
          <w:lang w:val="en-US" w:eastAsia="ja-JP"/>
        </w:rPr>
        <w:t>Model Regulations (23rd Revised Edition</w:t>
      </w:r>
      <w:r w:rsidRPr="00FB185D">
        <w:rPr>
          <w:rFonts w:eastAsia="MS Mincho"/>
          <w:lang w:val="en-US"/>
        </w:rPr>
        <w:t>)</w:t>
      </w:r>
      <w:r w:rsidRPr="00FB185D">
        <w:rPr>
          <w:lang w:val="en-US"/>
        </w:rPr>
        <w:t xml:space="preserve"> </w:t>
      </w:r>
    </w:p>
    <w:p w14:paraId="044307B5" w14:textId="77777777" w:rsidR="001C2639" w:rsidRPr="007F14EF" w:rsidRDefault="001C2639" w:rsidP="001C2639">
      <w:pPr>
        <w:pStyle w:val="HChG"/>
        <w:ind w:left="1138" w:right="43" w:firstLine="0"/>
        <w:rPr>
          <w:lang w:val="en-US"/>
        </w:rPr>
      </w:pPr>
      <w:r w:rsidRPr="007F14EF">
        <w:rPr>
          <w:lang w:val="en-US"/>
        </w:rPr>
        <w:t>Agenda Item 2(a) – Review of Test Series 6</w:t>
      </w:r>
    </w:p>
    <w:p w14:paraId="1A8B5B29" w14:textId="77777777" w:rsidR="001C2639" w:rsidRPr="007F14EF" w:rsidRDefault="001C2639" w:rsidP="003C5ADC">
      <w:pPr>
        <w:pStyle w:val="SingleTxtG"/>
        <w:keepNext/>
        <w:numPr>
          <w:ilvl w:val="0"/>
          <w:numId w:val="18"/>
        </w:numPr>
        <w:spacing w:after="240"/>
        <w:ind w:right="43"/>
        <w:rPr>
          <w:lang w:val="en-US"/>
        </w:rPr>
      </w:pPr>
      <w:r w:rsidRPr="007F14EF">
        <w:rPr>
          <w:b/>
          <w:u w:val="single"/>
          <w:lang w:val="en-US"/>
        </w:rPr>
        <w:t>Subject.</w:t>
      </w:r>
      <w:r w:rsidRPr="007F14EF">
        <w:rPr>
          <w:lang w:val="en-US"/>
        </w:rPr>
        <w:t xml:space="preserve">  Research in relation to exit from Class 1 and test 6 (d)</w:t>
      </w:r>
    </w:p>
    <w:p w14:paraId="6F34F468" w14:textId="77777777" w:rsidR="001C2639" w:rsidRPr="007F14EF" w:rsidRDefault="001C2639" w:rsidP="001C2639">
      <w:pPr>
        <w:pStyle w:val="SingleTxtG"/>
        <w:spacing w:after="240"/>
        <w:ind w:left="3700" w:right="43" w:hanging="2001"/>
        <w:jc w:val="left"/>
        <w:rPr>
          <w:i/>
          <w:lang w:val="en-US"/>
        </w:rPr>
      </w:pPr>
      <w:r w:rsidRPr="007F14EF">
        <w:rPr>
          <w:i/>
          <w:lang w:val="en-US"/>
        </w:rPr>
        <w:t>Document:</w:t>
      </w:r>
      <w:r w:rsidRPr="007F14EF">
        <w:rPr>
          <w:i/>
          <w:lang w:val="en-US"/>
        </w:rPr>
        <w:tab/>
      </w:r>
      <w:r w:rsidRPr="007F14EF">
        <w:rPr>
          <w:i/>
          <w:iCs/>
          <w:lang w:val="en-US"/>
        </w:rPr>
        <w:t>ST/SG/AC.10/C.3/2023/26 (COSTHA, SAAMI)</w:t>
      </w:r>
    </w:p>
    <w:p w14:paraId="5D9122AE" w14:textId="77777777" w:rsidR="001C2639" w:rsidRPr="007F14EF" w:rsidRDefault="001C2639" w:rsidP="001C2639">
      <w:pPr>
        <w:pStyle w:val="SingleTxtG"/>
        <w:spacing w:after="240"/>
        <w:ind w:left="3700" w:right="43" w:hanging="2001"/>
        <w:jc w:val="left"/>
        <w:rPr>
          <w:i/>
          <w:iCs/>
          <w:lang w:val="en-US"/>
        </w:rPr>
      </w:pPr>
      <w:r w:rsidRPr="007F14EF">
        <w:rPr>
          <w:i/>
          <w:lang w:val="en-US"/>
        </w:rPr>
        <w:t xml:space="preserve">Informal document: </w:t>
      </w:r>
      <w:r w:rsidRPr="007F14EF">
        <w:rPr>
          <w:i/>
          <w:lang w:val="en-US"/>
        </w:rPr>
        <w:tab/>
        <w:t>UN/SCETD/62.INF.25 (SAAMI),</w:t>
      </w:r>
      <w:r w:rsidRPr="007F14EF">
        <w:rPr>
          <w:lang w:val="en-US"/>
        </w:rPr>
        <w:t xml:space="preserve"> </w:t>
      </w:r>
      <w:r w:rsidRPr="007F14EF">
        <w:rPr>
          <w:i/>
          <w:lang w:val="en-US"/>
        </w:rPr>
        <w:t xml:space="preserve">UN/SCETD/62.INF.27 (SAAMI), </w:t>
      </w:r>
      <w:r w:rsidRPr="007F14EF">
        <w:rPr>
          <w:i/>
          <w:iCs/>
          <w:lang w:val="en-US"/>
        </w:rPr>
        <w:t>UN/SCETDG/62/INF.31 (COSTHA),</w:t>
      </w:r>
      <w:r w:rsidRPr="007F14EF">
        <w:rPr>
          <w:lang w:val="en-US"/>
        </w:rPr>
        <w:t xml:space="preserve"> </w:t>
      </w:r>
      <w:r w:rsidRPr="007F14EF">
        <w:rPr>
          <w:i/>
          <w:iCs/>
          <w:lang w:val="en-US"/>
        </w:rPr>
        <w:t>UN/SCETDG/62/INF.32 (COSTHA, SAAMI)</w:t>
      </w:r>
    </w:p>
    <w:p w14:paraId="23EC5271" w14:textId="77777777" w:rsidR="001C2639" w:rsidRPr="007F14EF" w:rsidRDefault="001C2639" w:rsidP="001C2639">
      <w:pPr>
        <w:pStyle w:val="SingleTxtG"/>
        <w:spacing w:after="240"/>
        <w:ind w:left="1699" w:right="43"/>
        <w:rPr>
          <w:lang w:val="en-US"/>
        </w:rPr>
      </w:pPr>
      <w:bookmarkStart w:id="6" w:name="_Hlk107319339"/>
      <w:r w:rsidRPr="007F14EF">
        <w:rPr>
          <w:b/>
          <w:u w:val="single"/>
          <w:lang w:val="en-US"/>
        </w:rPr>
        <w:t>Discussion:</w:t>
      </w:r>
      <w:r w:rsidRPr="007F14EF">
        <w:rPr>
          <w:lang w:val="en-US"/>
        </w:rPr>
        <w:t xml:space="preserve"> SAAMI introduced its 2023/26 paper which was a statement of intention to transmit additional informal papers containing testing and research on two distinct areas of exit from Class 1 for certain very </w:t>
      </w:r>
      <w:r>
        <w:rPr>
          <w:lang w:val="en-US"/>
        </w:rPr>
        <w:t>low-hazard</w:t>
      </w:r>
      <w:r w:rsidRPr="007F14EF">
        <w:rPr>
          <w:lang w:val="en-US"/>
        </w:rPr>
        <w:t xml:space="preserve"> explosives and evaluation of hazardous effects in test 6 (d).  These informal papers were introduced and discussed.  </w:t>
      </w:r>
    </w:p>
    <w:p w14:paraId="3C237BBD" w14:textId="77777777" w:rsidR="001C2639" w:rsidRPr="007F14EF" w:rsidRDefault="001C2639" w:rsidP="001C2639">
      <w:pPr>
        <w:pStyle w:val="SingleTxtG"/>
        <w:spacing w:after="240"/>
        <w:ind w:left="1699" w:right="43"/>
        <w:rPr>
          <w:lang w:val="en-US"/>
        </w:rPr>
      </w:pPr>
      <w:r w:rsidRPr="007F14EF">
        <w:rPr>
          <w:lang w:val="en-US"/>
        </w:rPr>
        <w:t>SAAMI began with INF.27</w:t>
      </w:r>
      <w:r>
        <w:rPr>
          <w:lang w:val="en-US"/>
        </w:rPr>
        <w:t>,</w:t>
      </w:r>
      <w:r w:rsidRPr="007F14EF">
        <w:rPr>
          <w:lang w:val="en-US"/>
        </w:rPr>
        <w:t xml:space="preserve"> which reminded the EWG of the work of the 6d-ICG since 2019 and contained test data to facilitate discussion on whether the fourth criterion of Test 6(d) assesses any effects or </w:t>
      </w:r>
      <w:r w:rsidRPr="007F14EF">
        <w:rPr>
          <w:i/>
          <w:iCs/>
          <w:lang w:val="en-US"/>
        </w:rPr>
        <w:t>hazardous</w:t>
      </w:r>
      <w:r w:rsidRPr="007F14EF">
        <w:rPr>
          <w:lang w:val="en-US"/>
        </w:rPr>
        <w:t xml:space="preserve"> effects ‘emphasis added</w:t>
      </w:r>
      <w:r>
        <w:rPr>
          <w:lang w:val="en-US"/>
        </w:rPr>
        <w:t>.’</w:t>
      </w:r>
      <w:r w:rsidRPr="007F14EF">
        <w:rPr>
          <w:lang w:val="en-US"/>
        </w:rPr>
        <w:t xml:space="preserve"> The fourth criterion is “A projection which passes completely through the packaging (a projection or fragment retained or stuck in the wall of the packaging is considered </w:t>
      </w:r>
      <w:r>
        <w:rPr>
          <w:lang w:val="en-US"/>
        </w:rPr>
        <w:t>non-hazardous</w:t>
      </w:r>
      <w:r w:rsidRPr="007F14EF">
        <w:rPr>
          <w:lang w:val="en-US"/>
        </w:rPr>
        <w:t xml:space="preserve">).”  Central to </w:t>
      </w:r>
      <w:r>
        <w:rPr>
          <w:lang w:val="en-US"/>
        </w:rPr>
        <w:t>SAAMI</w:t>
      </w:r>
      <w:r w:rsidRPr="007F14EF">
        <w:rPr>
          <w:lang w:val="en-US"/>
        </w:rPr>
        <w:t xml:space="preserve">’s case was whether the test currently assesses only “hazardous effects” per its stated intent or whether the test criteria </w:t>
      </w:r>
      <w:r>
        <w:rPr>
          <w:lang w:val="en-US"/>
        </w:rPr>
        <w:t>assess</w:t>
      </w:r>
      <w:r w:rsidRPr="007F14EF">
        <w:rPr>
          <w:lang w:val="en-US"/>
        </w:rPr>
        <w:t xml:space="preserve"> any effect, including non-hazardous effects.</w:t>
      </w:r>
    </w:p>
    <w:p w14:paraId="384ECE76" w14:textId="77777777" w:rsidR="001C2639" w:rsidRPr="007F14EF" w:rsidRDefault="001C2639" w:rsidP="001C2639">
      <w:pPr>
        <w:pStyle w:val="SingleTxtG"/>
        <w:spacing w:after="240"/>
        <w:ind w:left="1699" w:right="43"/>
        <w:rPr>
          <w:lang w:val="en-US"/>
        </w:rPr>
      </w:pPr>
      <w:r w:rsidRPr="007F14EF">
        <w:rPr>
          <w:lang w:val="en-US"/>
        </w:rPr>
        <w:t>The paper presented information on a projection</w:t>
      </w:r>
      <w:r>
        <w:rPr>
          <w:lang w:val="en-US"/>
        </w:rPr>
        <w:t>’</w:t>
      </w:r>
      <w:r w:rsidRPr="007F14EF">
        <w:rPr>
          <w:lang w:val="en-US"/>
        </w:rPr>
        <w:t>s, specifically small arms projectiles, kinetic energ</w:t>
      </w:r>
      <w:r>
        <w:rPr>
          <w:lang w:val="en-US"/>
        </w:rPr>
        <w:t>y</w:t>
      </w:r>
      <w:r w:rsidRPr="007F14EF">
        <w:rPr>
          <w:lang w:val="en-US"/>
        </w:rPr>
        <w:t xml:space="preserve"> calculated from high-speed </w:t>
      </w:r>
      <w:r>
        <w:rPr>
          <w:lang w:val="en-US"/>
        </w:rPr>
        <w:t>video</w:t>
      </w:r>
      <w:r w:rsidRPr="007F14EF">
        <w:rPr>
          <w:lang w:val="en-US"/>
        </w:rPr>
        <w:t xml:space="preserve">.  The purpose </w:t>
      </w:r>
      <w:r>
        <w:rPr>
          <w:lang w:val="en-US"/>
        </w:rPr>
        <w:t>was to inform a discussion on whether</w:t>
      </w:r>
      <w:r w:rsidRPr="007F14EF">
        <w:rPr>
          <w:lang w:val="en-US"/>
        </w:rPr>
        <w:t xml:space="preserve"> these effects should be considered hazardous.  The test setup was </w:t>
      </w:r>
      <w:r>
        <w:rPr>
          <w:lang w:val="en-US"/>
        </w:rPr>
        <w:t>modified to present the greatest likelihood of projectiles escaping the package,</w:t>
      </w:r>
      <w:r w:rsidRPr="007F14EF">
        <w:rPr>
          <w:lang w:val="en-US"/>
        </w:rPr>
        <w:t xml:space="preserve"> and the results </w:t>
      </w:r>
      <w:r>
        <w:rPr>
          <w:lang w:val="en-US"/>
        </w:rPr>
        <w:t>were</w:t>
      </w:r>
      <w:r w:rsidRPr="007F14EF">
        <w:rPr>
          <w:lang w:val="en-US"/>
        </w:rPr>
        <w:t xml:space="preserve"> presented. </w:t>
      </w:r>
    </w:p>
    <w:p w14:paraId="425365AD" w14:textId="77777777" w:rsidR="001C2639" w:rsidRPr="007F14EF" w:rsidRDefault="001C2639" w:rsidP="001C2639">
      <w:pPr>
        <w:pStyle w:val="SingleTxtG"/>
        <w:spacing w:after="240"/>
        <w:ind w:left="1699" w:right="43"/>
        <w:rPr>
          <w:lang w:val="en-US"/>
        </w:rPr>
      </w:pPr>
      <w:r w:rsidRPr="007F14EF">
        <w:rPr>
          <w:lang w:val="en-US"/>
        </w:rPr>
        <w:t xml:space="preserve">Belgium enquired why the kinetic energies of unimpeded rounds </w:t>
      </w:r>
      <w:r>
        <w:rPr>
          <w:lang w:val="en-US"/>
        </w:rPr>
        <w:t>were</w:t>
      </w:r>
      <w:r w:rsidRPr="007F14EF">
        <w:rPr>
          <w:lang w:val="en-US"/>
        </w:rPr>
        <w:t xml:space="preserve"> not measured.  SAAMI responded that while that testing has been conducted</w:t>
      </w:r>
      <w:r>
        <w:rPr>
          <w:lang w:val="en-US"/>
        </w:rPr>
        <w:t>,</w:t>
      </w:r>
      <w:r w:rsidRPr="007F14EF">
        <w:rPr>
          <w:lang w:val="en-US"/>
        </w:rPr>
        <w:t xml:space="preserve"> it would not represent the reduced energies of projectiles having penetrated packaging. Germany noted its past testing and research to contain all effects within the packaging</w:t>
      </w:r>
      <w:r>
        <w:rPr>
          <w:lang w:val="en-US"/>
        </w:rPr>
        <w:t>,</w:t>
      </w:r>
      <w:r w:rsidRPr="007F14EF">
        <w:rPr>
          <w:lang w:val="en-US"/>
        </w:rPr>
        <w:t xml:space="preserve"> even for very small amounts of energetics</w:t>
      </w:r>
      <w:r>
        <w:rPr>
          <w:lang w:val="en-US"/>
        </w:rPr>
        <w:t xml:space="preserve">. </w:t>
      </w:r>
      <w:r w:rsidRPr="007F14EF">
        <w:rPr>
          <w:lang w:val="en-US"/>
        </w:rPr>
        <w:t xml:space="preserve"> </w:t>
      </w:r>
      <w:r>
        <w:rPr>
          <w:lang w:val="en-US"/>
        </w:rPr>
        <w:t>A</w:t>
      </w:r>
      <w:r w:rsidRPr="007F14EF">
        <w:rPr>
          <w:lang w:val="en-US"/>
        </w:rPr>
        <w:t xml:space="preserve">s </w:t>
      </w:r>
      <w:r>
        <w:rPr>
          <w:lang w:val="en-US"/>
        </w:rPr>
        <w:t>Germany</w:t>
      </w:r>
      <w:r w:rsidRPr="007F14EF">
        <w:rPr>
          <w:lang w:val="en-US"/>
        </w:rPr>
        <w:t xml:space="preserve"> hold</w:t>
      </w:r>
      <w:r>
        <w:rPr>
          <w:lang w:val="en-US"/>
        </w:rPr>
        <w:t>s</w:t>
      </w:r>
      <w:r w:rsidRPr="007F14EF">
        <w:rPr>
          <w:lang w:val="en-US"/>
        </w:rPr>
        <w:t xml:space="preserve"> that to be the requirement for 1.4S classification</w:t>
      </w:r>
      <w:r>
        <w:rPr>
          <w:lang w:val="en-US"/>
        </w:rPr>
        <w:t>,</w:t>
      </w:r>
      <w:r w:rsidRPr="007F14EF">
        <w:rPr>
          <w:lang w:val="en-US"/>
        </w:rPr>
        <w:t xml:space="preserve"> </w:t>
      </w:r>
      <w:r>
        <w:rPr>
          <w:lang w:val="en-US"/>
        </w:rPr>
        <w:t>it</w:t>
      </w:r>
      <w:r w:rsidRPr="007F14EF">
        <w:rPr>
          <w:lang w:val="en-US"/>
        </w:rPr>
        <w:t xml:space="preserve"> questioned why effects are now being asked to be permissible. </w:t>
      </w:r>
      <w:r w:rsidRPr="0058659F">
        <w:rPr>
          <w:lang w:val="en-US"/>
        </w:rPr>
        <w:t xml:space="preserve">The United Kingdom also suggested that developing a criterion that readily and robustly addresses the potential for harm for the full range of articles potentially classified as 1.4S and subject to the special provision could be very challenging if there were not to be inconsistencies </w:t>
      </w:r>
      <w:r w:rsidRPr="0058659F">
        <w:rPr>
          <w:lang w:val="en-US"/>
        </w:rPr>
        <w:lastRenderedPageBreak/>
        <w:t>in interpretations by different Competent Authorities.</w:t>
      </w:r>
      <w:r>
        <w:rPr>
          <w:lang w:val="en-US"/>
        </w:rPr>
        <w:t xml:space="preserve">  </w:t>
      </w:r>
      <w:r w:rsidRPr="007B5E38">
        <w:rPr>
          <w:lang w:val="en-US"/>
        </w:rPr>
        <w:t>The United Kingdom also pointed out that in general across the wider explosives sector it is often easier to categorize no harm than to precisely define conditions that would result in a particular level of harm.</w:t>
      </w:r>
      <w:r>
        <w:rPr>
          <w:lang w:val="en-US"/>
        </w:rPr>
        <w:t xml:space="preserve"> </w:t>
      </w:r>
      <w:r w:rsidRPr="007F14EF">
        <w:rPr>
          <w:lang w:val="en-US"/>
        </w:rPr>
        <w:t xml:space="preserve"> </w:t>
      </w:r>
    </w:p>
    <w:p w14:paraId="14706B67" w14:textId="77777777" w:rsidR="001C2639" w:rsidRPr="007F14EF" w:rsidRDefault="001C2639" w:rsidP="001C2639">
      <w:pPr>
        <w:pStyle w:val="SingleTxtG"/>
        <w:spacing w:after="240"/>
        <w:ind w:left="1699" w:right="43"/>
        <w:rPr>
          <w:lang w:val="en-US"/>
        </w:rPr>
      </w:pPr>
      <w:r>
        <w:rPr>
          <w:lang w:val="en-US"/>
        </w:rPr>
        <w:t xml:space="preserve">The </w:t>
      </w:r>
      <w:r w:rsidRPr="007F14EF">
        <w:rPr>
          <w:lang w:val="en-US"/>
        </w:rPr>
        <w:t xml:space="preserve">USA noted several challenges with testing for kinetic energy with instrumentation such as high-speed cameras.  Further, it questioned the reproducibility of the provided data given its scatter and </w:t>
      </w:r>
      <w:r>
        <w:rPr>
          <w:lang w:val="en-US"/>
        </w:rPr>
        <w:t>pointed out</w:t>
      </w:r>
      <w:r w:rsidRPr="007F14EF">
        <w:rPr>
          <w:lang w:val="en-US"/>
        </w:rPr>
        <w:t xml:space="preserve"> that </w:t>
      </w:r>
      <w:r>
        <w:rPr>
          <w:lang w:val="en-US"/>
        </w:rPr>
        <w:t xml:space="preserve">the </w:t>
      </w:r>
      <w:r w:rsidRPr="007F14EF">
        <w:rPr>
          <w:lang w:val="en-US"/>
        </w:rPr>
        <w:t>shape</w:t>
      </w:r>
      <w:r>
        <w:rPr>
          <w:lang w:val="en-US"/>
        </w:rPr>
        <w:t>,</w:t>
      </w:r>
      <w:r w:rsidRPr="007F14EF">
        <w:rPr>
          <w:lang w:val="en-US"/>
        </w:rPr>
        <w:t xml:space="preserve"> sharpness, and hardness of the projectile </w:t>
      </w:r>
      <w:r>
        <w:rPr>
          <w:lang w:val="en-US"/>
        </w:rPr>
        <w:t>are</w:t>
      </w:r>
      <w:r w:rsidRPr="007F14EF">
        <w:rPr>
          <w:lang w:val="en-US"/>
        </w:rPr>
        <w:t xml:space="preserve"> also important, not just its kinetic energy.  SAAMI responded that </w:t>
      </w:r>
      <w:r>
        <w:rPr>
          <w:lang w:val="en-US"/>
        </w:rPr>
        <w:t>these tests aimed</w:t>
      </w:r>
      <w:r w:rsidRPr="007F14EF">
        <w:rPr>
          <w:lang w:val="en-US"/>
        </w:rPr>
        <w:t xml:space="preserve"> to inform the EWG </w:t>
      </w:r>
      <w:r>
        <w:rPr>
          <w:lang w:val="en-US"/>
        </w:rPr>
        <w:t>of</w:t>
      </w:r>
      <w:r w:rsidRPr="007F14EF">
        <w:rPr>
          <w:lang w:val="en-US"/>
        </w:rPr>
        <w:t xml:space="preserve"> the relative energies expected from these types of projectiles </w:t>
      </w:r>
      <w:r>
        <w:rPr>
          <w:lang w:val="en-US"/>
        </w:rPr>
        <w:t>rather than</w:t>
      </w:r>
      <w:r w:rsidRPr="007F14EF">
        <w:rPr>
          <w:lang w:val="en-US"/>
        </w:rPr>
        <w:t xml:space="preserve"> as a recommended test setup for classification purposes</w:t>
      </w:r>
      <w:r>
        <w:rPr>
          <w:lang w:val="en-US"/>
        </w:rPr>
        <w:t>, and that scatter in this type of data is to be expected</w:t>
      </w:r>
      <w:r w:rsidRPr="007F14EF">
        <w:rPr>
          <w:lang w:val="en-US"/>
        </w:rPr>
        <w:t xml:space="preserve">.  The United Kingdom voiced that the practicality and ease of conducting a test should be </w:t>
      </w:r>
      <w:r>
        <w:rPr>
          <w:lang w:val="en-US"/>
        </w:rPr>
        <w:t>considered</w:t>
      </w:r>
      <w:r w:rsidRPr="007F14EF">
        <w:rPr>
          <w:lang w:val="en-US"/>
        </w:rPr>
        <w:t xml:space="preserve">. </w:t>
      </w:r>
    </w:p>
    <w:p w14:paraId="37D501D2" w14:textId="77777777" w:rsidR="001C2639" w:rsidRPr="007F14EF" w:rsidRDefault="001C2639" w:rsidP="001C2639">
      <w:pPr>
        <w:pStyle w:val="SingleTxtG"/>
        <w:spacing w:after="240"/>
        <w:ind w:left="1699" w:right="43"/>
        <w:rPr>
          <w:lang w:val="en-US"/>
        </w:rPr>
      </w:pPr>
      <w:r w:rsidRPr="007F14EF">
        <w:rPr>
          <w:lang w:val="en-US"/>
        </w:rPr>
        <w:t>COSTHA enquired as to what the expected change might be</w:t>
      </w:r>
      <w:r>
        <w:rPr>
          <w:lang w:val="en-US"/>
        </w:rPr>
        <w:t>,</w:t>
      </w:r>
      <w:r w:rsidRPr="007F14EF">
        <w:rPr>
          <w:lang w:val="en-US"/>
        </w:rPr>
        <w:t xml:space="preserve"> and SAMMI responded that it </w:t>
      </w:r>
      <w:r>
        <w:rPr>
          <w:lang w:val="en-US"/>
        </w:rPr>
        <w:t>did</w:t>
      </w:r>
      <w:r w:rsidRPr="007F14EF">
        <w:rPr>
          <w:lang w:val="en-US"/>
        </w:rPr>
        <w:t xml:space="preserve"> not believe the current criteria </w:t>
      </w:r>
      <w:r>
        <w:rPr>
          <w:lang w:val="en-US"/>
        </w:rPr>
        <w:t>are</w:t>
      </w:r>
      <w:r w:rsidRPr="007F14EF">
        <w:rPr>
          <w:lang w:val="en-US"/>
        </w:rPr>
        <w:t xml:space="preserve"> consistent with the stated objective of the tests and asked the EWG’s members its opinion on if an injury no </w:t>
      </w:r>
      <w:r>
        <w:rPr>
          <w:lang w:val="en-US"/>
        </w:rPr>
        <w:t>more significant</w:t>
      </w:r>
      <w:r w:rsidRPr="007F14EF">
        <w:rPr>
          <w:lang w:val="en-US"/>
        </w:rPr>
        <w:t xml:space="preserve"> than a first aid injury could be allowable. The Chair asked the group if a first aid injury is an acceptable injury threshold.  USA noted that any conservatism in the current criteria </w:t>
      </w:r>
      <w:r>
        <w:rPr>
          <w:lang w:val="en-US"/>
        </w:rPr>
        <w:t>brings</w:t>
      </w:r>
      <w:r w:rsidRPr="007F14EF">
        <w:rPr>
          <w:lang w:val="en-US"/>
        </w:rPr>
        <w:t xml:space="preserve"> a high degree of certainty in the safety communicated by being classified as 1.4S.  Sweden </w:t>
      </w:r>
      <w:r>
        <w:rPr>
          <w:lang w:val="en-US"/>
        </w:rPr>
        <w:t>conveyed</w:t>
      </w:r>
      <w:r w:rsidRPr="007F14EF">
        <w:rPr>
          <w:lang w:val="en-US"/>
        </w:rPr>
        <w:t xml:space="preserve"> that the question of what effects of a projectile are considered hazardous is very challenging as attempts to properly define it are very difficult, and measuring is also complicated as opposed to the current </w:t>
      </w:r>
      <w:r>
        <w:rPr>
          <w:lang w:val="en-US"/>
        </w:rPr>
        <w:t>unambiguous criteria</w:t>
      </w:r>
      <w:r w:rsidRPr="007F14EF">
        <w:rPr>
          <w:lang w:val="en-US"/>
        </w:rPr>
        <w:t xml:space="preserve">.  SAAMI responded that the current classification regime is causing hurdles to commerce.  </w:t>
      </w:r>
      <w:r>
        <w:rPr>
          <w:lang w:val="en-US"/>
        </w:rPr>
        <w:t>AEISG</w:t>
      </w:r>
      <w:r w:rsidRPr="007F14EF">
        <w:rPr>
          <w:lang w:val="en-US"/>
        </w:rPr>
        <w:t xml:space="preserve"> agreed with perceived inconsistencies between the stated intention of the 6(d) test and its criteria.  SAAMI voiced that the </w:t>
      </w:r>
      <w:r>
        <w:rPr>
          <w:lang w:val="en-US"/>
        </w:rPr>
        <w:t>judgment</w:t>
      </w:r>
      <w:r w:rsidRPr="007F14EF">
        <w:rPr>
          <w:lang w:val="en-US"/>
        </w:rPr>
        <w:t xml:space="preserve"> imparted by competent authorities can become inconsistent without clear criteria. </w:t>
      </w:r>
      <w:r>
        <w:rPr>
          <w:lang w:val="en-US"/>
        </w:rPr>
        <w:t xml:space="preserve">The </w:t>
      </w:r>
      <w:r w:rsidRPr="007F14EF">
        <w:rPr>
          <w:lang w:val="en-US"/>
        </w:rPr>
        <w:t xml:space="preserve">USA held that </w:t>
      </w:r>
      <w:r w:rsidRPr="002538A1">
        <w:rPr>
          <w:lang w:val="en-US"/>
        </w:rPr>
        <w:t>any projection effect is considered hazardous with the current criteria</w:t>
      </w:r>
      <w:r w:rsidRPr="007F14EF">
        <w:rPr>
          <w:lang w:val="en-US"/>
        </w:rPr>
        <w:t xml:space="preserve">. </w:t>
      </w:r>
    </w:p>
    <w:p w14:paraId="01B39FFF" w14:textId="77777777" w:rsidR="001C2639" w:rsidRPr="007F14EF" w:rsidRDefault="001C2639" w:rsidP="001C2639">
      <w:pPr>
        <w:pStyle w:val="SingleTxtG"/>
        <w:spacing w:after="240"/>
        <w:ind w:left="1699" w:right="43"/>
        <w:rPr>
          <w:lang w:val="en-US"/>
        </w:rPr>
      </w:pPr>
      <w:r w:rsidRPr="007F14EF">
        <w:rPr>
          <w:lang w:val="en-US"/>
        </w:rPr>
        <w:t>Germany pointed out that the 6(d) test was developed and proposed by the EWG with specific articles in mind.  Belgium noted that this issue seems to only be with small arms cartridges</w:t>
      </w:r>
      <w:r>
        <w:rPr>
          <w:lang w:val="en-US"/>
        </w:rPr>
        <w:t xml:space="preserve"> as part of the use of limited quantity exemption</w:t>
      </w:r>
      <w:r w:rsidRPr="007F14EF">
        <w:rPr>
          <w:lang w:val="en-US"/>
        </w:rPr>
        <w:t xml:space="preserve"> and suggested that provisions for just these articles could be developed</w:t>
      </w:r>
      <w:r>
        <w:rPr>
          <w:lang w:val="en-US"/>
        </w:rPr>
        <w:t>,</w:t>
      </w:r>
      <w:r w:rsidRPr="007F14EF">
        <w:rPr>
          <w:lang w:val="en-US"/>
        </w:rPr>
        <w:t xml:space="preserve"> and the group briefly discussed hypothetical criteria.  </w:t>
      </w:r>
      <w:r>
        <w:rPr>
          <w:lang w:val="en-US"/>
        </w:rPr>
        <w:t>The United Kingdom</w:t>
      </w:r>
      <w:r w:rsidRPr="007F14EF">
        <w:rPr>
          <w:lang w:val="en-US"/>
        </w:rPr>
        <w:t xml:space="preserve"> asked what is meant by first aid injury and to what degree or quantity of said injury is </w:t>
      </w:r>
      <w:r>
        <w:rPr>
          <w:lang w:val="en-US"/>
        </w:rPr>
        <w:t>believed</w:t>
      </w:r>
      <w:r w:rsidRPr="007F14EF">
        <w:rPr>
          <w:lang w:val="en-US"/>
        </w:rPr>
        <w:t xml:space="preserve"> to be </w:t>
      </w:r>
      <w:r>
        <w:rPr>
          <w:lang w:val="en-US"/>
        </w:rPr>
        <w:t>acceptable</w:t>
      </w:r>
      <w:r w:rsidRPr="007F14EF">
        <w:rPr>
          <w:lang w:val="en-US"/>
        </w:rPr>
        <w:t xml:space="preserve">.  </w:t>
      </w:r>
    </w:p>
    <w:p w14:paraId="630DB0C8" w14:textId="77777777" w:rsidR="001C2639" w:rsidRPr="007F14EF" w:rsidRDefault="001C2639" w:rsidP="001C2639">
      <w:pPr>
        <w:pStyle w:val="SingleTxtG"/>
        <w:spacing w:after="240"/>
        <w:ind w:left="1699" w:right="43"/>
        <w:rPr>
          <w:lang w:val="en-US"/>
        </w:rPr>
      </w:pPr>
      <w:r w:rsidRPr="007F14EF">
        <w:rPr>
          <w:lang w:val="en-US"/>
        </w:rPr>
        <w:t>SAAMI continued with INF.25</w:t>
      </w:r>
      <w:r>
        <w:rPr>
          <w:lang w:val="en-US"/>
        </w:rPr>
        <w:t>,</w:t>
      </w:r>
      <w:r w:rsidRPr="007F14EF">
        <w:rPr>
          <w:lang w:val="en-US"/>
        </w:rPr>
        <w:t xml:space="preserve"> which contained testing data for unpackaged bonfire tests and the exclusion test in 2.1.3.6.4 of the </w:t>
      </w:r>
      <w:r>
        <w:rPr>
          <w:lang w:val="en-US"/>
        </w:rPr>
        <w:t>UN</w:t>
      </w:r>
      <w:r w:rsidRPr="007F14EF">
        <w:rPr>
          <w:lang w:val="en-US"/>
        </w:rPr>
        <w:t xml:space="preserve">MR to support the addition of </w:t>
      </w:r>
      <w:r>
        <w:rPr>
          <w:lang w:val="en-US"/>
        </w:rPr>
        <w:t>different</w:t>
      </w:r>
      <w:r w:rsidRPr="007F14EF">
        <w:rPr>
          <w:lang w:val="en-US"/>
        </w:rPr>
        <w:t xml:space="preserve"> criteria for these existing tests to manage the exit of these very </w:t>
      </w:r>
      <w:r>
        <w:rPr>
          <w:lang w:val="en-US"/>
        </w:rPr>
        <w:t>low-hazard</w:t>
      </w:r>
      <w:r w:rsidRPr="007F14EF">
        <w:rPr>
          <w:lang w:val="en-US"/>
        </w:rPr>
        <w:t xml:space="preserve"> energetic articles from Class 1 while retaining them in the dangerous goods system. These tests were on power loads (UN 0014 for tools), blanks (UN 0014 for signal guns)</w:t>
      </w:r>
      <w:r>
        <w:rPr>
          <w:lang w:val="en-US"/>
        </w:rPr>
        <w:t>,</w:t>
      </w:r>
      <w:r w:rsidRPr="007F14EF">
        <w:rPr>
          <w:lang w:val="en-US"/>
        </w:rPr>
        <w:t xml:space="preserve"> and empty primed cases (UN 0055).  </w:t>
      </w:r>
    </w:p>
    <w:p w14:paraId="1F43DCE0" w14:textId="77777777" w:rsidR="001C2639" w:rsidRPr="00E15ADD" w:rsidRDefault="001C2639" w:rsidP="001C2639">
      <w:pPr>
        <w:pStyle w:val="SingleTxtG"/>
        <w:spacing w:after="240"/>
        <w:ind w:left="1699" w:right="43"/>
        <w:rPr>
          <w:lang w:val="en-US"/>
        </w:rPr>
      </w:pPr>
      <w:r w:rsidRPr="00E15ADD">
        <w:rPr>
          <w:lang w:val="en-US"/>
        </w:rPr>
        <w:t>COSTHA introduced INF.31 paper on electro-explosive devices (EED) and their probability of unintended activation by electromagnetic interference (EMI), radio frequency interference (RFI), and electrostatic discharge (ESD).  These devices are designed for harsh conditions and constructions to high standards.  The authors searched SAFEX, US Databases, and public sources and found no incidents in transportation connected to EMI, RFI, or ESD in the past 30</w:t>
      </w:r>
      <w:r>
        <w:rPr>
          <w:lang w:val="en-US"/>
        </w:rPr>
        <w:t xml:space="preserve"> years</w:t>
      </w:r>
      <w:r w:rsidRPr="00E15ADD">
        <w:rPr>
          <w:lang w:val="en-US"/>
        </w:rPr>
        <w:t xml:space="preserve">.  </w:t>
      </w:r>
    </w:p>
    <w:p w14:paraId="097D3D4B" w14:textId="77777777" w:rsidR="001C2639" w:rsidRPr="00E15ADD" w:rsidRDefault="001C2639" w:rsidP="001C2639">
      <w:pPr>
        <w:pStyle w:val="SingleTxtG"/>
        <w:spacing w:after="240"/>
        <w:ind w:left="1699" w:right="43"/>
        <w:rPr>
          <w:lang w:val="en-US"/>
        </w:rPr>
      </w:pPr>
      <w:r>
        <w:rPr>
          <w:lang w:val="en-US"/>
        </w:rPr>
        <w:t>AEISG</w:t>
      </w:r>
      <w:r w:rsidRPr="00E15ADD">
        <w:rPr>
          <w:lang w:val="en-US"/>
        </w:rPr>
        <w:t xml:space="preserve"> and Germany sought clarification on which devices are being considered with this paper and the intended outcome of this work.  SAAMI responded that the goal is </w:t>
      </w:r>
      <w:r>
        <w:rPr>
          <w:lang w:val="en-US"/>
        </w:rPr>
        <w:t xml:space="preserve">to </w:t>
      </w:r>
      <w:r w:rsidRPr="00E15ADD">
        <w:rPr>
          <w:lang w:val="en-US"/>
        </w:rPr>
        <w:t>exit from Class 1 into Class 9 through</w:t>
      </w:r>
      <w:r>
        <w:rPr>
          <w:lang w:val="en-US"/>
        </w:rPr>
        <w:t xml:space="preserve"> modified testing.</w:t>
      </w:r>
      <w:r w:rsidRPr="00E15ADD">
        <w:rPr>
          <w:lang w:val="en-US"/>
        </w:rPr>
        <w:t xml:space="preserve">  Further, past exits from Class 1 to Class 9</w:t>
      </w:r>
      <w:r>
        <w:rPr>
          <w:lang w:val="en-US"/>
        </w:rPr>
        <w:t>,</w:t>
      </w:r>
      <w:r w:rsidRPr="00E15ADD">
        <w:rPr>
          <w:lang w:val="en-US"/>
        </w:rPr>
        <w:t xml:space="preserve"> such as airbags and other safety devices</w:t>
      </w:r>
      <w:r>
        <w:rPr>
          <w:lang w:val="en-US"/>
        </w:rPr>
        <w:t>,</w:t>
      </w:r>
      <w:r w:rsidRPr="00E15ADD">
        <w:rPr>
          <w:lang w:val="en-US"/>
        </w:rPr>
        <w:t xml:space="preserve"> have been </w:t>
      </w:r>
      <w:r>
        <w:rPr>
          <w:lang w:val="en-US"/>
        </w:rPr>
        <w:t>policy-driven,</w:t>
      </w:r>
      <w:r w:rsidRPr="00E15ADD">
        <w:rPr>
          <w:lang w:val="en-US"/>
        </w:rPr>
        <w:t xml:space="preserve"> and there is a need for a standardized system to characterize conditions for exit.  USA raised the history of airbags which began with devices operated primarily with compressed gases and eventually energetics</w:t>
      </w:r>
      <w:r>
        <w:rPr>
          <w:lang w:val="en-US"/>
        </w:rPr>
        <w:t>,</w:t>
      </w:r>
      <w:r w:rsidRPr="00E15ADD">
        <w:rPr>
          <w:lang w:val="en-US"/>
        </w:rPr>
        <w:t xml:space="preserve"> which caused issues with established practices for the original technology</w:t>
      </w:r>
      <w:r>
        <w:rPr>
          <w:lang w:val="en-US"/>
        </w:rPr>
        <w:t xml:space="preserve"> that had been classed in Division 2.2</w:t>
      </w:r>
      <w:r w:rsidRPr="00E15ADD">
        <w:rPr>
          <w:lang w:val="en-US"/>
        </w:rPr>
        <w:t xml:space="preserve">.  </w:t>
      </w:r>
      <w:r>
        <w:rPr>
          <w:lang w:val="en-US"/>
        </w:rPr>
        <w:t>The USA stated that in Class 1 some risk based assessment is already used such as for 1.5 blasting agents or 1.6 insensitive munitions, neither of which justifies exclusion from the entire class and further stated that accidents happen when it is assumed there are no credible initiation pathways.  The United Kingdom echoed the USA’s comments on likelihood.</w:t>
      </w:r>
    </w:p>
    <w:p w14:paraId="24A51767" w14:textId="77777777" w:rsidR="001C2639" w:rsidRPr="00E15ADD" w:rsidRDefault="001C2639" w:rsidP="001C2639">
      <w:pPr>
        <w:pStyle w:val="SingleTxtG"/>
        <w:spacing w:after="240"/>
        <w:ind w:left="1699" w:right="43"/>
        <w:rPr>
          <w:lang w:val="en-US"/>
        </w:rPr>
      </w:pPr>
      <w:r w:rsidRPr="00E15ADD">
        <w:rPr>
          <w:lang w:val="en-US"/>
        </w:rPr>
        <w:t>Germany voiced that security considerations should be considered as well for potential misuse.  The import</w:t>
      </w:r>
      <w:r>
        <w:rPr>
          <w:lang w:val="en-US"/>
        </w:rPr>
        <w:t>ance</w:t>
      </w:r>
      <w:r w:rsidRPr="00E15ADD">
        <w:rPr>
          <w:lang w:val="en-US"/>
        </w:rPr>
        <w:t xml:space="preserve"> of security was also supported by the United Kingdom </w:t>
      </w:r>
      <w:r>
        <w:rPr>
          <w:lang w:val="en-US"/>
        </w:rPr>
        <w:t>both in transport and</w:t>
      </w:r>
      <w:r w:rsidRPr="00E15ADD">
        <w:rPr>
          <w:lang w:val="en-US"/>
        </w:rPr>
        <w:t xml:space="preserve"> because other legal authorities look to classification for how to handle articles and substances in their </w:t>
      </w:r>
      <w:r w:rsidRPr="00E15ADD">
        <w:rPr>
          <w:lang w:val="en-US"/>
        </w:rPr>
        <w:lastRenderedPageBreak/>
        <w:t>jurisdictions.  The United Kingdom noted that ESD is often blamed for incidents</w:t>
      </w:r>
      <w:r>
        <w:rPr>
          <w:lang w:val="en-US"/>
        </w:rPr>
        <w:t>,</w:t>
      </w:r>
      <w:r w:rsidRPr="00E15ADD">
        <w:rPr>
          <w:lang w:val="en-US"/>
        </w:rPr>
        <w:t xml:space="preserve"> and while that may not always be the case</w:t>
      </w:r>
      <w:r>
        <w:rPr>
          <w:lang w:val="en-US"/>
        </w:rPr>
        <w:t>,</w:t>
      </w:r>
      <w:r w:rsidRPr="00E15ADD">
        <w:rPr>
          <w:lang w:val="en-US"/>
        </w:rPr>
        <w:t xml:space="preserve"> there are instances where it is the root cause.    Regarding security, Sweden noted that detonators are hard to acquire in Europe and questioned why another potential initiation source for malicious activity should be made easier to </w:t>
      </w:r>
      <w:r>
        <w:rPr>
          <w:lang w:val="en-US"/>
        </w:rPr>
        <w:t>obtain</w:t>
      </w:r>
      <w:r w:rsidRPr="00E15ADD">
        <w:rPr>
          <w:lang w:val="en-US"/>
        </w:rPr>
        <w:t xml:space="preserve">.  </w:t>
      </w:r>
      <w:r>
        <w:rPr>
          <w:lang w:val="en-US"/>
        </w:rPr>
        <w:t>SAAMI responded that security is already incorporated into the proposal, and that devices that detonate and disintegrate have already been proposed to be noneligible.</w:t>
      </w:r>
    </w:p>
    <w:p w14:paraId="6C7F83E3" w14:textId="77777777" w:rsidR="001C2639" w:rsidRPr="00E15ADD" w:rsidRDefault="001C2639" w:rsidP="001C2639">
      <w:pPr>
        <w:pStyle w:val="SingleTxtG"/>
        <w:spacing w:after="240"/>
        <w:ind w:left="1699" w:right="43"/>
        <w:rPr>
          <w:lang w:val="en-US"/>
        </w:rPr>
      </w:pPr>
      <w:r w:rsidRPr="00E15ADD">
        <w:rPr>
          <w:lang w:val="en-US"/>
        </w:rPr>
        <w:t xml:space="preserve">Sweden supported the </w:t>
      </w:r>
      <w:r>
        <w:rPr>
          <w:lang w:val="en-US"/>
        </w:rPr>
        <w:t>principle</w:t>
      </w:r>
      <w:r w:rsidRPr="00E15ADD">
        <w:rPr>
          <w:lang w:val="en-US"/>
        </w:rPr>
        <w:t xml:space="preserve"> of a general systematic and scientific approach for considering exclusions rather than </w:t>
      </w:r>
      <w:r>
        <w:rPr>
          <w:lang w:val="en-US"/>
        </w:rPr>
        <w:t>case-by-case</w:t>
      </w:r>
      <w:r w:rsidRPr="00E15ADD">
        <w:rPr>
          <w:lang w:val="en-US"/>
        </w:rPr>
        <w:t xml:space="preserve"> policy decisions</w:t>
      </w:r>
      <w:r>
        <w:rPr>
          <w:lang w:val="en-US"/>
        </w:rPr>
        <w:t>. Still, it did</w:t>
      </w:r>
      <w:r w:rsidRPr="00E15ADD">
        <w:rPr>
          <w:lang w:val="en-US"/>
        </w:rPr>
        <w:t xml:space="preserve"> not understand the relevance of the tests in the paper as the current classification regime does not consider these initiation </w:t>
      </w:r>
      <w:r>
        <w:rPr>
          <w:lang w:val="en-US"/>
        </w:rPr>
        <w:t>routes</w:t>
      </w:r>
      <w:r w:rsidRPr="00E15ADD">
        <w:rPr>
          <w:lang w:val="en-US"/>
        </w:rPr>
        <w:t xml:space="preserve">.  Further, probability and </w:t>
      </w:r>
      <w:r>
        <w:rPr>
          <w:lang w:val="en-US"/>
        </w:rPr>
        <w:t>therefore</w:t>
      </w:r>
      <w:r w:rsidRPr="00E15ADD">
        <w:rPr>
          <w:lang w:val="en-US"/>
        </w:rPr>
        <w:t xml:space="preserve"> risk is not considered</w:t>
      </w:r>
      <w:r>
        <w:rPr>
          <w:lang w:val="en-US"/>
        </w:rPr>
        <w:t>,</w:t>
      </w:r>
      <w:r w:rsidRPr="00E15ADD">
        <w:rPr>
          <w:lang w:val="en-US"/>
        </w:rPr>
        <w:t xml:space="preserve"> only hazards. </w:t>
      </w:r>
    </w:p>
    <w:p w14:paraId="72F38184" w14:textId="77777777" w:rsidR="001C2639" w:rsidRPr="00E15ADD" w:rsidRDefault="001C2639" w:rsidP="001C2639">
      <w:pPr>
        <w:pStyle w:val="SingleTxtG"/>
        <w:spacing w:after="240"/>
        <w:ind w:left="1699" w:right="43"/>
        <w:rPr>
          <w:lang w:val="en-US"/>
        </w:rPr>
      </w:pPr>
      <w:r>
        <w:rPr>
          <w:lang w:val="en-US"/>
        </w:rPr>
        <w:t>COSTHA</w:t>
      </w:r>
      <w:r w:rsidRPr="00E15ADD">
        <w:rPr>
          <w:lang w:val="en-US"/>
        </w:rPr>
        <w:t xml:space="preserve"> asked for clarification on what the Group considers in the realm of Security and added that societal needs are also an important consideration.  IME commented that security </w:t>
      </w:r>
      <w:r>
        <w:rPr>
          <w:lang w:val="en-US"/>
        </w:rPr>
        <w:t>considerations</w:t>
      </w:r>
      <w:r w:rsidRPr="00E15ADD">
        <w:rPr>
          <w:lang w:val="en-US"/>
        </w:rPr>
        <w:t xml:space="preserve"> for devices or substances </w:t>
      </w:r>
      <w:r w:rsidRPr="003A2782">
        <w:rPr>
          <w:lang w:val="en-US"/>
        </w:rPr>
        <w:t>that can be used maliciously are ease of use and ease of access, which</w:t>
      </w:r>
      <w:r w:rsidRPr="00E15ADD">
        <w:rPr>
          <w:lang w:val="en-US"/>
        </w:rPr>
        <w:t xml:space="preserve"> is Class independent. COSTHA noted that shunting/shorting clips were required on inflators, but they were proved</w:t>
      </w:r>
      <w:r>
        <w:rPr>
          <w:lang w:val="en-US"/>
        </w:rPr>
        <w:t>,</w:t>
      </w:r>
      <w:r w:rsidRPr="00E15ADD">
        <w:rPr>
          <w:lang w:val="en-US"/>
        </w:rPr>
        <w:t xml:space="preserve"> over time</w:t>
      </w:r>
      <w:r>
        <w:rPr>
          <w:lang w:val="en-US"/>
        </w:rPr>
        <w:t>,</w:t>
      </w:r>
      <w:r w:rsidRPr="00E15ADD">
        <w:rPr>
          <w:lang w:val="en-US"/>
        </w:rPr>
        <w:t xml:space="preserve"> not to be required</w:t>
      </w:r>
      <w:r>
        <w:rPr>
          <w:lang w:val="en-US"/>
        </w:rPr>
        <w:t>; however,</w:t>
      </w:r>
      <w:r w:rsidRPr="00E15ADD">
        <w:rPr>
          <w:lang w:val="en-US"/>
        </w:rPr>
        <w:t xml:space="preserve"> the notion of their need persists and that </w:t>
      </w:r>
      <w:r w:rsidRPr="003B07DE">
        <w:rPr>
          <w:lang w:val="en-US"/>
        </w:rPr>
        <w:t xml:space="preserve">a standardized regime for seeking exclusion from Class 1 would </w:t>
      </w:r>
      <w:r>
        <w:rPr>
          <w:lang w:val="en-US"/>
        </w:rPr>
        <w:t>benefit</w:t>
      </w:r>
      <w:r w:rsidRPr="003B07DE">
        <w:rPr>
          <w:lang w:val="en-US"/>
        </w:rPr>
        <w:t xml:space="preserve"> </w:t>
      </w:r>
      <w:r>
        <w:rPr>
          <w:lang w:val="en-US"/>
        </w:rPr>
        <w:t xml:space="preserve">the </w:t>
      </w:r>
      <w:r w:rsidRPr="003B07DE">
        <w:rPr>
          <w:lang w:val="en-US"/>
        </w:rPr>
        <w:t>industry</w:t>
      </w:r>
      <w:r w:rsidRPr="00E15ADD">
        <w:rPr>
          <w:lang w:val="en-US"/>
        </w:rPr>
        <w:t>.  COSTHA recognized the security concern for devices when excluded from Class 1</w:t>
      </w:r>
      <w:r>
        <w:rPr>
          <w:lang w:val="en-US"/>
        </w:rPr>
        <w:t>. However</w:t>
      </w:r>
      <w:r w:rsidRPr="00E15ADD">
        <w:rPr>
          <w:lang w:val="en-US"/>
        </w:rPr>
        <w:t xml:space="preserve">, </w:t>
      </w:r>
      <w:r w:rsidRPr="00256C0A">
        <w:rPr>
          <w:lang w:val="en-US"/>
        </w:rPr>
        <w:t>import and customs authorities and insurers see 1.4S</w:t>
      </w:r>
      <w:r w:rsidRPr="00E15ADD">
        <w:rPr>
          <w:lang w:val="en-US"/>
        </w:rPr>
        <w:t xml:space="preserve"> as simply explosives</w:t>
      </w:r>
      <w:r>
        <w:rPr>
          <w:lang w:val="en-US"/>
        </w:rPr>
        <w:t xml:space="preserve"> and </w:t>
      </w:r>
      <w:r w:rsidRPr="00E15ADD">
        <w:rPr>
          <w:lang w:val="en-US"/>
        </w:rPr>
        <w:t xml:space="preserve">are apprehensive about dealing with those materials.  </w:t>
      </w:r>
    </w:p>
    <w:p w14:paraId="02BC8E15" w14:textId="77777777" w:rsidR="001C2639" w:rsidRPr="00E15ADD" w:rsidRDefault="001C2639" w:rsidP="001C2639">
      <w:pPr>
        <w:pStyle w:val="SingleTxtG"/>
        <w:spacing w:after="240"/>
        <w:ind w:left="1699" w:right="43"/>
        <w:rPr>
          <w:lang w:val="en-US"/>
        </w:rPr>
      </w:pPr>
      <w:r w:rsidRPr="007B5E38">
        <w:rPr>
          <w:lang w:val="en-US"/>
        </w:rPr>
        <w:t>The United Kingdom voiced that the challenges being presented are not purely technical and, therefore, it is unlikely that the EWG would be able to come to a consensus on how to exclude articles from class 1 that do not meet the existing exclusion criteria without a clear direction and scope from policymakers.</w:t>
      </w:r>
      <w:r>
        <w:rPr>
          <w:lang w:val="en-US"/>
        </w:rPr>
        <w:t xml:space="preserve"> </w:t>
      </w:r>
      <w:r w:rsidRPr="00E15ADD">
        <w:rPr>
          <w:lang w:val="en-US"/>
        </w:rPr>
        <w:t xml:space="preserve">These are decisions to be set by </w:t>
      </w:r>
      <w:r>
        <w:rPr>
          <w:lang w:val="en-US"/>
        </w:rPr>
        <w:t>policymakers</w:t>
      </w:r>
      <w:r w:rsidRPr="00E15ADD">
        <w:rPr>
          <w:lang w:val="en-US"/>
        </w:rPr>
        <w:t xml:space="preserve">. Germany noted that </w:t>
      </w:r>
      <w:r>
        <w:rPr>
          <w:lang w:val="en-US"/>
        </w:rPr>
        <w:t>it could not</w:t>
      </w:r>
      <w:r w:rsidRPr="00E15ADD">
        <w:rPr>
          <w:lang w:val="en-US"/>
        </w:rPr>
        <w:t xml:space="preserve"> solve the problem with insurers or authorities, and to allow substances or articles in Class 9 is problematic since Class 9 items have been seen to of been handled without real consideration or communication of the hazards present. </w:t>
      </w:r>
    </w:p>
    <w:p w14:paraId="16A3691D" w14:textId="77777777" w:rsidR="001C2639" w:rsidRPr="007F14EF" w:rsidRDefault="001C2639" w:rsidP="001C2639">
      <w:pPr>
        <w:pStyle w:val="SingleTxtG"/>
        <w:spacing w:after="240"/>
        <w:ind w:left="1699" w:right="43"/>
        <w:rPr>
          <w:lang w:val="en-US"/>
        </w:rPr>
      </w:pPr>
      <w:r w:rsidRPr="00E15ADD">
        <w:rPr>
          <w:lang w:val="en-US"/>
        </w:rPr>
        <w:t>The Chairman concluded that this is good information, but the Sub-Committee of Experts on the Transport of Dangerous Goods should be the body that decides if a type of device should be considered for exit.</w:t>
      </w:r>
      <w:r w:rsidRPr="007F14EF">
        <w:rPr>
          <w:lang w:val="en-US"/>
        </w:rPr>
        <w:t xml:space="preserve">  </w:t>
      </w:r>
    </w:p>
    <w:p w14:paraId="16043AD5" w14:textId="77777777" w:rsidR="001C2639" w:rsidRPr="00B34DE3" w:rsidRDefault="001C2639" w:rsidP="001C2639">
      <w:pPr>
        <w:pStyle w:val="SingleTxtG"/>
        <w:spacing w:after="240"/>
        <w:ind w:left="1699" w:right="43"/>
        <w:rPr>
          <w:lang w:val="en-US"/>
        </w:rPr>
      </w:pPr>
      <w:r w:rsidRPr="00B34DE3">
        <w:rPr>
          <w:lang w:val="en-US"/>
        </w:rPr>
        <w:t xml:space="preserve">COSTHA then introduced INF.32 detailing the testing of igniters common to the commercial pyrotechnic industry that are currently classed as explosives </w:t>
      </w:r>
      <w:r>
        <w:rPr>
          <w:lang w:val="en-US"/>
        </w:rPr>
        <w:t>to present</w:t>
      </w:r>
      <w:r w:rsidRPr="00B34DE3">
        <w:rPr>
          <w:lang w:val="en-US"/>
        </w:rPr>
        <w:t xml:space="preserve"> test data </w:t>
      </w:r>
      <w:r>
        <w:rPr>
          <w:lang w:val="en-US"/>
        </w:rPr>
        <w:t>that</w:t>
      </w:r>
      <w:r w:rsidRPr="00B34DE3">
        <w:rPr>
          <w:lang w:val="en-US"/>
        </w:rPr>
        <w:t xml:space="preserve"> competent </w:t>
      </w:r>
      <w:r>
        <w:rPr>
          <w:lang w:val="en-US"/>
        </w:rPr>
        <w:t>authorities</w:t>
      </w:r>
      <w:r w:rsidRPr="00B34DE3">
        <w:rPr>
          <w:lang w:val="en-US"/>
        </w:rPr>
        <w:t xml:space="preserve"> would utilize and interpret to determine exclusion or not.  </w:t>
      </w:r>
    </w:p>
    <w:p w14:paraId="3B51B7D3" w14:textId="77777777" w:rsidR="001C2639" w:rsidRPr="003C34A0" w:rsidRDefault="001C2639" w:rsidP="001C2639">
      <w:pPr>
        <w:pStyle w:val="SingleTxtG"/>
        <w:spacing w:after="240"/>
        <w:ind w:left="1699" w:right="43"/>
        <w:rPr>
          <w:lang w:val="en-US"/>
        </w:rPr>
      </w:pPr>
      <w:r w:rsidRPr="003C34A0">
        <w:rPr>
          <w:lang w:val="en-US"/>
        </w:rPr>
        <w:t xml:space="preserve">USA pointed out that the report has definitive statements regarding the items meeting exclusion requirements when </w:t>
      </w:r>
      <w:r>
        <w:rPr>
          <w:lang w:val="en-US"/>
        </w:rPr>
        <w:t>the competent authority</w:t>
      </w:r>
      <w:r w:rsidRPr="003C34A0">
        <w:rPr>
          <w:lang w:val="en-US"/>
        </w:rPr>
        <w:t xml:space="preserve"> makes that determination</w:t>
      </w:r>
      <w:r>
        <w:rPr>
          <w:lang w:val="en-US"/>
        </w:rPr>
        <w:t>, and stated its view that the matches fail the rupture criteria and questioned the ability to accurately measure the temperature profiles of rapid open flame events</w:t>
      </w:r>
      <w:r w:rsidRPr="003C34A0">
        <w:rPr>
          <w:lang w:val="en-US"/>
        </w:rPr>
        <w:t xml:space="preserve">. On this </w:t>
      </w:r>
      <w:r>
        <w:rPr>
          <w:lang w:val="en-US"/>
        </w:rPr>
        <w:t>particular article type</w:t>
      </w:r>
      <w:r w:rsidRPr="003C34A0">
        <w:rPr>
          <w:lang w:val="en-US"/>
        </w:rPr>
        <w:t xml:space="preserve">, </w:t>
      </w:r>
      <w:r>
        <w:rPr>
          <w:lang w:val="en-US"/>
        </w:rPr>
        <w:t xml:space="preserve">the </w:t>
      </w:r>
      <w:r w:rsidRPr="003C34A0">
        <w:rPr>
          <w:lang w:val="en-US"/>
        </w:rPr>
        <w:t xml:space="preserve">USA </w:t>
      </w:r>
      <w:r w:rsidRPr="009D549F">
        <w:rPr>
          <w:lang w:val="en-US"/>
        </w:rPr>
        <w:t xml:space="preserve">discussed electric match igniters with other Competent Authorities </w:t>
      </w:r>
      <w:r w:rsidRPr="003C34A0">
        <w:rPr>
          <w:lang w:val="en-US"/>
        </w:rPr>
        <w:t xml:space="preserve">to </w:t>
      </w:r>
      <w:r>
        <w:rPr>
          <w:lang w:val="en-US"/>
        </w:rPr>
        <w:t xml:space="preserve">verify how they interpret the exclusion criteria and ensure a harmonized approach. </w:t>
      </w:r>
    </w:p>
    <w:p w14:paraId="4905E734" w14:textId="77777777" w:rsidR="001C2639" w:rsidRPr="007F14EF" w:rsidRDefault="001C2639" w:rsidP="001C2639">
      <w:pPr>
        <w:pStyle w:val="SingleTxtG"/>
        <w:spacing w:after="240"/>
        <w:ind w:left="1699" w:right="43"/>
        <w:rPr>
          <w:highlight w:val="yellow"/>
          <w:lang w:val="en-US"/>
        </w:rPr>
      </w:pPr>
      <w:r>
        <w:rPr>
          <w:lang w:val="en-US"/>
        </w:rPr>
        <w:t>AEISG</w:t>
      </w:r>
      <w:r w:rsidRPr="00B971C6">
        <w:rPr>
          <w:lang w:val="en-US"/>
        </w:rPr>
        <w:t xml:space="preserve"> noted that there seems to be a disconnect between classification and regulation</w:t>
      </w:r>
      <w:r>
        <w:rPr>
          <w:lang w:val="en-US"/>
        </w:rPr>
        <w:t>,</w:t>
      </w:r>
      <w:r w:rsidRPr="00B971C6">
        <w:rPr>
          <w:lang w:val="en-US"/>
        </w:rPr>
        <w:t xml:space="preserve"> with regulation often excluding </w:t>
      </w:r>
      <w:r>
        <w:rPr>
          <w:lang w:val="en-US"/>
        </w:rPr>
        <w:t>specific</w:t>
      </w:r>
      <w:r w:rsidRPr="00B971C6">
        <w:rPr>
          <w:lang w:val="en-US"/>
        </w:rPr>
        <w:t xml:space="preserve"> articles </w:t>
      </w:r>
      <w:r>
        <w:rPr>
          <w:lang w:val="en-US"/>
        </w:rPr>
        <w:t xml:space="preserve">and </w:t>
      </w:r>
      <w:r w:rsidRPr="00B971C6">
        <w:rPr>
          <w:lang w:val="en-US"/>
        </w:rPr>
        <w:t>making exceptions despite their classification. The Netherlands asked for clarification on the purpose of this paper</w:t>
      </w:r>
      <w:r>
        <w:rPr>
          <w:lang w:val="en-US"/>
        </w:rPr>
        <w:t>,</w:t>
      </w:r>
      <w:r w:rsidRPr="00B971C6">
        <w:rPr>
          <w:lang w:val="en-US"/>
        </w:rPr>
        <w:t xml:space="preserve"> and COSTHA responded that its purpose was to provide exemplar data on commonly used products in the fireworks industry to illustrate how differing interpretations could be made.</w:t>
      </w:r>
    </w:p>
    <w:p w14:paraId="02838FA9" w14:textId="77777777" w:rsidR="001C2639" w:rsidRPr="007F14EF" w:rsidRDefault="001C2639" w:rsidP="001C2639">
      <w:pPr>
        <w:tabs>
          <w:tab w:val="left" w:pos="1710"/>
        </w:tabs>
        <w:spacing w:line="240" w:lineRule="auto"/>
        <w:ind w:left="1699"/>
        <w:jc w:val="both"/>
        <w:rPr>
          <w:lang w:val="en-US"/>
        </w:rPr>
      </w:pPr>
      <w:r w:rsidRPr="00717F88">
        <w:rPr>
          <w:b/>
          <w:u w:val="single"/>
          <w:lang w:val="en-US"/>
        </w:rPr>
        <w:t>Conclusion:</w:t>
      </w:r>
      <w:r w:rsidRPr="00717F88">
        <w:rPr>
          <w:lang w:val="en-US"/>
        </w:rPr>
        <w:t xml:space="preserve">  Regarding INF.27, the group was undecided on whether a first aid injury would be acceptable </w:t>
      </w:r>
      <w:r>
        <w:rPr>
          <w:lang w:val="en-US"/>
        </w:rPr>
        <w:t>for 1.4S</w:t>
      </w:r>
      <w:r w:rsidRPr="00717F88">
        <w:rPr>
          <w:lang w:val="en-US"/>
        </w:rPr>
        <w:t>.   The EWG listened to the presentation on INF.25 and discussed it</w:t>
      </w:r>
      <w:r>
        <w:rPr>
          <w:lang w:val="en-US"/>
        </w:rPr>
        <w:t>,</w:t>
      </w:r>
      <w:r w:rsidRPr="00717F88">
        <w:rPr>
          <w:lang w:val="en-US"/>
        </w:rPr>
        <w:t xml:space="preserve"> but </w:t>
      </w:r>
      <w:r>
        <w:rPr>
          <w:lang w:val="en-US"/>
        </w:rPr>
        <w:t>the group had no proposal</w:t>
      </w:r>
      <w:r w:rsidRPr="00717F88">
        <w:rPr>
          <w:lang w:val="en-US"/>
        </w:rPr>
        <w:t xml:space="preserve"> to consider. On INF.31, the EWG concluded that risk is not the paramount consideration in transport regulations</w:t>
      </w:r>
      <w:r>
        <w:rPr>
          <w:lang w:val="en-US"/>
        </w:rPr>
        <w:t>; however,</w:t>
      </w:r>
      <w:r w:rsidRPr="00717F88">
        <w:rPr>
          <w:lang w:val="en-US"/>
        </w:rPr>
        <w:t xml:space="preserve"> classification does consider risk to some extent.  </w:t>
      </w:r>
      <w:r>
        <w:rPr>
          <w:lang w:val="en-US"/>
        </w:rPr>
        <w:t xml:space="preserve">While </w:t>
      </w:r>
      <w:r w:rsidRPr="00D51458">
        <w:rPr>
          <w:lang w:val="en-US"/>
        </w:rPr>
        <w:t>some authorities might view safety devices as a security risk</w:t>
      </w:r>
      <w:r>
        <w:rPr>
          <w:lang w:val="en-US"/>
        </w:rPr>
        <w:t>,</w:t>
      </w:r>
      <w:r w:rsidRPr="00717F88">
        <w:rPr>
          <w:lang w:val="en-US"/>
        </w:rPr>
        <w:t xml:space="preserve"> a systematic way of weighing those</w:t>
      </w:r>
      <w:r>
        <w:rPr>
          <w:lang w:val="en-US"/>
        </w:rPr>
        <w:t xml:space="preserve"> risks</w:t>
      </w:r>
      <w:r w:rsidRPr="00717F88">
        <w:rPr>
          <w:lang w:val="en-US"/>
        </w:rPr>
        <w:t xml:space="preserve"> against societal benefits does not exist.  </w:t>
      </w:r>
    </w:p>
    <w:bookmarkEnd w:id="6"/>
    <w:p w14:paraId="0C2AEABD" w14:textId="77777777" w:rsidR="001C2639" w:rsidRPr="007F14EF" w:rsidRDefault="001C2639" w:rsidP="001C2639">
      <w:pPr>
        <w:pStyle w:val="HChG"/>
        <w:ind w:left="1138" w:right="43" w:firstLine="0"/>
        <w:rPr>
          <w:lang w:val="en-US"/>
        </w:rPr>
      </w:pPr>
      <w:r w:rsidRPr="007F14EF">
        <w:rPr>
          <w:lang w:val="en-US"/>
        </w:rPr>
        <w:lastRenderedPageBreak/>
        <w:t>Agenda Item 2(b) – Improvements to Test Series 8</w:t>
      </w:r>
    </w:p>
    <w:p w14:paraId="657C0BCF" w14:textId="77777777" w:rsidR="001C2639" w:rsidRPr="007F14EF" w:rsidRDefault="001C2639" w:rsidP="003C5ADC">
      <w:pPr>
        <w:pStyle w:val="SingleTxtG"/>
        <w:keepNext/>
        <w:numPr>
          <w:ilvl w:val="0"/>
          <w:numId w:val="18"/>
        </w:numPr>
        <w:spacing w:after="240"/>
        <w:ind w:right="43"/>
        <w:rPr>
          <w:lang w:val="en-US"/>
        </w:rPr>
      </w:pPr>
      <w:r w:rsidRPr="007F14EF">
        <w:rPr>
          <w:b/>
          <w:bCs/>
          <w:u w:val="single"/>
          <w:lang w:val="en-US"/>
        </w:rPr>
        <w:t>Subject.</w:t>
      </w:r>
      <w:r w:rsidRPr="007F14EF">
        <w:rPr>
          <w:lang w:val="en-US"/>
        </w:rPr>
        <w:t xml:space="preserve">  </w:t>
      </w:r>
      <w:hyperlink r:id="rId16" w:history="1">
        <w:r w:rsidRPr="007F14EF">
          <w:rPr>
            <w:rStyle w:val="Hyperlink"/>
            <w:lang w:val="en-US"/>
          </w:rPr>
          <w:t xml:space="preserve">Further validation of test series 8: applicability of test series 8 (d) </w:t>
        </w:r>
      </w:hyperlink>
      <w:hyperlink r:id="rId17"/>
    </w:p>
    <w:p w14:paraId="62DDE90B" w14:textId="77777777" w:rsidR="001C2639" w:rsidRPr="00C45C0A" w:rsidRDefault="001C2639" w:rsidP="001C2639">
      <w:pPr>
        <w:pStyle w:val="SingleTxtG"/>
        <w:spacing w:after="240"/>
        <w:ind w:left="3700" w:right="43" w:hanging="2001"/>
        <w:jc w:val="left"/>
        <w:rPr>
          <w:i/>
          <w:iCs/>
          <w:lang w:val="fr-FR"/>
        </w:rPr>
      </w:pPr>
      <w:r w:rsidRPr="00C45C0A">
        <w:rPr>
          <w:i/>
          <w:iCs/>
          <w:lang w:val="fr-FR"/>
        </w:rPr>
        <w:t>Document:</w:t>
      </w:r>
      <w:r w:rsidRPr="00C45C0A">
        <w:rPr>
          <w:lang w:val="fr-FR"/>
        </w:rPr>
        <w:tab/>
      </w:r>
      <w:r w:rsidRPr="00C45C0A">
        <w:rPr>
          <w:i/>
          <w:iCs/>
          <w:lang w:val="fr-FR"/>
        </w:rPr>
        <w:t>None submitted</w:t>
      </w:r>
    </w:p>
    <w:p w14:paraId="76422847" w14:textId="77777777" w:rsidR="001C2639" w:rsidRPr="00C45C0A" w:rsidRDefault="001C2639" w:rsidP="001C2639">
      <w:pPr>
        <w:pStyle w:val="SingleTxtG"/>
        <w:spacing w:after="240"/>
        <w:ind w:left="3700" w:right="43" w:hanging="2001"/>
        <w:rPr>
          <w:i/>
          <w:iCs/>
          <w:lang w:val="fr-FR"/>
        </w:rPr>
      </w:pPr>
      <w:r w:rsidRPr="00C45C0A">
        <w:rPr>
          <w:i/>
          <w:iCs/>
          <w:lang w:val="fr-FR"/>
        </w:rPr>
        <w:t xml:space="preserve">Informal document: </w:t>
      </w:r>
      <w:r w:rsidRPr="00C45C0A">
        <w:rPr>
          <w:i/>
          <w:iCs/>
          <w:lang w:val="fr-FR"/>
        </w:rPr>
        <w:tab/>
        <w:t>UN/SCETDG/62/INF.10 (RPMASA), UN/SCETDG/62/INF.37 (IME)</w:t>
      </w:r>
    </w:p>
    <w:p w14:paraId="63103177" w14:textId="77777777" w:rsidR="001C2639" w:rsidRPr="007F14EF" w:rsidRDefault="001C2639" w:rsidP="001C2639">
      <w:pPr>
        <w:pStyle w:val="SingleTxtG"/>
        <w:spacing w:after="240"/>
        <w:ind w:left="1699" w:right="43"/>
        <w:rPr>
          <w:lang w:val="en-US"/>
        </w:rPr>
      </w:pPr>
      <w:r w:rsidRPr="007F14EF">
        <w:rPr>
          <w:b/>
          <w:bCs/>
          <w:u w:val="single"/>
          <w:lang w:val="en-US"/>
        </w:rPr>
        <w:t>Discussion:</w:t>
      </w:r>
      <w:r w:rsidRPr="007F14EF">
        <w:rPr>
          <w:lang w:val="en-US"/>
        </w:rPr>
        <w:t xml:space="preserve"> </w:t>
      </w:r>
      <w:r>
        <w:rPr>
          <w:lang w:val="en-US"/>
        </w:rPr>
        <w:t>These papers were taken</w:t>
      </w:r>
      <w:r w:rsidRPr="007F14EF">
        <w:rPr>
          <w:lang w:val="en-US"/>
        </w:rPr>
        <w:t xml:space="preserve"> up during the discussions on 20</w:t>
      </w:r>
      <w:r>
        <w:rPr>
          <w:lang w:val="en-US"/>
        </w:rPr>
        <w:t>2</w:t>
      </w:r>
      <w:r w:rsidRPr="007F14EF">
        <w:rPr>
          <w:lang w:val="en-US"/>
        </w:rPr>
        <w:t xml:space="preserve">3/16.  See paragraph </w:t>
      </w:r>
      <w:r>
        <w:rPr>
          <w:lang w:val="en-US"/>
        </w:rPr>
        <w:t>8.</w:t>
      </w:r>
      <w:r w:rsidRPr="007F14EF">
        <w:rPr>
          <w:lang w:val="en-US"/>
        </w:rPr>
        <w:t xml:space="preserve"> </w:t>
      </w:r>
    </w:p>
    <w:p w14:paraId="7F467DDD" w14:textId="77777777" w:rsidR="001C2639" w:rsidRPr="007F14EF" w:rsidRDefault="001C2639" w:rsidP="001C2639">
      <w:pPr>
        <w:spacing w:line="240" w:lineRule="auto"/>
        <w:ind w:left="1699"/>
        <w:jc w:val="both"/>
        <w:rPr>
          <w:lang w:val="en-US"/>
        </w:rPr>
      </w:pPr>
      <w:r w:rsidRPr="007F14EF">
        <w:rPr>
          <w:b/>
          <w:bCs/>
          <w:u w:val="single"/>
          <w:lang w:val="en-US"/>
        </w:rPr>
        <w:t>Conclusion:</w:t>
      </w:r>
      <w:r w:rsidRPr="007F14EF">
        <w:rPr>
          <w:lang w:val="en-US"/>
        </w:rPr>
        <w:t xml:space="preserve">  See paragraph </w:t>
      </w:r>
      <w:r>
        <w:rPr>
          <w:lang w:val="en-US"/>
        </w:rPr>
        <w:t>8.</w:t>
      </w:r>
    </w:p>
    <w:p w14:paraId="4E578D1B" w14:textId="77777777" w:rsidR="001C2639" w:rsidRPr="007F14EF" w:rsidRDefault="001C2639" w:rsidP="001C2639">
      <w:pPr>
        <w:pStyle w:val="HChG"/>
        <w:ind w:left="1138" w:right="43" w:firstLine="0"/>
        <w:rPr>
          <w:lang w:val="en-US"/>
        </w:rPr>
      </w:pPr>
      <w:r w:rsidRPr="007F14EF">
        <w:rPr>
          <w:lang w:val="en-US"/>
        </w:rPr>
        <w:t>Agenda Item 2(c) – Review of tests in parts, I, II and III of the Manual of Tests and Criteria</w:t>
      </w:r>
    </w:p>
    <w:p w14:paraId="0FCD2E89" w14:textId="77777777" w:rsidR="001C2639" w:rsidRPr="007F14EF" w:rsidRDefault="001C2639" w:rsidP="003C5ADC">
      <w:pPr>
        <w:pStyle w:val="SingleTxtG"/>
        <w:keepNext/>
        <w:numPr>
          <w:ilvl w:val="0"/>
          <w:numId w:val="18"/>
        </w:numPr>
        <w:spacing w:after="240"/>
        <w:ind w:right="43"/>
        <w:rPr>
          <w:lang w:val="en-US"/>
        </w:rPr>
      </w:pPr>
      <w:r w:rsidRPr="007F14EF">
        <w:rPr>
          <w:b/>
          <w:bCs/>
          <w:u w:val="single"/>
          <w:lang w:val="en-US"/>
        </w:rPr>
        <w:t>Subject.</w:t>
      </w:r>
      <w:r w:rsidRPr="007F14EF">
        <w:rPr>
          <w:lang w:val="en-US"/>
        </w:rPr>
        <w:t xml:space="preserve">  </w:t>
      </w:r>
      <w:hyperlink r:id="rId18" w:history="1">
        <w:r w:rsidRPr="007F14EF">
          <w:rPr>
            <w:rStyle w:val="Hyperlink"/>
            <w:lang w:val="en-US"/>
          </w:rPr>
          <w:t>Explosive Working Group Koenen tube round-robin initial test results (UK, USA)</w:t>
        </w:r>
      </w:hyperlink>
    </w:p>
    <w:p w14:paraId="4D7EFC8F" w14:textId="77777777" w:rsidR="001C2639" w:rsidRPr="00C45C0A" w:rsidRDefault="001C2639" w:rsidP="001C2639">
      <w:pPr>
        <w:pStyle w:val="SingleTxtG"/>
        <w:keepNext/>
        <w:spacing w:after="240"/>
        <w:ind w:left="3700" w:right="43" w:hanging="2001"/>
        <w:jc w:val="left"/>
        <w:rPr>
          <w:i/>
          <w:iCs/>
          <w:lang w:val="fr-FR"/>
        </w:rPr>
      </w:pPr>
      <w:r w:rsidRPr="00C45C0A">
        <w:rPr>
          <w:i/>
          <w:iCs/>
          <w:lang w:val="fr-FR"/>
        </w:rPr>
        <w:t>Document:</w:t>
      </w:r>
      <w:r w:rsidRPr="00C45C0A">
        <w:rPr>
          <w:lang w:val="fr-FR"/>
        </w:rPr>
        <w:tab/>
      </w:r>
      <w:r w:rsidRPr="00C45C0A">
        <w:rPr>
          <w:i/>
          <w:iCs/>
          <w:lang w:val="fr-FR"/>
        </w:rPr>
        <w:t xml:space="preserve">None submitted. </w:t>
      </w:r>
    </w:p>
    <w:p w14:paraId="1BABDC08" w14:textId="77777777" w:rsidR="001C2639" w:rsidRPr="00C45C0A" w:rsidRDefault="001C2639" w:rsidP="001C2639">
      <w:pPr>
        <w:pStyle w:val="SingleTxtG"/>
        <w:keepNext/>
        <w:spacing w:after="240"/>
        <w:ind w:left="3700" w:right="43" w:hanging="2001"/>
        <w:rPr>
          <w:rStyle w:val="Hyperlink"/>
          <w:rFonts w:ascii="Calibri" w:eastAsia="Calibri" w:hAnsi="Calibri" w:cs="Calibri"/>
          <w:b/>
          <w:bCs/>
          <w:sz w:val="24"/>
          <w:szCs w:val="24"/>
          <w:lang w:val="fr-FR"/>
        </w:rPr>
      </w:pPr>
      <w:r w:rsidRPr="00C45C0A">
        <w:rPr>
          <w:i/>
          <w:iCs/>
          <w:lang w:val="fr-FR"/>
        </w:rPr>
        <w:t xml:space="preserve">Informal document: </w:t>
      </w:r>
      <w:r w:rsidRPr="00C45C0A">
        <w:rPr>
          <w:i/>
          <w:iCs/>
          <w:lang w:val="fr-FR"/>
        </w:rPr>
        <w:tab/>
      </w:r>
      <w:r w:rsidRPr="00C45C0A">
        <w:rPr>
          <w:rStyle w:val="Strong"/>
          <w:b w:val="0"/>
          <w:bCs w:val="0"/>
          <w:i/>
          <w:iCs/>
          <w:lang w:val="fr-FR"/>
        </w:rPr>
        <w:t>UN/SCETDG/62/INF.36 (UK, USA)</w:t>
      </w:r>
    </w:p>
    <w:p w14:paraId="2B24EFD5" w14:textId="77777777" w:rsidR="001C2639" w:rsidRPr="007F14EF" w:rsidRDefault="001C2639" w:rsidP="001C2639">
      <w:pPr>
        <w:pStyle w:val="SingleTxtG"/>
        <w:spacing w:after="240"/>
        <w:ind w:left="1701" w:right="43"/>
        <w:rPr>
          <w:lang w:val="en-US"/>
        </w:rPr>
      </w:pPr>
      <w:r w:rsidRPr="007F14EF">
        <w:rPr>
          <w:b/>
          <w:bCs/>
          <w:u w:val="single"/>
          <w:lang w:val="en-US"/>
        </w:rPr>
        <w:t>Discussion</w:t>
      </w:r>
      <w:r w:rsidRPr="007F14EF">
        <w:rPr>
          <w:u w:val="single"/>
          <w:lang w:val="en-US"/>
        </w:rPr>
        <w:t>:</w:t>
      </w:r>
      <w:r w:rsidRPr="007F14EF">
        <w:rPr>
          <w:lang w:val="en-US"/>
        </w:rPr>
        <w:t xml:space="preserve">  USA introduced the paper</w:t>
      </w:r>
      <w:r>
        <w:rPr>
          <w:lang w:val="en-US"/>
        </w:rPr>
        <w:t>,</w:t>
      </w:r>
      <w:r w:rsidRPr="007F14EF">
        <w:rPr>
          <w:lang w:val="en-US"/>
        </w:rPr>
        <w:t xml:space="preserve"> which provided updates on the work of the round-robin testing of Koenen tubes.  The EWG was reminded of the past work and events leading to the round-robin testing.  The experimental design was explained, and data was provided on the testing conducted to date</w:t>
      </w:r>
      <w:r>
        <w:rPr>
          <w:lang w:val="en-US"/>
        </w:rPr>
        <w:t>,</w:t>
      </w:r>
      <w:r w:rsidRPr="007F14EF">
        <w:rPr>
          <w:lang w:val="en-US"/>
        </w:rPr>
        <w:t xml:space="preserve"> including the quasi-static bursting pressure results from </w:t>
      </w:r>
      <w:r>
        <w:rPr>
          <w:lang w:val="en-US"/>
        </w:rPr>
        <w:t xml:space="preserve">the various tubes by </w:t>
      </w:r>
      <w:r w:rsidRPr="007F14EF">
        <w:rPr>
          <w:lang w:val="en-US"/>
        </w:rPr>
        <w:t>a third-party lab and the</w:t>
      </w:r>
      <w:r>
        <w:rPr>
          <w:lang w:val="en-US"/>
        </w:rPr>
        <w:t xml:space="preserve"> limiting diameter results for the selected standard UN</w:t>
      </w:r>
      <w:r w:rsidRPr="007F14EF">
        <w:rPr>
          <w:lang w:val="en-US"/>
        </w:rPr>
        <w:t xml:space="preserve"> substances </w:t>
      </w:r>
      <w:r>
        <w:rPr>
          <w:lang w:val="en-US"/>
        </w:rPr>
        <w:t xml:space="preserve">obtained to date </w:t>
      </w:r>
      <w:r w:rsidRPr="007F14EF">
        <w:rPr>
          <w:lang w:val="en-US"/>
        </w:rPr>
        <w:t xml:space="preserve">from each of the 13 participating parties.  </w:t>
      </w:r>
      <w:r w:rsidRPr="0058659F">
        <w:rPr>
          <w:lang w:val="en-US"/>
        </w:rPr>
        <w:t>Germany stated that they are working to provide their test procedure for determining the quasi-static burst pressure to the round-robin lead.  Upon receipt of the German procedure, the current procedure will be adjusted if needed and the remaining tubes will be tested.</w:t>
      </w:r>
    </w:p>
    <w:p w14:paraId="43117873" w14:textId="77777777" w:rsidR="001C2639" w:rsidRPr="007F14EF" w:rsidRDefault="001C2639" w:rsidP="001C2639">
      <w:pPr>
        <w:pStyle w:val="SingleTxtG"/>
        <w:spacing w:after="240"/>
        <w:ind w:left="1701" w:right="43"/>
        <w:rPr>
          <w:lang w:val="en-US"/>
        </w:rPr>
      </w:pPr>
      <w:r w:rsidRPr="007F14EF">
        <w:rPr>
          <w:lang w:val="en-US"/>
        </w:rPr>
        <w:t xml:space="preserve">CEFIC noted </w:t>
      </w:r>
      <w:r>
        <w:rPr>
          <w:lang w:val="en-US"/>
        </w:rPr>
        <w:t xml:space="preserve">that </w:t>
      </w:r>
      <w:r w:rsidRPr="007F14EF">
        <w:rPr>
          <w:lang w:val="en-US"/>
        </w:rPr>
        <w:t>this study was discussed at the recent International Group of Experts on the Explosion Risks of Unstable Substances-Energetic and Oxidizing Substances working group meeting in Washington, D.C., USA.  At this meeting</w:t>
      </w:r>
      <w:r>
        <w:rPr>
          <w:lang w:val="en-US"/>
        </w:rPr>
        <w:t>,</w:t>
      </w:r>
      <w:r w:rsidRPr="007F14EF">
        <w:rPr>
          <w:lang w:val="en-US"/>
        </w:rPr>
        <w:t xml:space="preserve"> the group showed interest in this work and may wish the round-robin study </w:t>
      </w:r>
      <w:r>
        <w:rPr>
          <w:lang w:val="en-US"/>
        </w:rPr>
        <w:t xml:space="preserve">to </w:t>
      </w:r>
      <w:r w:rsidRPr="007F14EF">
        <w:rPr>
          <w:lang w:val="en-US"/>
        </w:rPr>
        <w:t xml:space="preserve">be amended to include a substance relevant to that group.  </w:t>
      </w:r>
    </w:p>
    <w:p w14:paraId="1046A4DA" w14:textId="77777777" w:rsidR="001C2639" w:rsidRPr="007F14EF" w:rsidRDefault="001C2639" w:rsidP="001C2639">
      <w:pPr>
        <w:pStyle w:val="SingleTxtG"/>
        <w:spacing w:after="240"/>
        <w:ind w:left="1701" w:right="43"/>
        <w:rPr>
          <w:lang w:val="en-US"/>
        </w:rPr>
      </w:pPr>
      <w:r w:rsidRPr="007F14EF">
        <w:rPr>
          <w:lang w:val="en-US"/>
        </w:rPr>
        <w:t>The group discussed the preliminary results</w:t>
      </w:r>
      <w:r>
        <w:rPr>
          <w:lang w:val="en-US"/>
        </w:rPr>
        <w:t>,</w:t>
      </w:r>
      <w:r w:rsidRPr="007F14EF">
        <w:rPr>
          <w:lang w:val="en-US"/>
        </w:rPr>
        <w:t xml:space="preserve"> </w:t>
      </w:r>
      <w:r>
        <w:rPr>
          <w:lang w:val="en-US"/>
        </w:rPr>
        <w:t xml:space="preserve">in general, but did not seek to reach any conclusions since all testing is not complete.  </w:t>
      </w:r>
      <w:r w:rsidRPr="007F14EF">
        <w:rPr>
          <w:lang w:val="en-US"/>
        </w:rPr>
        <w:t xml:space="preserve">Germany voiced that perhaps the bursting pressure is not the most </w:t>
      </w:r>
      <w:r>
        <w:rPr>
          <w:lang w:val="en-US"/>
        </w:rPr>
        <w:t>crucial</w:t>
      </w:r>
      <w:r w:rsidRPr="007F14EF">
        <w:rPr>
          <w:lang w:val="en-US"/>
        </w:rPr>
        <w:t xml:space="preserve"> factor that governs the results. The Netherlands commented on how the </w:t>
      </w:r>
      <w:r w:rsidRPr="00E03496">
        <w:rPr>
          <w:lang w:val="en-US"/>
        </w:rPr>
        <w:t xml:space="preserve">fragment size and quantity of the ruptured tube </w:t>
      </w:r>
      <w:r>
        <w:rPr>
          <w:lang w:val="en-US"/>
        </w:rPr>
        <w:t>are</w:t>
      </w:r>
      <w:r w:rsidRPr="007F14EF">
        <w:rPr>
          <w:lang w:val="en-US"/>
        </w:rPr>
        <w:t xml:space="preserve"> important in interpreting test results. </w:t>
      </w:r>
      <w:r>
        <w:rPr>
          <w:lang w:val="en-US"/>
        </w:rPr>
        <w:t>It was noted that the dimensions of all present-day tubes do not fully meet the specification of current UN Manual.</w:t>
      </w:r>
    </w:p>
    <w:p w14:paraId="012F0735" w14:textId="77777777" w:rsidR="001C2639" w:rsidRPr="007F14EF" w:rsidRDefault="001C2639" w:rsidP="001C2639">
      <w:pPr>
        <w:pStyle w:val="SingleTxtG"/>
        <w:spacing w:after="240"/>
        <w:ind w:left="1701" w:right="43"/>
        <w:rPr>
          <w:lang w:val="en-US"/>
        </w:rPr>
      </w:pPr>
      <w:r w:rsidRPr="007F14EF">
        <w:rPr>
          <w:b/>
          <w:bCs/>
          <w:u w:val="single"/>
          <w:lang w:val="en-US"/>
        </w:rPr>
        <w:t>Conclusion:</w:t>
      </w:r>
      <w:r w:rsidRPr="007F14EF">
        <w:rPr>
          <w:b/>
          <w:bCs/>
          <w:lang w:val="en-US"/>
        </w:rPr>
        <w:t xml:space="preserve">  </w:t>
      </w:r>
      <w:r w:rsidRPr="007F14EF">
        <w:rPr>
          <w:lang w:val="en-US"/>
        </w:rPr>
        <w:t>There was unanimous consent that this is valid work and should continue.</w:t>
      </w:r>
      <w:r w:rsidRPr="007F14EF">
        <w:rPr>
          <w:b/>
          <w:bCs/>
          <w:lang w:val="en-US"/>
        </w:rPr>
        <w:t xml:space="preserve"> </w:t>
      </w:r>
      <w:r w:rsidRPr="007F14EF">
        <w:rPr>
          <w:lang w:val="en-US"/>
        </w:rPr>
        <w:t>Toward this,</w:t>
      </w:r>
      <w:r w:rsidRPr="007F14EF">
        <w:rPr>
          <w:b/>
          <w:bCs/>
          <w:lang w:val="en-US"/>
        </w:rPr>
        <w:t xml:space="preserve"> </w:t>
      </w:r>
      <w:r w:rsidRPr="007F14EF">
        <w:rPr>
          <w:lang w:val="en-US"/>
        </w:rPr>
        <w:t>Germany will finalize its review of the current quasi-static burst pressure procedure, the remaining quasi-static burst pressure tests will be performed, the labs that have not completed the round-robin tests will do so, and the NOURYON laboratory in the Netherlands will develop a te</w:t>
      </w:r>
      <w:r>
        <w:rPr>
          <w:lang w:val="en-US"/>
        </w:rPr>
        <w:t>s</w:t>
      </w:r>
      <w:r w:rsidRPr="007F14EF">
        <w:rPr>
          <w:lang w:val="en-US"/>
        </w:rPr>
        <w:t xml:space="preserve">t matrix for diluted quantities of tert-Butyl peroxybenzoate. </w:t>
      </w:r>
    </w:p>
    <w:p w14:paraId="04341EBA" w14:textId="77777777" w:rsidR="001C2639" w:rsidRPr="007F14EF" w:rsidRDefault="001C2639" w:rsidP="001C2639">
      <w:pPr>
        <w:pStyle w:val="HChG"/>
        <w:ind w:left="1138" w:right="43" w:firstLine="0"/>
        <w:rPr>
          <w:lang w:val="en-US"/>
        </w:rPr>
      </w:pPr>
      <w:bookmarkStart w:id="7" w:name="_Hlk139394355"/>
      <w:r w:rsidRPr="007F14EF">
        <w:rPr>
          <w:lang w:val="en-US"/>
        </w:rPr>
        <w:t xml:space="preserve">Agenda Item 2(f) – </w:t>
      </w:r>
      <w:r w:rsidRPr="00993492">
        <w:rPr>
          <w:lang w:val="en-US"/>
        </w:rPr>
        <w:t>Review of packaging and transport requirements for ammonium nitrate emulsions</w:t>
      </w:r>
    </w:p>
    <w:p w14:paraId="5E8B67F6" w14:textId="77777777" w:rsidR="001C2639" w:rsidRPr="007F14EF" w:rsidRDefault="001C2639" w:rsidP="003C5ADC">
      <w:pPr>
        <w:pStyle w:val="SingleTxtG"/>
        <w:numPr>
          <w:ilvl w:val="0"/>
          <w:numId w:val="18"/>
        </w:numPr>
        <w:spacing w:after="240"/>
        <w:ind w:right="43"/>
        <w:rPr>
          <w:lang w:val="en-US"/>
        </w:rPr>
      </w:pPr>
      <w:r w:rsidRPr="007F14EF">
        <w:rPr>
          <w:b/>
          <w:bCs/>
          <w:u w:val="single"/>
          <w:lang w:val="en-US"/>
        </w:rPr>
        <w:t>Subject.</w:t>
      </w:r>
      <w:r w:rsidRPr="007F14EF">
        <w:rPr>
          <w:lang w:val="en-US"/>
        </w:rPr>
        <w:t xml:space="preserve">  </w:t>
      </w:r>
      <w:hyperlink r:id="rId19" w:history="1">
        <w:r w:rsidRPr="007F14EF">
          <w:rPr>
            <w:rStyle w:val="Hyperlink"/>
            <w:lang w:val="en-US"/>
          </w:rPr>
          <w:t>Proposal to remove the requirement of test series 8(d) for assessing the suitability of ammonium nitrate emulsions for transport in portable tanks</w:t>
        </w:r>
      </w:hyperlink>
    </w:p>
    <w:p w14:paraId="25203C04" w14:textId="77777777" w:rsidR="001C2639" w:rsidRPr="00C45C0A" w:rsidRDefault="001C2639" w:rsidP="001C2639">
      <w:pPr>
        <w:pStyle w:val="SingleTxtG"/>
        <w:spacing w:after="240"/>
        <w:ind w:left="3700" w:right="43" w:hanging="2001"/>
        <w:jc w:val="left"/>
        <w:rPr>
          <w:i/>
          <w:lang w:val="fr-FR"/>
        </w:rPr>
      </w:pPr>
      <w:r w:rsidRPr="00C45C0A">
        <w:rPr>
          <w:i/>
          <w:lang w:val="fr-FR"/>
        </w:rPr>
        <w:t>Document:</w:t>
      </w:r>
      <w:r w:rsidRPr="00C45C0A">
        <w:rPr>
          <w:i/>
          <w:lang w:val="fr-FR"/>
        </w:rPr>
        <w:tab/>
      </w:r>
      <w:r w:rsidRPr="00C45C0A">
        <w:rPr>
          <w:i/>
          <w:iCs/>
          <w:lang w:val="fr-FR"/>
        </w:rPr>
        <w:t>ST/SG/AC.10/C.3/2023/16 (IME)</w:t>
      </w:r>
    </w:p>
    <w:p w14:paraId="60AB3267" w14:textId="77777777" w:rsidR="001C2639" w:rsidRPr="00C45C0A" w:rsidRDefault="001C2639" w:rsidP="001C2639">
      <w:pPr>
        <w:pStyle w:val="SingleTxtG"/>
        <w:spacing w:after="240"/>
        <w:ind w:left="3700" w:right="43" w:hanging="2001"/>
        <w:rPr>
          <w:i/>
          <w:iCs/>
          <w:lang w:val="fr-FR"/>
        </w:rPr>
      </w:pPr>
      <w:r w:rsidRPr="00C45C0A">
        <w:rPr>
          <w:i/>
          <w:lang w:val="fr-FR"/>
        </w:rPr>
        <w:t xml:space="preserve">Informal document: </w:t>
      </w:r>
      <w:r w:rsidRPr="00C45C0A">
        <w:rPr>
          <w:i/>
          <w:lang w:val="fr-FR"/>
        </w:rPr>
        <w:tab/>
      </w:r>
      <w:r w:rsidRPr="00C45C0A">
        <w:rPr>
          <w:i/>
          <w:iCs/>
          <w:lang w:val="fr-FR"/>
        </w:rPr>
        <w:t>UN/SCETDG/62/INF.10 (RPMASA), UN/SCETDG/62/INF.37 (IME)</w:t>
      </w:r>
    </w:p>
    <w:p w14:paraId="22B9882A" w14:textId="77777777" w:rsidR="001C2639" w:rsidRDefault="001C2639" w:rsidP="001C2639">
      <w:pPr>
        <w:pStyle w:val="SingleTxtG"/>
        <w:spacing w:after="240"/>
        <w:ind w:left="1701" w:right="43"/>
        <w:rPr>
          <w:lang w:val="en-US"/>
        </w:rPr>
      </w:pPr>
      <w:r w:rsidRPr="007F14EF">
        <w:rPr>
          <w:b/>
          <w:u w:val="single"/>
          <w:lang w:val="en-US"/>
        </w:rPr>
        <w:lastRenderedPageBreak/>
        <w:t>Discussion:</w:t>
      </w:r>
      <w:r w:rsidRPr="007F14EF">
        <w:rPr>
          <w:lang w:val="en-US"/>
        </w:rPr>
        <w:t xml:space="preserve">  IME introduced 2023/16</w:t>
      </w:r>
      <w:r>
        <w:rPr>
          <w:lang w:val="en-US"/>
        </w:rPr>
        <w:t>,</w:t>
      </w:r>
      <w:r w:rsidRPr="007F14EF">
        <w:rPr>
          <w:lang w:val="en-US"/>
        </w:rPr>
        <w:t xml:space="preserve"> which continued work toward a proposal that Ammonium Nitrate Emulsions (ANEs) that satisfy the acceptance criteria of the 8(e) test should not need to be subjected to the 8(d) test and should be considered suitable for containment in portable tanks.  IME presented a slideshow covering the history of the 8(d) test, ANE transport events, computational modeling of ANE, </w:t>
      </w:r>
      <w:r>
        <w:rPr>
          <w:lang w:val="en-US"/>
        </w:rPr>
        <w:t xml:space="preserve">and </w:t>
      </w:r>
      <w:r w:rsidRPr="007F14EF">
        <w:rPr>
          <w:lang w:val="en-US"/>
        </w:rPr>
        <w:t>comparisons between ANE and AN, and began with</w:t>
      </w:r>
      <w:r>
        <w:rPr>
          <w:lang w:val="en-US"/>
        </w:rPr>
        <w:t xml:space="preserve"> a</w:t>
      </w:r>
      <w:r w:rsidRPr="007F14EF">
        <w:rPr>
          <w:lang w:val="en-US"/>
        </w:rPr>
        <w:t xml:space="preserve"> question</w:t>
      </w:r>
      <w:r>
        <w:rPr>
          <w:lang w:val="en-US"/>
        </w:rPr>
        <w:t xml:space="preserve"> of</w:t>
      </w:r>
      <w:r w:rsidRPr="007F14EF">
        <w:rPr>
          <w:lang w:val="en-US"/>
        </w:rPr>
        <w:t xml:space="preserve"> </w:t>
      </w:r>
      <w:r>
        <w:rPr>
          <w:lang w:val="en-US"/>
        </w:rPr>
        <w:t>w</w:t>
      </w:r>
      <w:r w:rsidRPr="003D3AD6">
        <w:rPr>
          <w:lang w:val="en-US"/>
        </w:rPr>
        <w:t>hy</w:t>
      </w:r>
      <w:r>
        <w:rPr>
          <w:lang w:val="en-US"/>
        </w:rPr>
        <w:t xml:space="preserve"> does AN solid</w:t>
      </w:r>
      <w:r w:rsidRPr="003D3AD6">
        <w:rPr>
          <w:lang w:val="en-US"/>
        </w:rPr>
        <w:t xml:space="preserve"> not require a bulk thermal test in addition to TS2</w:t>
      </w:r>
      <w:r>
        <w:rPr>
          <w:lang w:val="en-US"/>
        </w:rPr>
        <w:t xml:space="preserve">, adding that this is not an advocacy for such a test.  The parallel was drawn since AN is the active ingredient in ANE. </w:t>
      </w:r>
    </w:p>
    <w:p w14:paraId="42A97891" w14:textId="77777777" w:rsidR="001C2639" w:rsidRPr="007F14EF" w:rsidRDefault="001C2639" w:rsidP="001C2639">
      <w:pPr>
        <w:pStyle w:val="SingleTxtG"/>
        <w:spacing w:after="240"/>
        <w:ind w:left="1701" w:right="43"/>
        <w:rPr>
          <w:lang w:val="en-US"/>
        </w:rPr>
      </w:pPr>
      <w:r w:rsidRPr="007F14EF">
        <w:rPr>
          <w:lang w:val="en-US"/>
        </w:rPr>
        <w:t>Members of the EWG had questions about the October 2022 incident in Western Australia involving ANE</w:t>
      </w:r>
      <w:r>
        <w:rPr>
          <w:lang w:val="en-US"/>
        </w:rPr>
        <w:t>;</w:t>
      </w:r>
      <w:r w:rsidRPr="007F14EF">
        <w:rPr>
          <w:lang w:val="en-US"/>
        </w:rPr>
        <w:t xml:space="preserve"> however</w:t>
      </w:r>
      <w:r>
        <w:rPr>
          <w:lang w:val="en-US"/>
        </w:rPr>
        <w:t>,</w:t>
      </w:r>
      <w:r w:rsidRPr="007F14EF">
        <w:rPr>
          <w:lang w:val="en-US"/>
        </w:rPr>
        <w:t xml:space="preserve"> the answers were yet unknown as the </w:t>
      </w:r>
      <w:r>
        <w:rPr>
          <w:lang w:val="en-US"/>
        </w:rPr>
        <w:t xml:space="preserve">report from the </w:t>
      </w:r>
      <w:r w:rsidRPr="007F14EF">
        <w:rPr>
          <w:lang w:val="en-US"/>
        </w:rPr>
        <w:t xml:space="preserve">investigation has not been released.  </w:t>
      </w:r>
      <w:r>
        <w:rPr>
          <w:lang w:val="en-US"/>
        </w:rPr>
        <w:t>AEISG</w:t>
      </w:r>
      <w:r w:rsidRPr="007F14EF">
        <w:rPr>
          <w:lang w:val="en-US"/>
        </w:rPr>
        <w:t xml:space="preserve"> questioned what the Western Australia event does to confidence in the 8(d) test.</w:t>
      </w:r>
      <w:r>
        <w:rPr>
          <w:lang w:val="en-US"/>
        </w:rPr>
        <w:t xml:space="preserve"> </w:t>
      </w:r>
      <w:r w:rsidRPr="007F14EF">
        <w:rPr>
          <w:lang w:val="en-US"/>
        </w:rPr>
        <w:t xml:space="preserve"> Canada voiced that perhaps an alternative test is better rather than saying the current 8(d) test is irrelevant.  Germany noted that </w:t>
      </w:r>
      <w:r>
        <w:rPr>
          <w:lang w:val="en-US"/>
        </w:rPr>
        <w:t>with</w:t>
      </w:r>
      <w:r w:rsidRPr="007F14EF">
        <w:rPr>
          <w:lang w:val="en-US"/>
        </w:rPr>
        <w:t xml:space="preserve"> a wide variety of ANE formulations, </w:t>
      </w:r>
      <w:r>
        <w:rPr>
          <w:lang w:val="en-US"/>
        </w:rPr>
        <w:t>it is good that</w:t>
      </w:r>
      <w:r w:rsidRPr="007F14EF">
        <w:rPr>
          <w:lang w:val="en-US"/>
        </w:rPr>
        <w:t xml:space="preserve"> </w:t>
      </w:r>
      <w:r>
        <w:rPr>
          <w:lang w:val="en-US"/>
        </w:rPr>
        <w:t>each is currently</w:t>
      </w:r>
      <w:r w:rsidRPr="007F14EF">
        <w:rPr>
          <w:lang w:val="en-US"/>
        </w:rPr>
        <w:t xml:space="preserve"> subjected to the Vented Pipe Test.  Further, thermal calorimetry</w:t>
      </w:r>
      <w:r>
        <w:rPr>
          <w:lang w:val="en-US"/>
        </w:rPr>
        <w:t xml:space="preserve"> studies</w:t>
      </w:r>
      <w:r w:rsidRPr="007F14EF">
        <w:rPr>
          <w:lang w:val="en-US"/>
        </w:rPr>
        <w:t xml:space="preserve"> of different </w:t>
      </w:r>
      <w:r>
        <w:rPr>
          <w:lang w:val="en-US"/>
        </w:rPr>
        <w:t>formulations</w:t>
      </w:r>
      <w:r w:rsidRPr="007F14EF">
        <w:rPr>
          <w:lang w:val="en-US"/>
        </w:rPr>
        <w:t xml:space="preserve"> to better understand </w:t>
      </w:r>
      <w:r>
        <w:rPr>
          <w:lang w:val="en-US"/>
        </w:rPr>
        <w:t>the relationship between</w:t>
      </w:r>
      <w:r w:rsidRPr="007F14EF">
        <w:rPr>
          <w:lang w:val="en-US"/>
        </w:rPr>
        <w:t xml:space="preserve"> individual ingredients would be useful.  </w:t>
      </w:r>
    </w:p>
    <w:p w14:paraId="7A832D30" w14:textId="77777777" w:rsidR="001C2639" w:rsidRPr="007F14EF" w:rsidRDefault="001C2639" w:rsidP="001C2639">
      <w:pPr>
        <w:pStyle w:val="SingleTxtG"/>
        <w:spacing w:after="240"/>
        <w:ind w:left="1701" w:right="43"/>
        <w:rPr>
          <w:lang w:val="en-US"/>
        </w:rPr>
      </w:pPr>
      <w:r>
        <w:rPr>
          <w:lang w:val="en-US"/>
        </w:rPr>
        <w:t xml:space="preserve">The </w:t>
      </w:r>
      <w:r w:rsidRPr="007F14EF">
        <w:rPr>
          <w:lang w:val="en-US"/>
        </w:rPr>
        <w:t xml:space="preserve">USA stated it </w:t>
      </w:r>
      <w:r>
        <w:rPr>
          <w:lang w:val="en-US"/>
        </w:rPr>
        <w:t>continued to have</w:t>
      </w:r>
      <w:r w:rsidRPr="007F14EF">
        <w:rPr>
          <w:lang w:val="en-US"/>
        </w:rPr>
        <w:t xml:space="preserve"> questions regarding the Minimum Burning Pressure test </w:t>
      </w:r>
      <w:r>
        <w:rPr>
          <w:lang w:val="en-US"/>
        </w:rPr>
        <w:t>since</w:t>
      </w:r>
      <w:r w:rsidRPr="007F14EF">
        <w:rPr>
          <w:lang w:val="en-US"/>
        </w:rPr>
        <w:t xml:space="preserve"> the minimum burning pressure is temperature dependent</w:t>
      </w:r>
      <w:r>
        <w:rPr>
          <w:lang w:val="en-US"/>
        </w:rPr>
        <w:t>, emulsions are sometimes transported at elevated temperatures, and there are questions on the extent to which external heating can further raise temperatures</w:t>
      </w:r>
      <w:r w:rsidRPr="007F14EF">
        <w:rPr>
          <w:lang w:val="en-US"/>
        </w:rPr>
        <w:t xml:space="preserve">.  </w:t>
      </w:r>
      <w:r>
        <w:rPr>
          <w:lang w:val="en-US"/>
        </w:rPr>
        <w:t xml:space="preserve">The USA also said </w:t>
      </w:r>
      <w:r w:rsidRPr="007F14EF">
        <w:rPr>
          <w:lang w:val="en-US"/>
        </w:rPr>
        <w:t xml:space="preserve">there are </w:t>
      </w:r>
      <w:r>
        <w:rPr>
          <w:lang w:val="en-US"/>
        </w:rPr>
        <w:t>too many unknowns</w:t>
      </w:r>
      <w:r w:rsidRPr="007F14EF">
        <w:rPr>
          <w:lang w:val="en-US"/>
        </w:rPr>
        <w:t xml:space="preserve"> </w:t>
      </w:r>
      <w:r>
        <w:rPr>
          <w:lang w:val="en-US"/>
        </w:rPr>
        <w:t>regarding</w:t>
      </w:r>
      <w:r w:rsidRPr="007F14EF">
        <w:rPr>
          <w:lang w:val="en-US"/>
        </w:rPr>
        <w:t xml:space="preserve"> the Western Australia </w:t>
      </w:r>
      <w:r>
        <w:rPr>
          <w:lang w:val="en-US"/>
        </w:rPr>
        <w:t>event to make definitive conclusions about the usefulness of</w:t>
      </w:r>
      <w:r w:rsidRPr="007F14EF">
        <w:rPr>
          <w:lang w:val="en-US"/>
        </w:rPr>
        <w:t xml:space="preserve"> the 8(d) test, </w:t>
      </w:r>
      <w:r>
        <w:rPr>
          <w:lang w:val="en-US"/>
        </w:rPr>
        <w:t>to indicate a likelihood for detonation in a fire.</w:t>
      </w:r>
      <w:r w:rsidRPr="007F14EF">
        <w:rPr>
          <w:lang w:val="en-US"/>
        </w:rPr>
        <w:t xml:space="preserve">  Whether or not an ANE detonates in a fire event appears to </w:t>
      </w:r>
      <w:r w:rsidRPr="00342D76">
        <w:rPr>
          <w:lang w:val="en-US"/>
        </w:rPr>
        <w:t>depend on the fire's intensity and duration</w:t>
      </w:r>
      <w:r w:rsidRPr="007F14EF">
        <w:rPr>
          <w:lang w:val="en-US"/>
        </w:rPr>
        <w:t xml:space="preserve">.  This is </w:t>
      </w:r>
      <w:r>
        <w:rPr>
          <w:lang w:val="en-US"/>
        </w:rPr>
        <w:t xml:space="preserve">a </w:t>
      </w:r>
      <w:r w:rsidRPr="007F14EF">
        <w:rPr>
          <w:lang w:val="en-US"/>
        </w:rPr>
        <w:t xml:space="preserve">reason to evaluate what assumptions are built into testing </w:t>
      </w:r>
      <w:r w:rsidRPr="00E13A3D">
        <w:rPr>
          <w:lang w:val="en-US"/>
        </w:rPr>
        <w:t>and their criteria to ensure they represent</w:t>
      </w:r>
      <w:r w:rsidRPr="007F14EF">
        <w:rPr>
          <w:lang w:val="en-US"/>
        </w:rPr>
        <w:t xml:space="preserve"> current and emerging means of transportation.</w:t>
      </w:r>
    </w:p>
    <w:p w14:paraId="15697477" w14:textId="77777777" w:rsidR="001C2639" w:rsidRPr="007F14EF" w:rsidRDefault="001C2639" w:rsidP="001C2639">
      <w:pPr>
        <w:pStyle w:val="SingleTxtG"/>
        <w:spacing w:after="240"/>
        <w:ind w:left="1701" w:right="43"/>
        <w:rPr>
          <w:lang w:val="en-US"/>
        </w:rPr>
      </w:pPr>
      <w:r w:rsidRPr="007F14EF">
        <w:rPr>
          <w:lang w:val="en-US"/>
        </w:rPr>
        <w:t xml:space="preserve">The United Kingdom commented that the approach for testing ANEs was developed to seek a reasonable level of confidence </w:t>
      </w:r>
      <w:r>
        <w:rPr>
          <w:lang w:val="en-US"/>
        </w:rPr>
        <w:t xml:space="preserve">in </w:t>
      </w:r>
      <w:r w:rsidRPr="007F14EF">
        <w:rPr>
          <w:lang w:val="en-US"/>
        </w:rPr>
        <w:t>the safe transportation of ANEs</w:t>
      </w:r>
      <w:r>
        <w:rPr>
          <w:lang w:val="en-US"/>
        </w:rPr>
        <w:t>, not that they cannot explode in all foreseeable transport incidents</w:t>
      </w:r>
      <w:r w:rsidRPr="007F14EF">
        <w:rPr>
          <w:lang w:val="en-US"/>
        </w:rPr>
        <w:t xml:space="preserve">.  The United Kingdom would like to see validation of the model with </w:t>
      </w:r>
      <w:r>
        <w:rPr>
          <w:lang w:val="en-US"/>
        </w:rPr>
        <w:t>larger scale</w:t>
      </w:r>
      <w:r w:rsidRPr="007F14EF">
        <w:rPr>
          <w:lang w:val="en-US"/>
        </w:rPr>
        <w:t xml:space="preserve"> testing and further would like to understand if the modeling and data IME provided could be applied to other ANE formulations </w:t>
      </w:r>
      <w:r>
        <w:rPr>
          <w:lang w:val="en-US"/>
        </w:rPr>
        <w:t>bound by</w:t>
      </w:r>
      <w:r w:rsidRPr="007F14EF">
        <w:rPr>
          <w:lang w:val="en-US"/>
        </w:rPr>
        <w:t xml:space="preserve"> SP </w:t>
      </w:r>
      <w:r>
        <w:rPr>
          <w:lang w:val="en-US"/>
        </w:rPr>
        <w:t>3</w:t>
      </w:r>
      <w:r w:rsidRPr="007F14EF">
        <w:rPr>
          <w:lang w:val="en-US"/>
        </w:rPr>
        <w:t xml:space="preserve">09.  The Netherlands pointed out that SP </w:t>
      </w:r>
      <w:r>
        <w:rPr>
          <w:lang w:val="en-US"/>
        </w:rPr>
        <w:t>3</w:t>
      </w:r>
      <w:r w:rsidRPr="007F14EF">
        <w:rPr>
          <w:lang w:val="en-US"/>
        </w:rPr>
        <w:t xml:space="preserve">09 </w:t>
      </w:r>
      <w:r w:rsidRPr="001D71DF">
        <w:rPr>
          <w:lang w:val="en-US"/>
        </w:rPr>
        <w:t xml:space="preserve">was established based on </w:t>
      </w:r>
      <w:r>
        <w:rPr>
          <w:lang w:val="en-US"/>
        </w:rPr>
        <w:t>the compositions identified by industry</w:t>
      </w:r>
      <w:r w:rsidRPr="001D71DF">
        <w:rPr>
          <w:lang w:val="en-US"/>
        </w:rPr>
        <w:t xml:space="preserve"> when </w:t>
      </w:r>
      <w:r w:rsidRPr="007F14EF">
        <w:rPr>
          <w:lang w:val="en-US"/>
        </w:rPr>
        <w:t>drafted</w:t>
      </w:r>
      <w:r>
        <w:rPr>
          <w:lang w:val="en-US"/>
        </w:rPr>
        <w:t xml:space="preserve"> in 1999</w:t>
      </w:r>
      <w:r w:rsidRPr="007F14EF">
        <w:rPr>
          <w:lang w:val="en-US"/>
        </w:rPr>
        <w:t xml:space="preserve">.  Belgium asked if the modeling showed </w:t>
      </w:r>
      <w:r>
        <w:rPr>
          <w:lang w:val="en-US"/>
        </w:rPr>
        <w:t>the minimum</w:t>
      </w:r>
      <w:r w:rsidRPr="007F14EF">
        <w:rPr>
          <w:lang w:val="en-US"/>
        </w:rPr>
        <w:t xml:space="preserve"> heat flux </w:t>
      </w:r>
      <w:r>
        <w:rPr>
          <w:lang w:val="en-US"/>
        </w:rPr>
        <w:t>that would</w:t>
      </w:r>
      <w:r w:rsidRPr="007F14EF">
        <w:rPr>
          <w:lang w:val="en-US"/>
        </w:rPr>
        <w:t xml:space="preserve"> lead to decomposition.</w:t>
      </w:r>
      <w:r>
        <w:rPr>
          <w:lang w:val="en-US"/>
        </w:rPr>
        <w:t xml:space="preserve">  IME responded that only two heat flux values were modeled: 24 and 80 kW/m</w:t>
      </w:r>
      <w:r w:rsidRPr="00DD1283">
        <w:rPr>
          <w:vertAlign w:val="superscript"/>
          <w:lang w:val="en-US"/>
        </w:rPr>
        <w:t>2</w:t>
      </w:r>
      <w:r>
        <w:rPr>
          <w:lang w:val="en-US"/>
        </w:rPr>
        <w:t>.</w:t>
      </w:r>
      <w:r w:rsidRPr="007F14EF">
        <w:rPr>
          <w:lang w:val="en-US"/>
        </w:rPr>
        <w:t xml:space="preserve">  Germany responded to the question of why ANE is subjected to 8(d) and Ammonium Nitrate </w:t>
      </w:r>
      <w:r>
        <w:rPr>
          <w:lang w:val="en-US"/>
        </w:rPr>
        <w:t>having</w:t>
      </w:r>
      <w:r w:rsidRPr="007F14EF">
        <w:rPr>
          <w:lang w:val="en-US"/>
        </w:rPr>
        <w:t xml:space="preserve"> no similar test with because ANE has both a fuel and an oxidizer. </w:t>
      </w:r>
    </w:p>
    <w:p w14:paraId="09A5AD9C" w14:textId="77777777" w:rsidR="001C2639" w:rsidRPr="007F14EF" w:rsidRDefault="001C2639" w:rsidP="001C2639">
      <w:pPr>
        <w:pStyle w:val="SingleTxtG"/>
        <w:spacing w:after="240"/>
        <w:ind w:left="1701" w:right="43"/>
        <w:rPr>
          <w:bCs/>
          <w:lang w:val="en-US"/>
        </w:rPr>
      </w:pPr>
      <w:r w:rsidRPr="007F14EF">
        <w:rPr>
          <w:bCs/>
          <w:lang w:val="en-US"/>
        </w:rPr>
        <w:t xml:space="preserve">The group moved </w:t>
      </w:r>
      <w:r>
        <w:rPr>
          <w:bCs/>
          <w:lang w:val="en-US"/>
        </w:rPr>
        <w:t>on to</w:t>
      </w:r>
      <w:r w:rsidRPr="007F14EF">
        <w:rPr>
          <w:bCs/>
          <w:lang w:val="en-US"/>
        </w:rPr>
        <w:t xml:space="preserve"> INF.10</w:t>
      </w:r>
      <w:r w:rsidRPr="009C6DDF">
        <w:rPr>
          <w:bCs/>
          <w:lang w:val="en-US"/>
        </w:rPr>
        <w:t xml:space="preserve">, introduced by RPMASA, </w:t>
      </w:r>
      <w:r>
        <w:rPr>
          <w:bCs/>
          <w:lang w:val="en-US"/>
        </w:rPr>
        <w:t>which</w:t>
      </w:r>
      <w:r w:rsidRPr="009C6DDF">
        <w:rPr>
          <w:bCs/>
          <w:lang w:val="en-US"/>
        </w:rPr>
        <w:t xml:space="preserve"> also summarized the test data provided in its paper with a slideshow containing</w:t>
      </w:r>
      <w:r w:rsidRPr="007F14EF">
        <w:rPr>
          <w:bCs/>
          <w:lang w:val="en-US"/>
        </w:rPr>
        <w:t xml:space="preserve"> videos of the testing.  The tests were designed to simulate hot </w:t>
      </w:r>
      <w:r>
        <w:rPr>
          <w:bCs/>
          <w:lang w:val="en-US"/>
        </w:rPr>
        <w:t>bore</w:t>
      </w:r>
      <w:r w:rsidRPr="007F14EF">
        <w:rPr>
          <w:bCs/>
          <w:lang w:val="en-US"/>
        </w:rPr>
        <w:t xml:space="preserve">hole environments </w:t>
      </w:r>
      <w:r>
        <w:rPr>
          <w:bCs/>
          <w:lang w:val="en-US"/>
        </w:rPr>
        <w:t>because of prior related incidents.  T</w:t>
      </w:r>
      <w:r w:rsidRPr="007F14EF">
        <w:rPr>
          <w:bCs/>
          <w:lang w:val="en-US"/>
        </w:rPr>
        <w:t xml:space="preserve">he amount of fuel </w:t>
      </w:r>
      <w:r>
        <w:rPr>
          <w:bCs/>
          <w:lang w:val="en-US"/>
        </w:rPr>
        <w:t xml:space="preserve">used </w:t>
      </w:r>
      <w:r w:rsidRPr="007F14EF">
        <w:rPr>
          <w:bCs/>
          <w:lang w:val="en-US"/>
        </w:rPr>
        <w:t xml:space="preserve">was to ensure no partial reaction for range safety considerations.  Formulations were chosen to be representative of a wide range </w:t>
      </w:r>
      <w:r>
        <w:rPr>
          <w:bCs/>
          <w:lang w:val="en-US"/>
        </w:rPr>
        <w:t>of</w:t>
      </w:r>
      <w:r w:rsidRPr="007F14EF">
        <w:rPr>
          <w:bCs/>
          <w:lang w:val="en-US"/>
        </w:rPr>
        <w:t xml:space="preserve"> formulations.  RPMASA’s findings </w:t>
      </w:r>
      <w:r>
        <w:rPr>
          <w:bCs/>
          <w:lang w:val="en-US"/>
        </w:rPr>
        <w:t>were</w:t>
      </w:r>
      <w:r w:rsidRPr="007F14EF">
        <w:rPr>
          <w:bCs/>
          <w:lang w:val="en-US"/>
        </w:rPr>
        <w:t xml:space="preserve"> that </w:t>
      </w:r>
      <w:r>
        <w:rPr>
          <w:bCs/>
          <w:lang w:val="en-US"/>
        </w:rPr>
        <w:t xml:space="preserve">changes in </w:t>
      </w:r>
      <w:r w:rsidRPr="007F14EF">
        <w:rPr>
          <w:bCs/>
          <w:lang w:val="en-US"/>
        </w:rPr>
        <w:t>formulation</w:t>
      </w:r>
      <w:r>
        <w:rPr>
          <w:bCs/>
          <w:lang w:val="en-US"/>
        </w:rPr>
        <w:t>s</w:t>
      </w:r>
      <w:r w:rsidRPr="007F14EF">
        <w:rPr>
          <w:bCs/>
          <w:lang w:val="en-US"/>
        </w:rPr>
        <w:t xml:space="preserve"> did affect outcomes</w:t>
      </w:r>
      <w:r>
        <w:rPr>
          <w:bCs/>
          <w:lang w:val="en-US"/>
        </w:rPr>
        <w:t>,</w:t>
      </w:r>
      <w:r w:rsidRPr="007F14EF">
        <w:rPr>
          <w:bCs/>
          <w:lang w:val="en-US"/>
        </w:rPr>
        <w:t xml:space="preserve"> water content did not affect </w:t>
      </w:r>
      <w:r>
        <w:rPr>
          <w:bCs/>
          <w:lang w:val="en-US"/>
        </w:rPr>
        <w:t>results, and</w:t>
      </w:r>
      <w:r w:rsidRPr="007F14EF">
        <w:rPr>
          <w:bCs/>
          <w:lang w:val="en-US"/>
        </w:rPr>
        <w:t xml:space="preserve"> thermal probes showed evidence of </w:t>
      </w:r>
      <w:r>
        <w:rPr>
          <w:bCs/>
          <w:lang w:val="en-US"/>
        </w:rPr>
        <w:t xml:space="preserve">high </w:t>
      </w:r>
      <w:r w:rsidRPr="007F14EF">
        <w:rPr>
          <w:bCs/>
          <w:lang w:val="en-US"/>
        </w:rPr>
        <w:t>internal</w:t>
      </w:r>
      <w:r>
        <w:rPr>
          <w:bCs/>
          <w:lang w:val="en-US"/>
        </w:rPr>
        <w:t xml:space="preserve"> convection</w:t>
      </w:r>
      <w:r w:rsidRPr="007F14EF">
        <w:rPr>
          <w:bCs/>
          <w:lang w:val="en-US"/>
        </w:rPr>
        <w:t xml:space="preserve">.  </w:t>
      </w:r>
    </w:p>
    <w:p w14:paraId="3401EBE0" w14:textId="77777777" w:rsidR="001C2639" w:rsidRPr="007F14EF" w:rsidRDefault="001C2639" w:rsidP="001C2639">
      <w:pPr>
        <w:pStyle w:val="SingleTxtG"/>
        <w:spacing w:after="240"/>
        <w:ind w:left="1701" w:right="43"/>
        <w:rPr>
          <w:bCs/>
          <w:lang w:val="en-US"/>
        </w:rPr>
      </w:pPr>
      <w:r>
        <w:rPr>
          <w:bCs/>
          <w:lang w:val="en-US"/>
        </w:rPr>
        <w:t>AEISG</w:t>
      </w:r>
      <w:r w:rsidRPr="007F14EF">
        <w:rPr>
          <w:bCs/>
          <w:lang w:val="en-US"/>
        </w:rPr>
        <w:t xml:space="preserve"> noted that internal </w:t>
      </w:r>
      <w:r>
        <w:rPr>
          <w:bCs/>
          <w:lang w:val="en-US"/>
        </w:rPr>
        <w:t>convection is</w:t>
      </w:r>
      <w:r w:rsidRPr="007F14EF">
        <w:rPr>
          <w:bCs/>
          <w:lang w:val="en-US"/>
        </w:rPr>
        <w:t xml:space="preserve"> </w:t>
      </w:r>
      <w:r>
        <w:rPr>
          <w:bCs/>
          <w:lang w:val="en-US"/>
        </w:rPr>
        <w:t>surprising</w:t>
      </w:r>
      <w:r w:rsidRPr="007F14EF">
        <w:rPr>
          <w:bCs/>
          <w:lang w:val="en-US"/>
        </w:rPr>
        <w:t xml:space="preserve"> since the transport incidents show crust formation</w:t>
      </w:r>
      <w:r>
        <w:rPr>
          <w:bCs/>
          <w:lang w:val="en-US"/>
        </w:rPr>
        <w:t>,</w:t>
      </w:r>
      <w:r w:rsidRPr="007F14EF">
        <w:rPr>
          <w:bCs/>
          <w:lang w:val="en-US"/>
        </w:rPr>
        <w:t xml:space="preserve"> which </w:t>
      </w:r>
      <w:r>
        <w:rPr>
          <w:bCs/>
          <w:lang w:val="en-US"/>
        </w:rPr>
        <w:t>conveyance forces would impede</w:t>
      </w:r>
      <w:r w:rsidRPr="007F14EF">
        <w:rPr>
          <w:bCs/>
          <w:lang w:val="en-US"/>
        </w:rPr>
        <w:t>. IME responded that this is due to the dimensional configuration of the test</w:t>
      </w:r>
      <w:r>
        <w:rPr>
          <w:bCs/>
          <w:lang w:val="en-US"/>
        </w:rPr>
        <w:t>,</w:t>
      </w:r>
      <w:r w:rsidRPr="007F14EF">
        <w:rPr>
          <w:bCs/>
          <w:lang w:val="en-US"/>
        </w:rPr>
        <w:t xml:space="preserve"> and </w:t>
      </w:r>
      <w:r>
        <w:rPr>
          <w:bCs/>
          <w:lang w:val="en-US"/>
        </w:rPr>
        <w:t xml:space="preserve">the </w:t>
      </w:r>
      <w:r w:rsidRPr="007F14EF">
        <w:rPr>
          <w:bCs/>
          <w:lang w:val="en-US"/>
        </w:rPr>
        <w:t xml:space="preserve">convection </w:t>
      </w:r>
      <w:r>
        <w:rPr>
          <w:bCs/>
          <w:lang w:val="en-US"/>
        </w:rPr>
        <w:t xml:space="preserve">evident </w:t>
      </w:r>
      <w:r w:rsidRPr="007F14EF">
        <w:rPr>
          <w:bCs/>
          <w:lang w:val="en-US"/>
        </w:rPr>
        <w:t xml:space="preserve">in RPMASA’s work is due to </w:t>
      </w:r>
      <w:r>
        <w:rPr>
          <w:bCs/>
          <w:lang w:val="en-US"/>
        </w:rPr>
        <w:t xml:space="preserve">large </w:t>
      </w:r>
      <w:r w:rsidRPr="007F14EF">
        <w:rPr>
          <w:bCs/>
          <w:lang w:val="en-US"/>
        </w:rPr>
        <w:t>buoyancy effects and high thermal flux</w:t>
      </w:r>
      <w:r>
        <w:rPr>
          <w:bCs/>
          <w:lang w:val="en-US"/>
        </w:rPr>
        <w:t xml:space="preserve"> due to this configuration in contrast to that of a road tanker</w:t>
      </w:r>
      <w:r w:rsidRPr="007F14EF">
        <w:rPr>
          <w:bCs/>
          <w:lang w:val="en-US"/>
        </w:rPr>
        <w:t xml:space="preserve">. The </w:t>
      </w:r>
      <w:r w:rsidRPr="00920AE0">
        <w:rPr>
          <w:bCs/>
          <w:lang w:val="en-US"/>
        </w:rPr>
        <w:t xml:space="preserve">test pipe's surface area to volume ratio is about four times </w:t>
      </w:r>
      <w:r w:rsidRPr="007F14EF">
        <w:rPr>
          <w:bCs/>
          <w:lang w:val="en-US"/>
        </w:rPr>
        <w:t xml:space="preserve">that of a tanker. </w:t>
      </w:r>
      <w:r>
        <w:rPr>
          <w:bCs/>
          <w:lang w:val="en-US"/>
        </w:rPr>
        <w:t xml:space="preserve"> </w:t>
      </w:r>
      <w:r w:rsidRPr="007F14EF">
        <w:rPr>
          <w:bCs/>
          <w:lang w:val="en-US"/>
        </w:rPr>
        <w:t xml:space="preserve">IME asked RPMASA how this informed their work on hot </w:t>
      </w:r>
      <w:r>
        <w:rPr>
          <w:bCs/>
          <w:lang w:val="en-US"/>
        </w:rPr>
        <w:t>bore</w:t>
      </w:r>
      <w:r w:rsidRPr="007F14EF">
        <w:rPr>
          <w:bCs/>
          <w:lang w:val="en-US"/>
        </w:rPr>
        <w:t>holes</w:t>
      </w:r>
      <w:r>
        <w:rPr>
          <w:bCs/>
          <w:lang w:val="en-US"/>
        </w:rPr>
        <w:t>,</w:t>
      </w:r>
      <w:r w:rsidRPr="007F14EF">
        <w:rPr>
          <w:bCs/>
          <w:lang w:val="en-US"/>
        </w:rPr>
        <w:t xml:space="preserve"> which was the reason for the tests.  RPMASA responded that it intended </w:t>
      </w:r>
      <w:r>
        <w:rPr>
          <w:bCs/>
          <w:lang w:val="en-US"/>
        </w:rPr>
        <w:t>to</w:t>
      </w:r>
      <w:r w:rsidRPr="007F14EF">
        <w:rPr>
          <w:bCs/>
          <w:lang w:val="en-US"/>
        </w:rPr>
        <w:t xml:space="preserve"> use the test as a screener, but the correlation between </w:t>
      </w:r>
      <w:r>
        <w:rPr>
          <w:bCs/>
          <w:lang w:val="en-US"/>
        </w:rPr>
        <w:t xml:space="preserve">the </w:t>
      </w:r>
      <w:r w:rsidRPr="007F14EF">
        <w:rPr>
          <w:bCs/>
          <w:lang w:val="en-US"/>
        </w:rPr>
        <w:t xml:space="preserve">fast cook off test and the Vented Pipe Test will allow the use of the Vented Pipe Test as a screener to determine if a product is suitable for use in hot </w:t>
      </w:r>
      <w:r>
        <w:rPr>
          <w:bCs/>
          <w:lang w:val="en-US"/>
        </w:rPr>
        <w:t>bore</w:t>
      </w:r>
      <w:r w:rsidRPr="007F14EF">
        <w:rPr>
          <w:bCs/>
          <w:lang w:val="en-US"/>
        </w:rPr>
        <w:t>holes.</w:t>
      </w:r>
      <w:r>
        <w:rPr>
          <w:bCs/>
          <w:lang w:val="en-US"/>
        </w:rPr>
        <w:t xml:space="preserve">  </w:t>
      </w:r>
      <w:r w:rsidRPr="007F14EF">
        <w:rPr>
          <w:bCs/>
          <w:lang w:val="en-US"/>
        </w:rPr>
        <w:t xml:space="preserve">Discussions and points raised in INF.37 were included in the above.  </w:t>
      </w:r>
    </w:p>
    <w:p w14:paraId="48C2BEAD" w14:textId="77777777" w:rsidR="001C2639" w:rsidRPr="007F14EF" w:rsidRDefault="001C2639" w:rsidP="001C2639">
      <w:pPr>
        <w:pStyle w:val="SingleTxtG"/>
        <w:spacing w:after="240"/>
        <w:ind w:left="1701" w:right="43"/>
        <w:rPr>
          <w:lang w:val="en-US"/>
        </w:rPr>
      </w:pPr>
      <w:r w:rsidRPr="007F14EF">
        <w:rPr>
          <w:lang w:val="en-US"/>
        </w:rPr>
        <w:t>Germany</w:t>
      </w:r>
      <w:r>
        <w:rPr>
          <w:lang w:val="en-US"/>
        </w:rPr>
        <w:t>, similarly,</w:t>
      </w:r>
      <w:r w:rsidRPr="007F14EF">
        <w:rPr>
          <w:lang w:val="en-US"/>
        </w:rPr>
        <w:t xml:space="preserve"> did not support this proposal as the 8(d) and 8(e) tests measure two different </w:t>
      </w:r>
      <w:r>
        <w:rPr>
          <w:lang w:val="en-US"/>
        </w:rPr>
        <w:t>properties</w:t>
      </w:r>
      <w:r w:rsidRPr="007F14EF">
        <w:rPr>
          <w:lang w:val="en-US"/>
        </w:rPr>
        <w:t xml:space="preserve">.  </w:t>
      </w:r>
      <w:r>
        <w:rPr>
          <w:lang w:val="en-US"/>
        </w:rPr>
        <w:t xml:space="preserve">RPMASA echoed this and did not support the proposal.  </w:t>
      </w:r>
      <w:r w:rsidRPr="007F14EF">
        <w:rPr>
          <w:lang w:val="en-US"/>
        </w:rPr>
        <w:t xml:space="preserve">Belgium viewed thermal conductivity as important and wanted to see </w:t>
      </w:r>
      <w:r>
        <w:rPr>
          <w:lang w:val="en-US"/>
        </w:rPr>
        <w:t xml:space="preserve">a </w:t>
      </w:r>
      <w:r w:rsidRPr="007F14EF">
        <w:rPr>
          <w:lang w:val="en-US"/>
        </w:rPr>
        <w:t xml:space="preserve">measurement of </w:t>
      </w:r>
      <w:r>
        <w:rPr>
          <w:lang w:val="en-US"/>
        </w:rPr>
        <w:t>the internal convection</w:t>
      </w:r>
      <w:r w:rsidRPr="007F14EF">
        <w:rPr>
          <w:lang w:val="en-US"/>
        </w:rPr>
        <w:t xml:space="preserve"> or a lack thereof in a test to validate the model</w:t>
      </w:r>
      <w:r>
        <w:rPr>
          <w:lang w:val="en-US"/>
        </w:rPr>
        <w:t xml:space="preserve"> and</w:t>
      </w:r>
      <w:r w:rsidRPr="007F14EF">
        <w:rPr>
          <w:lang w:val="en-US"/>
        </w:rPr>
        <w:t xml:space="preserve"> modeling of an 8(d) test. It viewed the modeled heat flux </w:t>
      </w:r>
      <w:r w:rsidRPr="007F14EF">
        <w:rPr>
          <w:lang w:val="en-US"/>
        </w:rPr>
        <w:lastRenderedPageBreak/>
        <w:t>of 24</w:t>
      </w:r>
      <w:r>
        <w:rPr>
          <w:lang w:val="en-US"/>
        </w:rPr>
        <w:t xml:space="preserve"> </w:t>
      </w:r>
      <w:r w:rsidRPr="007F14EF">
        <w:rPr>
          <w:lang w:val="en-US"/>
        </w:rPr>
        <w:t>k</w:t>
      </w:r>
      <w:r>
        <w:rPr>
          <w:lang w:val="en-US"/>
        </w:rPr>
        <w:t>W/m</w:t>
      </w:r>
      <w:r w:rsidRPr="00DD1283">
        <w:rPr>
          <w:vertAlign w:val="superscript"/>
          <w:lang w:val="en-US"/>
        </w:rPr>
        <w:t>2</w:t>
      </w:r>
      <w:r w:rsidRPr="007F14EF">
        <w:rPr>
          <w:lang w:val="en-US"/>
        </w:rPr>
        <w:t xml:space="preserve"> </w:t>
      </w:r>
      <w:r>
        <w:rPr>
          <w:lang w:val="en-US"/>
        </w:rPr>
        <w:t xml:space="preserve">as not </w:t>
      </w:r>
      <w:r w:rsidRPr="007F14EF">
        <w:rPr>
          <w:lang w:val="en-US"/>
        </w:rPr>
        <w:t>conservatively high enough nor the model run time long enough.  USA does not support the proposal without validation of the model through experimentation</w:t>
      </w:r>
      <w:r>
        <w:rPr>
          <w:lang w:val="en-US"/>
        </w:rPr>
        <w:t>; they</w:t>
      </w:r>
      <w:r w:rsidRPr="007F14EF">
        <w:rPr>
          <w:lang w:val="en-US"/>
        </w:rPr>
        <w:t xml:space="preserve"> viewed RPMASA</w:t>
      </w:r>
      <w:r>
        <w:rPr>
          <w:lang w:val="en-US"/>
        </w:rPr>
        <w:t>’s</w:t>
      </w:r>
      <w:r w:rsidRPr="007F14EF">
        <w:rPr>
          <w:lang w:val="en-US"/>
        </w:rPr>
        <w:t xml:space="preserve"> </w:t>
      </w:r>
      <w:r>
        <w:rPr>
          <w:lang w:val="en-US"/>
        </w:rPr>
        <w:t>results</w:t>
      </w:r>
      <w:r w:rsidRPr="007F14EF">
        <w:rPr>
          <w:lang w:val="en-US"/>
        </w:rPr>
        <w:t xml:space="preserve"> </w:t>
      </w:r>
      <w:r>
        <w:rPr>
          <w:lang w:val="en-US"/>
        </w:rPr>
        <w:t>as</w:t>
      </w:r>
      <w:r w:rsidRPr="007F14EF">
        <w:rPr>
          <w:lang w:val="en-US"/>
        </w:rPr>
        <w:t xml:space="preserve"> contradict</w:t>
      </w:r>
      <w:r>
        <w:rPr>
          <w:lang w:val="en-US"/>
        </w:rPr>
        <w:t>ory to the</w:t>
      </w:r>
      <w:r w:rsidRPr="007F14EF">
        <w:rPr>
          <w:lang w:val="en-US"/>
        </w:rPr>
        <w:t xml:space="preserve"> </w:t>
      </w:r>
      <w:r>
        <w:rPr>
          <w:lang w:val="en-US"/>
        </w:rPr>
        <w:t>concept</w:t>
      </w:r>
      <w:r w:rsidRPr="007F14EF">
        <w:rPr>
          <w:lang w:val="en-US"/>
        </w:rPr>
        <w:t xml:space="preserve"> that Koenen and VPT are </w:t>
      </w:r>
      <w:r>
        <w:rPr>
          <w:lang w:val="en-US"/>
        </w:rPr>
        <w:t xml:space="preserve">essentially </w:t>
      </w:r>
      <w:r w:rsidRPr="007F14EF">
        <w:rPr>
          <w:lang w:val="en-US"/>
        </w:rPr>
        <w:t xml:space="preserve">the same test at different scales and </w:t>
      </w:r>
      <w:r>
        <w:rPr>
          <w:lang w:val="en-US"/>
        </w:rPr>
        <w:t xml:space="preserve">said </w:t>
      </w:r>
      <w:r w:rsidRPr="007F14EF">
        <w:rPr>
          <w:lang w:val="en-US"/>
        </w:rPr>
        <w:t>that total</w:t>
      </w:r>
      <w:r>
        <w:rPr>
          <w:lang w:val="en-US"/>
        </w:rPr>
        <w:t xml:space="preserve"> fire</w:t>
      </w:r>
      <w:r w:rsidRPr="007F14EF">
        <w:rPr>
          <w:lang w:val="en-US"/>
        </w:rPr>
        <w:t xml:space="preserve"> engulfment of a ta</w:t>
      </w:r>
      <w:r>
        <w:rPr>
          <w:lang w:val="en-US"/>
        </w:rPr>
        <w:t>n</w:t>
      </w:r>
      <w:r w:rsidRPr="007F14EF">
        <w:rPr>
          <w:lang w:val="en-US"/>
        </w:rPr>
        <w:t xml:space="preserve">ker </w:t>
      </w:r>
      <w:r>
        <w:rPr>
          <w:lang w:val="en-US"/>
        </w:rPr>
        <w:t>might</w:t>
      </w:r>
      <w:r w:rsidRPr="007F14EF">
        <w:rPr>
          <w:lang w:val="en-US"/>
        </w:rPr>
        <w:t xml:space="preserve"> be a creditable scenario. </w:t>
      </w:r>
      <w:r>
        <w:rPr>
          <w:lang w:val="en-US"/>
        </w:rPr>
        <w:t xml:space="preserve"> </w:t>
      </w:r>
      <w:r w:rsidRPr="007F14EF">
        <w:rPr>
          <w:lang w:val="en-US"/>
        </w:rPr>
        <w:t>The United Kingdom noted that</w:t>
      </w:r>
      <w:r>
        <w:rPr>
          <w:lang w:val="en-US"/>
        </w:rPr>
        <w:t xml:space="preserve"> it views</w:t>
      </w:r>
      <w:r w:rsidRPr="007F14EF">
        <w:rPr>
          <w:lang w:val="en-US"/>
        </w:rPr>
        <w:t xml:space="preserve"> </w:t>
      </w:r>
      <w:r>
        <w:rPr>
          <w:lang w:val="en-US"/>
        </w:rPr>
        <w:t>IME’s</w:t>
      </w:r>
      <w:r w:rsidRPr="007F14EF">
        <w:rPr>
          <w:lang w:val="en-US"/>
        </w:rPr>
        <w:t xml:space="preserve"> work </w:t>
      </w:r>
      <w:r>
        <w:rPr>
          <w:lang w:val="en-US"/>
        </w:rPr>
        <w:t>as</w:t>
      </w:r>
      <w:r w:rsidRPr="007F14EF">
        <w:rPr>
          <w:lang w:val="en-US"/>
        </w:rPr>
        <w:t xml:space="preserve"> </w:t>
      </w:r>
      <w:r>
        <w:rPr>
          <w:lang w:val="en-US"/>
        </w:rPr>
        <w:t>progressing</w:t>
      </w:r>
      <w:r w:rsidRPr="007F14EF">
        <w:rPr>
          <w:lang w:val="en-US"/>
        </w:rPr>
        <w:t xml:space="preserve"> in the correct direction but would like to see large</w:t>
      </w:r>
      <w:r>
        <w:rPr>
          <w:lang w:val="en-US"/>
        </w:rPr>
        <w:t xml:space="preserve">r </w:t>
      </w:r>
      <w:r w:rsidRPr="007F14EF">
        <w:rPr>
          <w:lang w:val="en-US"/>
        </w:rPr>
        <w:t xml:space="preserve">scale validation of the model and sensitivity studies around heat flux before it could support the proposal.  Sweden was reluctant to support </w:t>
      </w:r>
      <w:r>
        <w:rPr>
          <w:lang w:val="en-US"/>
        </w:rPr>
        <w:t xml:space="preserve">the proposal </w:t>
      </w:r>
      <w:r w:rsidRPr="007F14EF">
        <w:rPr>
          <w:lang w:val="en-US"/>
        </w:rPr>
        <w:t xml:space="preserve">without verification </w:t>
      </w:r>
      <w:r>
        <w:rPr>
          <w:lang w:val="en-US"/>
        </w:rPr>
        <w:t>through</w:t>
      </w:r>
      <w:r w:rsidRPr="007F14EF">
        <w:rPr>
          <w:lang w:val="en-US"/>
        </w:rPr>
        <w:t xml:space="preserve"> experimentation. Canada questioned the comparison between failures in both Koenen and VPT relied upon in IME’s case and suggested edits to the </w:t>
      </w:r>
      <w:r>
        <w:rPr>
          <w:lang w:val="en-US"/>
        </w:rPr>
        <w:t xml:space="preserve">proposal's </w:t>
      </w:r>
      <w:r w:rsidRPr="007F14EF">
        <w:rPr>
          <w:lang w:val="en-US"/>
        </w:rPr>
        <w:t>wording regarding the eligibility criteria</w:t>
      </w:r>
      <w:r>
        <w:rPr>
          <w:lang w:val="en-US"/>
        </w:rPr>
        <w:t xml:space="preserve"> for waiving</w:t>
      </w:r>
      <w:r w:rsidRPr="007F14EF">
        <w:rPr>
          <w:lang w:val="en-US"/>
        </w:rPr>
        <w:t xml:space="preserve"> </w:t>
      </w:r>
      <w:r>
        <w:rPr>
          <w:lang w:val="en-US"/>
        </w:rPr>
        <w:t>the 8(d) test for</w:t>
      </w:r>
      <w:r w:rsidRPr="007F14EF">
        <w:rPr>
          <w:lang w:val="en-US"/>
        </w:rPr>
        <w:t xml:space="preserve"> ANEs.</w:t>
      </w:r>
    </w:p>
    <w:p w14:paraId="7219C591" w14:textId="77777777" w:rsidR="001C2639" w:rsidRPr="007F14EF" w:rsidRDefault="001C2639" w:rsidP="001C2639">
      <w:pPr>
        <w:pStyle w:val="SingleTxtG"/>
        <w:spacing w:after="240"/>
        <w:ind w:left="1701" w:right="43"/>
        <w:rPr>
          <w:bCs/>
          <w:lang w:val="en-US"/>
        </w:rPr>
      </w:pPr>
      <w:r w:rsidRPr="007F14EF">
        <w:rPr>
          <w:lang w:val="en-US"/>
        </w:rPr>
        <w:t>IME noted the many recommendations</w:t>
      </w:r>
      <w:r w:rsidRPr="00B6650A">
        <w:rPr>
          <w:lang w:val="en-US"/>
        </w:rPr>
        <w:t>, the desire for testing to validate its model, and</w:t>
      </w:r>
      <w:r w:rsidRPr="007F14EF">
        <w:rPr>
          <w:lang w:val="en-US"/>
        </w:rPr>
        <w:t xml:space="preserve"> opinions about what constitutes an appropriate heat flux.  </w:t>
      </w:r>
      <w:r>
        <w:rPr>
          <w:lang w:val="en-US"/>
        </w:rPr>
        <w:t>Details for an experimental design</w:t>
      </w:r>
      <w:r w:rsidRPr="007F14EF">
        <w:rPr>
          <w:lang w:val="en-US"/>
        </w:rPr>
        <w:t xml:space="preserve"> need to be agreed upon before IME can commit to testing</w:t>
      </w:r>
      <w:r>
        <w:rPr>
          <w:lang w:val="en-US"/>
        </w:rPr>
        <w:t>,</w:t>
      </w:r>
      <w:r w:rsidRPr="007F14EF">
        <w:rPr>
          <w:lang w:val="en-US"/>
        </w:rPr>
        <w:t xml:space="preserve"> and an Informal Correspondence Group was requested to continue this work. </w:t>
      </w:r>
    </w:p>
    <w:p w14:paraId="61BD39E5" w14:textId="77777777" w:rsidR="001C2639" w:rsidRPr="007F14EF" w:rsidRDefault="001C2639" w:rsidP="001C2639">
      <w:pPr>
        <w:pStyle w:val="SingleTxtG"/>
        <w:spacing w:after="240"/>
        <w:ind w:left="1701" w:right="43"/>
        <w:rPr>
          <w:lang w:val="en-US"/>
        </w:rPr>
      </w:pPr>
      <w:r w:rsidRPr="007F14EF">
        <w:rPr>
          <w:b/>
          <w:u w:val="single"/>
          <w:lang w:val="en-US"/>
        </w:rPr>
        <w:t>Conclusion:</w:t>
      </w:r>
      <w:r w:rsidRPr="007F14EF">
        <w:rPr>
          <w:lang w:val="en-US"/>
        </w:rPr>
        <w:t xml:space="preserve">  The EWG did not make a recommendation on the proposal and instead supported the establishment of an </w:t>
      </w:r>
      <w:r>
        <w:rPr>
          <w:lang w:val="en-US"/>
        </w:rPr>
        <w:t>8(d)-</w:t>
      </w:r>
      <w:r w:rsidRPr="007F14EF">
        <w:rPr>
          <w:lang w:val="en-US"/>
        </w:rPr>
        <w:t xml:space="preserve">ICG to continue </w:t>
      </w:r>
      <w:r>
        <w:rPr>
          <w:lang w:val="en-US"/>
        </w:rPr>
        <w:t xml:space="preserve">the </w:t>
      </w:r>
      <w:r w:rsidRPr="007F14EF">
        <w:rPr>
          <w:lang w:val="en-US"/>
        </w:rPr>
        <w:t xml:space="preserve">work. Germany, RPMASA, USA, Canada, Spain, Belgium, Japan, Sweden, </w:t>
      </w:r>
      <w:r>
        <w:rPr>
          <w:lang w:val="en-US"/>
        </w:rPr>
        <w:t>AEISG</w:t>
      </w:r>
      <w:r w:rsidRPr="007F14EF">
        <w:rPr>
          <w:lang w:val="en-US"/>
        </w:rPr>
        <w:t xml:space="preserve">, CEFIC, and The Netherlands joined the </w:t>
      </w:r>
      <w:r>
        <w:rPr>
          <w:lang w:val="en-US"/>
        </w:rPr>
        <w:t>8(d)-</w:t>
      </w:r>
      <w:r w:rsidRPr="007F14EF">
        <w:rPr>
          <w:lang w:val="en-US"/>
        </w:rPr>
        <w:t xml:space="preserve">ICG. </w:t>
      </w:r>
    </w:p>
    <w:bookmarkEnd w:id="7"/>
    <w:p w14:paraId="3362E786" w14:textId="77777777" w:rsidR="001C2639" w:rsidRPr="007F14EF" w:rsidRDefault="001C2639" w:rsidP="001C2639">
      <w:pPr>
        <w:pStyle w:val="HChG"/>
        <w:ind w:left="1138" w:right="43" w:firstLine="0"/>
        <w:rPr>
          <w:lang w:val="en-US"/>
        </w:rPr>
      </w:pPr>
      <w:r w:rsidRPr="007F14EF">
        <w:rPr>
          <w:lang w:val="en-US"/>
        </w:rPr>
        <w:t>Agenda Item 2(h) – Miscellaneous</w:t>
      </w:r>
    </w:p>
    <w:p w14:paraId="7458D7A5" w14:textId="77777777" w:rsidR="001C2639" w:rsidRPr="00FC4957" w:rsidRDefault="001C2639" w:rsidP="003C5ADC">
      <w:pPr>
        <w:pStyle w:val="SingleTxtG"/>
        <w:numPr>
          <w:ilvl w:val="0"/>
          <w:numId w:val="18"/>
        </w:numPr>
        <w:spacing w:after="240"/>
        <w:ind w:right="43"/>
        <w:rPr>
          <w:lang w:val="en-US"/>
        </w:rPr>
      </w:pPr>
      <w:r w:rsidRPr="00FC4957">
        <w:rPr>
          <w:b/>
          <w:bCs/>
          <w:u w:val="single"/>
          <w:lang w:val="en-US"/>
        </w:rPr>
        <w:t>Subject.</w:t>
      </w:r>
      <w:r w:rsidRPr="00FC4957">
        <w:rPr>
          <w:lang w:val="en-US"/>
        </w:rPr>
        <w:t xml:space="preserve">  </w:t>
      </w:r>
      <w:r w:rsidRPr="00FC4957">
        <w:rPr>
          <w:iCs/>
          <w:lang w:val="en-US"/>
        </w:rPr>
        <w:t>Amendment to section 51.4.4.2 (e) of the Manual of Tests and Criteria</w:t>
      </w:r>
    </w:p>
    <w:p w14:paraId="0F55B83A" w14:textId="77777777" w:rsidR="001C2639" w:rsidRPr="00FC4957" w:rsidRDefault="001C2639" w:rsidP="001C2639">
      <w:pPr>
        <w:pStyle w:val="SingleTxtG"/>
        <w:spacing w:after="240"/>
        <w:ind w:left="3700" w:right="43" w:hanging="2001"/>
        <w:jc w:val="left"/>
        <w:rPr>
          <w:i/>
          <w:lang w:val="en-US"/>
        </w:rPr>
      </w:pPr>
      <w:r w:rsidRPr="00FC4957">
        <w:rPr>
          <w:i/>
          <w:lang w:val="en-US"/>
        </w:rPr>
        <w:t>Document:</w:t>
      </w:r>
      <w:r w:rsidRPr="00FC4957">
        <w:rPr>
          <w:i/>
          <w:lang w:val="en-US"/>
        </w:rPr>
        <w:tab/>
      </w:r>
      <w:r w:rsidRPr="00FC4957">
        <w:rPr>
          <w:i/>
          <w:iCs/>
          <w:lang w:val="en-US"/>
        </w:rPr>
        <w:t>ST/SG/AC.10/C.3/2023/6 (China)</w:t>
      </w:r>
    </w:p>
    <w:p w14:paraId="6689301B" w14:textId="77777777" w:rsidR="001C2639" w:rsidRPr="00FC4957" w:rsidRDefault="001C2639" w:rsidP="001C2639">
      <w:pPr>
        <w:pStyle w:val="SingleTxtG"/>
        <w:spacing w:after="240"/>
        <w:ind w:left="3700" w:right="43" w:hanging="2001"/>
        <w:rPr>
          <w:i/>
          <w:iCs/>
          <w:lang w:val="en-US"/>
        </w:rPr>
      </w:pPr>
      <w:r w:rsidRPr="00FC4957">
        <w:rPr>
          <w:i/>
          <w:iCs/>
          <w:lang w:val="en-US"/>
        </w:rPr>
        <w:t xml:space="preserve">Informal document: </w:t>
      </w:r>
      <w:r w:rsidRPr="00FC4957">
        <w:rPr>
          <w:i/>
          <w:iCs/>
          <w:lang w:val="en-US"/>
        </w:rPr>
        <w:tab/>
        <w:t>No document</w:t>
      </w:r>
      <w:r w:rsidRPr="00FC4957">
        <w:rPr>
          <w:lang w:val="en-US"/>
        </w:rPr>
        <w:tab/>
      </w:r>
    </w:p>
    <w:p w14:paraId="38076E00" w14:textId="77777777" w:rsidR="001C2639" w:rsidRPr="00D86F6A" w:rsidRDefault="001C2639" w:rsidP="001C2639">
      <w:pPr>
        <w:pStyle w:val="SingleTxtG"/>
        <w:spacing w:after="240"/>
        <w:ind w:left="1701" w:right="43"/>
        <w:rPr>
          <w:lang w:val="en-US"/>
        </w:rPr>
      </w:pPr>
      <w:r w:rsidRPr="00B637C6">
        <w:rPr>
          <w:b/>
          <w:u w:val="single"/>
          <w:lang w:val="en-US"/>
        </w:rPr>
        <w:t>Discussion:</w:t>
      </w:r>
      <w:r w:rsidRPr="00B637C6">
        <w:rPr>
          <w:lang w:val="en-US"/>
        </w:rPr>
        <w:t xml:space="preserve">  China introduced 2023/6</w:t>
      </w:r>
      <w:r>
        <w:rPr>
          <w:lang w:val="en-US"/>
        </w:rPr>
        <w:t>,</w:t>
      </w:r>
      <w:r w:rsidRPr="00B637C6">
        <w:rPr>
          <w:lang w:val="en-US"/>
        </w:rPr>
        <w:t xml:space="preserve"> which</w:t>
      </w:r>
      <w:r w:rsidRPr="00B637C6">
        <w:t xml:space="preserve"> </w:t>
      </w:r>
      <w:r w:rsidRPr="00B637C6">
        <w:rPr>
          <w:lang w:val="en-US"/>
        </w:rPr>
        <w:t xml:space="preserve">proposes revising subparagraph 51.4.4.2 (e) in section 51-"Classification procedures, test methods and criteria for desensitized explosives" of the Manual </w:t>
      </w:r>
      <w:r w:rsidRPr="00D86F6A">
        <w:rPr>
          <w:lang w:val="en-US"/>
        </w:rPr>
        <w:t>of Tests and Criteria. The current text in 51.4.4.2 (e) is difficult to understand and lacks a definition for I</w:t>
      </w:r>
      <w:r w:rsidRPr="00D86F6A">
        <w:rPr>
          <w:vertAlign w:val="subscript"/>
          <w:lang w:val="en-US"/>
        </w:rPr>
        <w:t>calculated</w:t>
      </w:r>
      <w:r w:rsidRPr="00D86F6A">
        <w:rPr>
          <w:lang w:val="en-US"/>
        </w:rPr>
        <w:t xml:space="preserve"> used in </w:t>
      </w:r>
      <w:r>
        <w:rPr>
          <w:lang w:val="en-US"/>
        </w:rPr>
        <w:t xml:space="preserve">the </w:t>
      </w:r>
      <w:r w:rsidRPr="00D86F6A">
        <w:rPr>
          <w:lang w:val="en-US"/>
        </w:rPr>
        <w:t xml:space="preserve">formula in </w:t>
      </w:r>
      <w:r w:rsidRPr="00D86F6A">
        <w:rPr>
          <w:rFonts w:hint="eastAsia"/>
        </w:rPr>
        <w:t>51.4.4.2 (</w:t>
      </w:r>
      <w:r w:rsidRPr="00D86F6A">
        <w:t>f</w:t>
      </w:r>
      <w:r w:rsidRPr="00D86F6A">
        <w:rPr>
          <w:rFonts w:hint="eastAsia"/>
        </w:rPr>
        <w:t>)</w:t>
      </w:r>
      <w:r w:rsidRPr="00D86F6A">
        <w:rPr>
          <w:lang w:val="en-US"/>
        </w:rPr>
        <w:t>.</w:t>
      </w:r>
    </w:p>
    <w:p w14:paraId="1013C8F3" w14:textId="77777777" w:rsidR="001C2639" w:rsidRPr="00D86F6A" w:rsidRDefault="001C2639" w:rsidP="001C2639">
      <w:pPr>
        <w:pStyle w:val="SingleTxtG"/>
        <w:spacing w:after="240"/>
        <w:ind w:left="1701" w:right="43"/>
        <w:rPr>
          <w:bCs/>
          <w:lang w:val="en-US"/>
        </w:rPr>
      </w:pPr>
      <w:r w:rsidRPr="00D86F6A">
        <w:rPr>
          <w:lang w:val="en-US"/>
        </w:rPr>
        <w:t xml:space="preserve">Belgium agreed with the proposal but had a few suggested edits.  </w:t>
      </w:r>
      <w:r w:rsidRPr="00D86F6A">
        <w:rPr>
          <w:bCs/>
          <w:lang w:val="en-US"/>
        </w:rPr>
        <w:t>Sweden shared that upon review of 51.4.4</w:t>
      </w:r>
      <w:r>
        <w:rPr>
          <w:bCs/>
          <w:lang w:val="en-US"/>
        </w:rPr>
        <w:t>,</w:t>
      </w:r>
      <w:r w:rsidRPr="00D86F6A">
        <w:rPr>
          <w:bCs/>
          <w:lang w:val="en-US"/>
        </w:rPr>
        <w:t xml:space="preserve"> the variable “I” is used for different things throughout the section and had several corrections for the section in general.  Spain noted they had found similar issues as Sweden.  </w:t>
      </w:r>
    </w:p>
    <w:p w14:paraId="6210C8AC" w14:textId="77777777" w:rsidR="001C2639" w:rsidRPr="00D86F6A" w:rsidRDefault="001C2639" w:rsidP="001C2639">
      <w:pPr>
        <w:pStyle w:val="SingleTxtG"/>
        <w:spacing w:after="240"/>
        <w:ind w:left="1701" w:right="43"/>
        <w:rPr>
          <w:bCs/>
          <w:lang w:val="en-US"/>
        </w:rPr>
      </w:pPr>
      <w:r w:rsidRPr="00D86F6A">
        <w:rPr>
          <w:bCs/>
          <w:lang w:val="en-US"/>
        </w:rPr>
        <w:t>USA voiced support for the proposal in general</w:t>
      </w:r>
      <w:r>
        <w:rPr>
          <w:bCs/>
          <w:lang w:val="en-US"/>
        </w:rPr>
        <w:t>, but added there should be additional clarification to ensure consistency in how the total burn time is referenced and defined.  It noted</w:t>
      </w:r>
      <w:r w:rsidRPr="00D86F6A">
        <w:rPr>
          <w:bCs/>
          <w:lang w:val="en-US"/>
        </w:rPr>
        <w:t xml:space="preserve"> </w:t>
      </w:r>
      <w:r>
        <w:rPr>
          <w:bCs/>
          <w:lang w:val="en-US"/>
        </w:rPr>
        <w:t>i</w:t>
      </w:r>
      <w:r w:rsidRPr="00D86F6A">
        <w:rPr>
          <w:bCs/>
          <w:lang w:val="en-US"/>
        </w:rPr>
        <w:t>t is the beginning of the biennium</w:t>
      </w:r>
      <w:r>
        <w:rPr>
          <w:bCs/>
          <w:lang w:val="en-US"/>
        </w:rPr>
        <w:t>,</w:t>
      </w:r>
      <w:r w:rsidRPr="00D86F6A">
        <w:rPr>
          <w:bCs/>
          <w:lang w:val="en-US"/>
        </w:rPr>
        <w:t xml:space="preserve"> and several experts </w:t>
      </w:r>
      <w:r>
        <w:rPr>
          <w:bCs/>
          <w:lang w:val="en-US"/>
        </w:rPr>
        <w:t>have</w:t>
      </w:r>
      <w:r w:rsidRPr="00D86F6A">
        <w:rPr>
          <w:bCs/>
          <w:lang w:val="en-US"/>
        </w:rPr>
        <w:t xml:space="preserve"> suggestions and</w:t>
      </w:r>
      <w:r>
        <w:rPr>
          <w:bCs/>
          <w:lang w:val="en-US"/>
        </w:rPr>
        <w:t xml:space="preserve"> suggested </w:t>
      </w:r>
      <w:r w:rsidRPr="00D86F6A">
        <w:rPr>
          <w:bCs/>
          <w:lang w:val="en-US"/>
        </w:rPr>
        <w:t>a</w:t>
      </w:r>
      <w:r>
        <w:rPr>
          <w:bCs/>
          <w:lang w:val="en-US"/>
        </w:rPr>
        <w:t>n</w:t>
      </w:r>
      <w:r w:rsidRPr="00D86F6A">
        <w:rPr>
          <w:bCs/>
          <w:lang w:val="en-US"/>
        </w:rPr>
        <w:t xml:space="preserve"> ICG be established to work through the more extensive corrections.  The EWG then </w:t>
      </w:r>
      <w:r>
        <w:rPr>
          <w:bCs/>
          <w:lang w:val="en-US"/>
        </w:rPr>
        <w:t>kept</w:t>
      </w:r>
      <w:r w:rsidRPr="00D86F6A">
        <w:rPr>
          <w:bCs/>
          <w:lang w:val="en-US"/>
        </w:rPr>
        <w:t xml:space="preserve"> its discuss</w:t>
      </w:r>
      <w:r>
        <w:rPr>
          <w:bCs/>
          <w:lang w:val="en-US"/>
        </w:rPr>
        <w:t>ion</w:t>
      </w:r>
      <w:r w:rsidRPr="00D86F6A">
        <w:rPr>
          <w:bCs/>
          <w:lang w:val="en-US"/>
        </w:rPr>
        <w:t xml:space="preserve"> only to the section in 2023/6</w:t>
      </w:r>
      <w:r>
        <w:rPr>
          <w:bCs/>
          <w:lang w:val="en-US"/>
        </w:rPr>
        <w:t>,</w:t>
      </w:r>
      <w:r w:rsidRPr="00D86F6A">
        <w:rPr>
          <w:bCs/>
          <w:lang w:val="en-US"/>
        </w:rPr>
        <w:t xml:space="preserve"> and the proposal was amended. The United Kingdom suggested the EWG recommend bracketing the proposal</w:t>
      </w:r>
      <w:r>
        <w:rPr>
          <w:bCs/>
          <w:lang w:val="en-US"/>
        </w:rPr>
        <w:t>,</w:t>
      </w:r>
      <w:r w:rsidRPr="00D86F6A">
        <w:rPr>
          <w:bCs/>
          <w:lang w:val="en-US"/>
        </w:rPr>
        <w:t xml:space="preserve"> and the EWG agreed.</w:t>
      </w:r>
    </w:p>
    <w:p w14:paraId="38EF69BE" w14:textId="77777777" w:rsidR="001C2639" w:rsidRPr="007F14EF" w:rsidRDefault="001C2639" w:rsidP="001C2639">
      <w:pPr>
        <w:pStyle w:val="SingleTxtG"/>
        <w:spacing w:after="240"/>
        <w:ind w:left="1701" w:right="43"/>
        <w:rPr>
          <w:rFonts w:eastAsia="SimSun"/>
          <w:b/>
          <w:lang w:val="en-US" w:eastAsia="zh-CN"/>
        </w:rPr>
      </w:pPr>
      <w:r w:rsidRPr="00D86F6A">
        <w:rPr>
          <w:b/>
          <w:u w:val="single"/>
          <w:lang w:val="en-US"/>
        </w:rPr>
        <w:t>Conclusion</w:t>
      </w:r>
      <w:r w:rsidRPr="00D86F6A">
        <w:rPr>
          <w:lang w:val="en-US"/>
        </w:rPr>
        <w:t xml:space="preserve">:  The EWG agreed, in principle, with the proposal from China and </w:t>
      </w:r>
      <w:r>
        <w:rPr>
          <w:lang w:val="en-US"/>
        </w:rPr>
        <w:t>recommended</w:t>
      </w:r>
      <w:r w:rsidRPr="00D86F6A">
        <w:rPr>
          <w:lang w:val="en-US"/>
        </w:rPr>
        <w:t xml:space="preserve"> </w:t>
      </w:r>
      <w:r>
        <w:rPr>
          <w:lang w:val="en-US"/>
        </w:rPr>
        <w:t xml:space="preserve">that </w:t>
      </w:r>
      <w:r w:rsidRPr="00D86F6A">
        <w:rPr>
          <w:lang w:val="en-US"/>
        </w:rPr>
        <w:t>the proposal</w:t>
      </w:r>
      <w:r>
        <w:rPr>
          <w:lang w:val="en-US"/>
        </w:rPr>
        <w:t>,</w:t>
      </w:r>
      <w:r w:rsidRPr="00D86F6A">
        <w:rPr>
          <w:lang w:val="en-US"/>
        </w:rPr>
        <w:t xml:space="preserve"> as amended</w:t>
      </w:r>
      <w:r>
        <w:rPr>
          <w:lang w:val="en-US"/>
        </w:rPr>
        <w:t>,</w:t>
      </w:r>
      <w:r w:rsidRPr="00D86F6A">
        <w:rPr>
          <w:lang w:val="en-US"/>
        </w:rPr>
        <w:t xml:space="preserve"> be placed into square brackets. See Amendment 1 in Annex 2.  In their review</w:t>
      </w:r>
      <w:r>
        <w:rPr>
          <w:lang w:val="en-US"/>
        </w:rPr>
        <w:t>,</w:t>
      </w:r>
      <w:r w:rsidRPr="00D86F6A">
        <w:rPr>
          <w:lang w:val="en-US"/>
        </w:rPr>
        <w:t xml:space="preserve"> further improvements and inconsistencies were identified</w:t>
      </w:r>
      <w:r>
        <w:rPr>
          <w:lang w:val="en-US"/>
        </w:rPr>
        <w:t>,</w:t>
      </w:r>
      <w:r w:rsidRPr="00D86F6A">
        <w:rPr>
          <w:lang w:val="en-US"/>
        </w:rPr>
        <w:t xml:space="preserve"> which a Burn Rate-ICG will work on, and its findings and suggestions will be considered through subsequent working or informal papers. </w:t>
      </w:r>
      <w:r>
        <w:rPr>
          <w:lang w:val="en-US"/>
        </w:rPr>
        <w:t>China will coordinate the Burn Rate-ICG</w:t>
      </w:r>
      <w:r w:rsidRPr="00D86F6A">
        <w:rPr>
          <w:lang w:val="en-US"/>
        </w:rPr>
        <w:t>.</w:t>
      </w:r>
      <w:r w:rsidRPr="007F14EF">
        <w:rPr>
          <w:lang w:val="en-US"/>
        </w:rPr>
        <w:t xml:space="preserve"> </w:t>
      </w:r>
      <w:r w:rsidRPr="007F14EF">
        <w:rPr>
          <w:rFonts w:eastAsia="SimSun"/>
          <w:b/>
          <w:lang w:val="en-US" w:eastAsia="zh-CN"/>
        </w:rPr>
        <w:t xml:space="preserve"> </w:t>
      </w:r>
    </w:p>
    <w:p w14:paraId="53B87025" w14:textId="77777777" w:rsidR="001C2639" w:rsidRPr="00D45911" w:rsidRDefault="001C2639" w:rsidP="003C5ADC">
      <w:pPr>
        <w:pStyle w:val="SingleTxtG"/>
        <w:keepNext/>
        <w:numPr>
          <w:ilvl w:val="0"/>
          <w:numId w:val="18"/>
        </w:numPr>
        <w:spacing w:after="240"/>
        <w:ind w:right="43"/>
        <w:rPr>
          <w:lang w:val="en-US"/>
        </w:rPr>
      </w:pPr>
      <w:r w:rsidRPr="00D45911">
        <w:rPr>
          <w:b/>
          <w:bCs/>
          <w:u w:val="single"/>
          <w:lang w:val="en-US"/>
        </w:rPr>
        <w:t>Subject.</w:t>
      </w:r>
      <w:r w:rsidRPr="00D45911">
        <w:rPr>
          <w:lang w:val="en-US"/>
        </w:rPr>
        <w:t xml:space="preserve">  </w:t>
      </w:r>
      <w:r w:rsidRPr="00D45911">
        <w:rPr>
          <w:bCs/>
          <w:lang w:val="en-US"/>
        </w:rPr>
        <w:t>Amendment of definition “explosive or pyrotechnic effect”</w:t>
      </w:r>
    </w:p>
    <w:p w14:paraId="65B31847" w14:textId="77777777" w:rsidR="001C2639" w:rsidRPr="00D45911" w:rsidRDefault="001C2639" w:rsidP="001C2639">
      <w:pPr>
        <w:pStyle w:val="SingleTxtG"/>
        <w:keepNext/>
        <w:spacing w:after="240"/>
        <w:ind w:left="3700" w:right="43" w:hanging="2001"/>
        <w:jc w:val="left"/>
        <w:rPr>
          <w:i/>
          <w:lang w:val="en-US"/>
        </w:rPr>
      </w:pPr>
      <w:r w:rsidRPr="00D45911">
        <w:rPr>
          <w:i/>
          <w:lang w:val="en-US"/>
        </w:rPr>
        <w:t>Document:</w:t>
      </w:r>
      <w:r w:rsidRPr="00D45911">
        <w:rPr>
          <w:i/>
          <w:lang w:val="en-US"/>
        </w:rPr>
        <w:tab/>
      </w:r>
      <w:r w:rsidRPr="00D45911">
        <w:rPr>
          <w:i/>
          <w:iCs/>
          <w:lang w:val="en-US"/>
        </w:rPr>
        <w:t xml:space="preserve">ST/SG/AC.10/C.3/2023/12 (Sweden) </w:t>
      </w:r>
    </w:p>
    <w:p w14:paraId="22B737A8" w14:textId="77777777" w:rsidR="001C2639" w:rsidRPr="00D45911" w:rsidRDefault="001C2639" w:rsidP="001C2639">
      <w:pPr>
        <w:pStyle w:val="SingleTxtG"/>
        <w:keepNext/>
        <w:spacing w:after="240"/>
        <w:ind w:left="3700" w:right="43" w:hanging="2001"/>
        <w:rPr>
          <w:i/>
          <w:lang w:val="en-US"/>
        </w:rPr>
      </w:pPr>
      <w:r w:rsidRPr="00D45911">
        <w:rPr>
          <w:i/>
          <w:lang w:val="en-US"/>
        </w:rPr>
        <w:t xml:space="preserve">Informal document: </w:t>
      </w:r>
      <w:r w:rsidRPr="00D45911">
        <w:rPr>
          <w:i/>
          <w:lang w:val="en-US"/>
        </w:rPr>
        <w:tab/>
      </w:r>
      <w:r w:rsidRPr="00D45911">
        <w:rPr>
          <w:i/>
          <w:iCs/>
          <w:lang w:val="en-US"/>
        </w:rPr>
        <w:t>None Submitted</w:t>
      </w:r>
    </w:p>
    <w:p w14:paraId="69DEF608" w14:textId="77777777" w:rsidR="001C2639" w:rsidRDefault="001C2639" w:rsidP="001C2639">
      <w:pPr>
        <w:pStyle w:val="SingleTxtG"/>
        <w:spacing w:after="240"/>
        <w:ind w:left="1699" w:right="43"/>
        <w:rPr>
          <w:lang w:val="en-US"/>
        </w:rPr>
      </w:pPr>
      <w:r w:rsidRPr="00180807">
        <w:rPr>
          <w:b/>
          <w:u w:val="single"/>
          <w:lang w:val="en-US"/>
        </w:rPr>
        <w:t>Discussion:</w:t>
      </w:r>
      <w:r w:rsidRPr="00180807">
        <w:rPr>
          <w:lang w:val="en-US"/>
        </w:rPr>
        <w:t xml:space="preserve">  Sweden introduced 20</w:t>
      </w:r>
      <w:r>
        <w:rPr>
          <w:lang w:val="en-US"/>
        </w:rPr>
        <w:t>2</w:t>
      </w:r>
      <w:r w:rsidRPr="00180807">
        <w:rPr>
          <w:lang w:val="en-US"/>
        </w:rPr>
        <w:t xml:space="preserve">3/12.  </w:t>
      </w:r>
      <w:r>
        <w:rPr>
          <w:lang w:val="en-US"/>
        </w:rPr>
        <w:t>A</w:t>
      </w:r>
      <w:r w:rsidRPr="00180807">
        <w:rPr>
          <w:lang w:val="en-US"/>
        </w:rPr>
        <w:t>mendments to the term “</w:t>
      </w:r>
      <w:r w:rsidRPr="00180807">
        <w:rPr>
          <w:i/>
        </w:rPr>
        <w:t>Explosive or pyrotechnic effect</w:t>
      </w:r>
      <w:r w:rsidRPr="00180807">
        <w:rPr>
          <w:i/>
          <w:lang w:val="en-US"/>
        </w:rPr>
        <w:t xml:space="preserve">” </w:t>
      </w:r>
      <w:r w:rsidRPr="00F207E3">
        <w:rPr>
          <w:iCs/>
          <w:lang w:val="en-US"/>
        </w:rPr>
        <w:t xml:space="preserve">were adopted </w:t>
      </w:r>
      <w:r w:rsidRPr="00180807">
        <w:rPr>
          <w:iCs/>
          <w:lang w:val="en-US"/>
        </w:rPr>
        <w:t xml:space="preserve">by </w:t>
      </w:r>
      <w:r w:rsidRPr="00180807">
        <w:rPr>
          <w:lang w:val="en-US"/>
        </w:rPr>
        <w:t xml:space="preserve">the </w:t>
      </w:r>
      <w:r w:rsidRPr="00180807">
        <w:t xml:space="preserve">SCETDG at its sixty-first session and the SCEGHS at its forty-third </w:t>
      </w:r>
      <w:r w:rsidRPr="00180807">
        <w:lastRenderedPageBreak/>
        <w:t>session</w:t>
      </w:r>
      <w:r>
        <w:rPr>
          <w:lang w:val="en-US"/>
        </w:rPr>
        <w:t xml:space="preserve"> in</w:t>
      </w:r>
      <w:r w:rsidRPr="00180807">
        <w:rPr>
          <w:lang w:val="en-US"/>
        </w:rPr>
        <w:t xml:space="preserve"> </w:t>
      </w:r>
      <w:r w:rsidRPr="00180807">
        <w:t>paragraphs 2.1.1.1 (c) of the UNMR and 2.1.1.2.1 (c) of the GHS</w:t>
      </w:r>
      <w:r w:rsidRPr="00180807">
        <w:rPr>
          <w:lang w:val="en-US"/>
        </w:rPr>
        <w:t xml:space="preserve">.  </w:t>
      </w:r>
      <w:r w:rsidRPr="00180807">
        <w:t xml:space="preserve">However, as adopted, the definition only </w:t>
      </w:r>
      <w:r w:rsidRPr="00180807">
        <w:rPr>
          <w:lang w:val="en-US"/>
        </w:rPr>
        <w:t>applies</w:t>
      </w:r>
      <w:r w:rsidRPr="00180807">
        <w:t xml:space="preserve"> to the specific contexts of paragraphs 2.1.1.1(c) of the UNMR and 2.1.1.2.1(c) of the GHS</w:t>
      </w:r>
      <w:r w:rsidRPr="00180807">
        <w:rPr>
          <w:lang w:val="en-US"/>
        </w:rPr>
        <w:t xml:space="preserve">.  The expert from Sweden searched </w:t>
      </w:r>
      <w:r>
        <w:rPr>
          <w:lang w:val="en-US"/>
        </w:rPr>
        <w:t>the United Nations Model Regulations</w:t>
      </w:r>
      <w:r w:rsidRPr="00180807">
        <w:rPr>
          <w:lang w:val="en-US"/>
        </w:rPr>
        <w:t>, GHS</w:t>
      </w:r>
      <w:r>
        <w:rPr>
          <w:lang w:val="en-US"/>
        </w:rPr>
        <w:t>,</w:t>
      </w:r>
      <w:r w:rsidRPr="00180807">
        <w:rPr>
          <w:lang w:val="en-US"/>
        </w:rPr>
        <w:t xml:space="preserve"> and </w:t>
      </w:r>
      <w:r>
        <w:rPr>
          <w:lang w:val="en-US"/>
        </w:rPr>
        <w:t>MTC</w:t>
      </w:r>
      <w:r w:rsidRPr="00180807">
        <w:rPr>
          <w:lang w:val="en-US"/>
        </w:rPr>
        <w:t xml:space="preserve"> for all places where the term “</w:t>
      </w:r>
      <w:r w:rsidRPr="00180807">
        <w:rPr>
          <w:i/>
        </w:rPr>
        <w:t>Explosive</w:t>
      </w:r>
      <w:r w:rsidRPr="00F40CB2">
        <w:rPr>
          <w:i/>
        </w:rPr>
        <w:t xml:space="preserve"> or pyrotechnic effect</w:t>
      </w:r>
      <w:r>
        <w:rPr>
          <w:i/>
          <w:lang w:val="en-US"/>
        </w:rPr>
        <w:t>”</w:t>
      </w:r>
      <w:r w:rsidRPr="00180807">
        <w:rPr>
          <w:iCs/>
          <w:lang w:val="en-US"/>
        </w:rPr>
        <w:t xml:space="preserve"> appeared</w:t>
      </w:r>
      <w:r>
        <w:rPr>
          <w:iCs/>
          <w:lang w:val="en-US"/>
        </w:rPr>
        <w:t xml:space="preserve"> to determine if </w:t>
      </w:r>
      <w:r w:rsidRPr="00005691">
        <w:rPr>
          <w:iCs/>
          <w:lang w:val="en-US"/>
        </w:rPr>
        <w:t>the adopted definition would cause any issues if applied in those instances.  In the expert’s opinion</w:t>
      </w:r>
      <w:r>
        <w:rPr>
          <w:iCs/>
          <w:lang w:val="en-US"/>
        </w:rPr>
        <w:t>,</w:t>
      </w:r>
      <w:r w:rsidRPr="00005691">
        <w:rPr>
          <w:iCs/>
          <w:lang w:val="en-US"/>
        </w:rPr>
        <w:t xml:space="preserve"> they </w:t>
      </w:r>
      <w:r w:rsidRPr="00005691">
        <w:rPr>
          <w:lang w:val="en-US"/>
        </w:rPr>
        <w:t xml:space="preserve">did not find any </w:t>
      </w:r>
      <w:r>
        <w:rPr>
          <w:lang w:val="en-US"/>
        </w:rPr>
        <w:t>cases</w:t>
      </w:r>
      <w:r w:rsidRPr="00005691">
        <w:rPr>
          <w:lang w:val="en-US"/>
        </w:rPr>
        <w:t xml:space="preserve"> where there would be unintentional effects.</w:t>
      </w:r>
    </w:p>
    <w:p w14:paraId="29916E1E" w14:textId="77777777" w:rsidR="001C2639" w:rsidRPr="00005691" w:rsidRDefault="001C2639" w:rsidP="001C2639">
      <w:pPr>
        <w:pStyle w:val="SingleTxtG"/>
        <w:spacing w:after="240"/>
        <w:ind w:left="1699" w:right="43"/>
        <w:rPr>
          <w:lang w:val="en-US"/>
        </w:rPr>
      </w:pPr>
      <w:r w:rsidRPr="00005691">
        <w:rPr>
          <w:lang w:val="en-US"/>
        </w:rPr>
        <w:t>The</w:t>
      </w:r>
      <w:r>
        <w:rPr>
          <w:lang w:val="en-US"/>
        </w:rPr>
        <w:t xml:space="preserve"> paper asks the EWG to </w:t>
      </w:r>
      <w:r w:rsidRPr="00005691">
        <w:rPr>
          <w:lang w:val="en-US"/>
        </w:rPr>
        <w:t>consider whether the definition of the term “explosive or pyrotechnic effect” should only be applied in a specific context or if it can be applied throughout the UNMR</w:t>
      </w:r>
      <w:r>
        <w:rPr>
          <w:lang w:val="en-US"/>
        </w:rPr>
        <w:t>,</w:t>
      </w:r>
      <w:r w:rsidRPr="00005691">
        <w:rPr>
          <w:lang w:val="en-US"/>
        </w:rPr>
        <w:t xml:space="preserve"> GHS</w:t>
      </w:r>
      <w:r>
        <w:rPr>
          <w:lang w:val="en-US"/>
        </w:rPr>
        <w:t>, and</w:t>
      </w:r>
      <w:r w:rsidRPr="00005691">
        <w:rPr>
          <w:lang w:val="en-US"/>
        </w:rPr>
        <w:t xml:space="preserve"> </w:t>
      </w:r>
      <w:r>
        <w:rPr>
          <w:lang w:val="en-US"/>
        </w:rPr>
        <w:t>MTC</w:t>
      </w:r>
      <w:r w:rsidRPr="00005691">
        <w:rPr>
          <w:lang w:val="en-US"/>
        </w:rPr>
        <w:t xml:space="preserve">. </w:t>
      </w:r>
    </w:p>
    <w:p w14:paraId="4B3A4D3D" w14:textId="77777777" w:rsidR="001C2639" w:rsidRPr="007F14EF" w:rsidRDefault="001C2639" w:rsidP="001C2639">
      <w:pPr>
        <w:pStyle w:val="SingleTxtG"/>
        <w:spacing w:after="240"/>
        <w:ind w:left="1699" w:right="43"/>
        <w:rPr>
          <w:highlight w:val="yellow"/>
          <w:lang w:val="en-US"/>
        </w:rPr>
      </w:pPr>
      <w:r w:rsidRPr="00836581">
        <w:rPr>
          <w:lang w:val="en-US"/>
        </w:rPr>
        <w:t>France indicated support for the proposal to remove the limited application of the definition. CEFIC was concerned</w:t>
      </w:r>
      <w:r w:rsidRPr="00005691">
        <w:rPr>
          <w:lang w:val="en-US"/>
        </w:rPr>
        <w:t xml:space="preserve"> that if the definition was applied throughout the entirety of all the documents</w:t>
      </w:r>
      <w:r>
        <w:rPr>
          <w:lang w:val="en-US"/>
        </w:rPr>
        <w:t>,</w:t>
      </w:r>
      <w:r w:rsidRPr="00005691">
        <w:rPr>
          <w:lang w:val="en-US"/>
        </w:rPr>
        <w:t xml:space="preserve"> it cast too </w:t>
      </w:r>
      <w:r>
        <w:rPr>
          <w:lang w:val="en-US"/>
        </w:rPr>
        <w:t>broad</w:t>
      </w:r>
      <w:r w:rsidRPr="00005691">
        <w:rPr>
          <w:lang w:val="en-US"/>
        </w:rPr>
        <w:t xml:space="preserve"> a definition and would capture many chemical processes and chemicals.  Germany voiced that expanding the </w:t>
      </w:r>
      <w:r w:rsidRPr="000E54B4">
        <w:rPr>
          <w:lang w:val="en-US"/>
        </w:rPr>
        <w:t xml:space="preserve">definition to apply throughout would be too universal as the term is also used in test results in MTC.  USA disagreed with Germany </w:t>
      </w:r>
      <w:r>
        <w:rPr>
          <w:lang w:val="en-US"/>
        </w:rPr>
        <w:t xml:space="preserve">interpretation and believes the definition applies in </w:t>
      </w:r>
      <w:r w:rsidRPr="000E54B4">
        <w:rPr>
          <w:lang w:val="en-US"/>
        </w:rPr>
        <w:t>the context in which the term is used in the UNMR.  The United Kingdom agreed with the USA that when the term is used</w:t>
      </w:r>
      <w:r>
        <w:rPr>
          <w:lang w:val="en-US"/>
        </w:rPr>
        <w:t>, it</w:t>
      </w:r>
      <w:r w:rsidRPr="000E54B4">
        <w:rPr>
          <w:lang w:val="en-US"/>
        </w:rPr>
        <w:t xml:space="preserve"> is related to explosives</w:t>
      </w:r>
      <w:r>
        <w:rPr>
          <w:lang w:val="en-US"/>
        </w:rPr>
        <w:t xml:space="preserve"> and</w:t>
      </w:r>
      <w:r w:rsidRPr="000E54B4">
        <w:rPr>
          <w:lang w:val="en-US"/>
        </w:rPr>
        <w:t xml:space="preserve"> desensitized explosives in the UNM</w:t>
      </w:r>
      <w:r>
        <w:rPr>
          <w:lang w:val="en-US"/>
        </w:rPr>
        <w:t xml:space="preserve">R, MTC and </w:t>
      </w:r>
      <w:r w:rsidRPr="000E54B4">
        <w:rPr>
          <w:lang w:val="en-US"/>
        </w:rPr>
        <w:t>GHS.</w:t>
      </w:r>
      <w:r>
        <w:rPr>
          <w:lang w:val="en-US"/>
        </w:rPr>
        <w:t xml:space="preserve"> </w:t>
      </w:r>
      <w:r w:rsidRPr="000E54B4">
        <w:rPr>
          <w:lang w:val="en-US"/>
        </w:rPr>
        <w:t xml:space="preserve"> Canada voiced the opinion that any </w:t>
      </w:r>
      <w:r>
        <w:rPr>
          <w:lang w:val="en-US"/>
        </w:rPr>
        <w:t xml:space="preserve">chemical </w:t>
      </w:r>
      <w:r w:rsidRPr="000E54B4">
        <w:rPr>
          <w:lang w:val="en-US"/>
        </w:rPr>
        <w:t>reaction that may produce one of the effects in the definitions does not automatically place</w:t>
      </w:r>
      <w:r>
        <w:rPr>
          <w:lang w:val="en-US"/>
        </w:rPr>
        <w:t xml:space="preserve"> a substance or mixture</w:t>
      </w:r>
      <w:r w:rsidRPr="000E54B4">
        <w:rPr>
          <w:lang w:val="en-US"/>
        </w:rPr>
        <w:t xml:space="preserve"> into the class of explosives</w:t>
      </w:r>
      <w:r>
        <w:rPr>
          <w:lang w:val="en-US"/>
        </w:rPr>
        <w:t>,</w:t>
      </w:r>
      <w:r w:rsidRPr="000E54B4">
        <w:rPr>
          <w:lang w:val="en-US"/>
        </w:rPr>
        <w:t xml:space="preserve"> but rather one can determine the substance is not</w:t>
      </w:r>
      <w:r>
        <w:rPr>
          <w:lang w:val="en-US"/>
        </w:rPr>
        <w:t>,</w:t>
      </w:r>
      <w:r w:rsidRPr="000E54B4">
        <w:rPr>
          <w:lang w:val="en-US"/>
        </w:rPr>
        <w:t xml:space="preserve"> in fact</w:t>
      </w:r>
      <w:r>
        <w:rPr>
          <w:lang w:val="en-US"/>
        </w:rPr>
        <w:t>,</w:t>
      </w:r>
      <w:r w:rsidRPr="000E54B4">
        <w:rPr>
          <w:lang w:val="en-US"/>
        </w:rPr>
        <w:t xml:space="preserve"> an explosive.  </w:t>
      </w:r>
    </w:p>
    <w:p w14:paraId="16B1FCEC" w14:textId="77777777" w:rsidR="001C2639" w:rsidRPr="000E54B4" w:rsidRDefault="001C2639" w:rsidP="001C2639">
      <w:pPr>
        <w:pStyle w:val="SingleTxtG"/>
        <w:spacing w:after="240"/>
        <w:ind w:left="1699" w:right="43"/>
        <w:rPr>
          <w:bCs/>
          <w:lang w:val="en-US"/>
        </w:rPr>
      </w:pPr>
      <w:r w:rsidRPr="000E54B4">
        <w:rPr>
          <w:bCs/>
          <w:lang w:val="en-US"/>
        </w:rPr>
        <w:t>After additional deliberation</w:t>
      </w:r>
      <w:r>
        <w:rPr>
          <w:bCs/>
          <w:lang w:val="en-US"/>
        </w:rPr>
        <w:t>,</w:t>
      </w:r>
      <w:r w:rsidRPr="000E54B4">
        <w:rPr>
          <w:bCs/>
          <w:lang w:val="en-US"/>
        </w:rPr>
        <w:t xml:space="preserve"> the EWG was divided </w:t>
      </w:r>
      <w:r>
        <w:rPr>
          <w:bCs/>
          <w:lang w:val="en-US"/>
        </w:rPr>
        <w:t>on</w:t>
      </w:r>
      <w:r w:rsidRPr="000E54B4">
        <w:rPr>
          <w:bCs/>
          <w:lang w:val="en-US"/>
        </w:rPr>
        <w:t xml:space="preserve"> opinions. Some felt it would cause the definition to be applied too universally and risks pulling in unintended substances which should not be considered explosives.  Others </w:t>
      </w:r>
      <w:r>
        <w:rPr>
          <w:bCs/>
          <w:lang w:val="en-US"/>
        </w:rPr>
        <w:t>saw</w:t>
      </w:r>
      <w:r w:rsidRPr="000E54B4">
        <w:rPr>
          <w:bCs/>
          <w:lang w:val="en-US"/>
        </w:rPr>
        <w:t xml:space="preserve"> the applications in the U</w:t>
      </w:r>
      <w:r>
        <w:rPr>
          <w:bCs/>
          <w:lang w:val="en-US"/>
        </w:rPr>
        <w:t>N</w:t>
      </w:r>
      <w:r w:rsidRPr="000E54B4">
        <w:rPr>
          <w:bCs/>
          <w:lang w:val="en-US"/>
        </w:rPr>
        <w:t xml:space="preserve">MR, </w:t>
      </w:r>
      <w:r>
        <w:rPr>
          <w:bCs/>
          <w:lang w:val="en-US"/>
        </w:rPr>
        <w:t>MTC</w:t>
      </w:r>
      <w:r w:rsidRPr="000E54B4">
        <w:rPr>
          <w:bCs/>
          <w:lang w:val="en-US"/>
        </w:rPr>
        <w:t xml:space="preserve">, and GHS only in instances where </w:t>
      </w:r>
      <w:r>
        <w:rPr>
          <w:bCs/>
          <w:lang w:val="en-US"/>
        </w:rPr>
        <w:t>the term is</w:t>
      </w:r>
      <w:r w:rsidRPr="000E54B4">
        <w:rPr>
          <w:bCs/>
          <w:lang w:val="en-US"/>
        </w:rPr>
        <w:t xml:space="preserve"> used in the context of explosives or desensitized explosives.  </w:t>
      </w:r>
    </w:p>
    <w:p w14:paraId="4540A275" w14:textId="77777777" w:rsidR="001C2639" w:rsidRPr="00944B80" w:rsidRDefault="001C2639" w:rsidP="001C2639">
      <w:pPr>
        <w:pStyle w:val="SingleTxtG"/>
        <w:spacing w:after="240"/>
        <w:ind w:left="1699" w:right="43"/>
        <w:rPr>
          <w:bCs/>
          <w:lang w:val="en-US"/>
        </w:rPr>
      </w:pPr>
      <w:r w:rsidRPr="00C052F4">
        <w:rPr>
          <w:bCs/>
          <w:lang w:val="en-US"/>
        </w:rPr>
        <w:t xml:space="preserve">After review and compilation, Sweden presented the EWG with a list of </w:t>
      </w:r>
      <w:r w:rsidRPr="00944B80">
        <w:rPr>
          <w:bCs/>
          <w:lang w:val="en-US"/>
        </w:rPr>
        <w:t xml:space="preserve">places where the term appeared in the UNMR, </w:t>
      </w:r>
      <w:r>
        <w:rPr>
          <w:bCs/>
          <w:lang w:val="en-US"/>
        </w:rPr>
        <w:t>MTC</w:t>
      </w:r>
      <w:r w:rsidRPr="00944B80">
        <w:rPr>
          <w:bCs/>
          <w:lang w:val="en-US"/>
        </w:rPr>
        <w:t xml:space="preserve">, and GHS.  It was decided that </w:t>
      </w:r>
      <w:r w:rsidRPr="00944B80">
        <w:rPr>
          <w:lang w:val="en-US"/>
        </w:rPr>
        <w:t xml:space="preserve">the EWG would continue to review the locations </w:t>
      </w:r>
      <w:r>
        <w:rPr>
          <w:lang w:val="en-US"/>
        </w:rPr>
        <w:t>where</w:t>
      </w:r>
      <w:r w:rsidRPr="00944B80">
        <w:rPr>
          <w:lang w:val="en-US"/>
        </w:rPr>
        <w:t xml:space="preserve"> the term is used to determine if it is appropriate in those instances.</w:t>
      </w:r>
    </w:p>
    <w:p w14:paraId="5BA5293C" w14:textId="77777777" w:rsidR="001C2639" w:rsidRPr="007F14EF" w:rsidRDefault="001C2639" w:rsidP="001C2639">
      <w:pPr>
        <w:pStyle w:val="SingleTxtG"/>
        <w:spacing w:after="240"/>
        <w:ind w:left="1701" w:right="43"/>
        <w:rPr>
          <w:lang w:val="en-US"/>
        </w:rPr>
      </w:pPr>
      <w:r w:rsidRPr="00944B80">
        <w:rPr>
          <w:b/>
          <w:bCs/>
          <w:u w:val="single"/>
          <w:lang w:val="en-US"/>
        </w:rPr>
        <w:t>Conclusion:</w:t>
      </w:r>
      <w:r w:rsidRPr="00944B80">
        <w:rPr>
          <w:lang w:val="en-US"/>
        </w:rPr>
        <w:t xml:space="preserve">  Many experts supported this proposal</w:t>
      </w:r>
      <w:r>
        <w:rPr>
          <w:lang w:val="en-US"/>
        </w:rPr>
        <w:t>,</w:t>
      </w:r>
      <w:r w:rsidRPr="00944B80">
        <w:rPr>
          <w:lang w:val="en-US"/>
        </w:rPr>
        <w:t xml:space="preserve"> and some opposed</w:t>
      </w:r>
      <w:r>
        <w:rPr>
          <w:lang w:val="en-US"/>
        </w:rPr>
        <w:t xml:space="preserve"> it. However</w:t>
      </w:r>
      <w:r w:rsidRPr="00944B80">
        <w:rPr>
          <w:lang w:val="en-US"/>
        </w:rPr>
        <w:t xml:space="preserve">, those opposed were willing to continue the discussion at the next meeting.  EWG recommends accepting Proposal 1A in square brackets and </w:t>
      </w:r>
      <w:r>
        <w:rPr>
          <w:lang w:val="en-US"/>
        </w:rPr>
        <w:t>continuing the work to review the locations where the term is used to determine if it is appropriate in those instances</w:t>
      </w:r>
      <w:r w:rsidRPr="00944B80">
        <w:rPr>
          <w:lang w:val="en-US"/>
        </w:rPr>
        <w:t>. See Amendment</w:t>
      </w:r>
      <w:r w:rsidRPr="00D86F6A">
        <w:rPr>
          <w:lang w:val="en-US"/>
        </w:rPr>
        <w:t xml:space="preserve"> </w:t>
      </w:r>
      <w:r>
        <w:rPr>
          <w:lang w:val="en-US"/>
        </w:rPr>
        <w:t>2</w:t>
      </w:r>
      <w:r w:rsidRPr="00D86F6A">
        <w:rPr>
          <w:lang w:val="en-US"/>
        </w:rPr>
        <w:t xml:space="preserve"> in Annex 2.  </w:t>
      </w:r>
    </w:p>
    <w:p w14:paraId="6A2BCE9E" w14:textId="77777777" w:rsidR="001C2639" w:rsidRPr="00836581" w:rsidRDefault="001C2639" w:rsidP="003C5ADC">
      <w:pPr>
        <w:pStyle w:val="SingleTxtG"/>
        <w:keepNext/>
        <w:numPr>
          <w:ilvl w:val="0"/>
          <w:numId w:val="18"/>
        </w:numPr>
        <w:spacing w:after="240"/>
        <w:ind w:right="43"/>
        <w:rPr>
          <w:lang w:val="en-US"/>
        </w:rPr>
      </w:pPr>
      <w:r w:rsidRPr="00836581">
        <w:rPr>
          <w:b/>
          <w:bCs/>
          <w:u w:val="single"/>
          <w:lang w:val="en-US"/>
        </w:rPr>
        <w:t>Subject.</w:t>
      </w:r>
      <w:r w:rsidRPr="00836581">
        <w:rPr>
          <w:lang w:val="en-US"/>
        </w:rPr>
        <w:t xml:space="preserve">  </w:t>
      </w:r>
      <w:r w:rsidRPr="00836581">
        <w:rPr>
          <w:rFonts w:eastAsia="MS Mincho"/>
          <w:lang w:val="en-US" w:eastAsia="ja-JP"/>
        </w:rPr>
        <w:t>Consideration of amendments to chapter 2.17 (Desensitized explosives) of the Globally Harmonized System and section 51 of the Manual of Tests and Criteria</w:t>
      </w:r>
    </w:p>
    <w:p w14:paraId="2DA26BDA" w14:textId="77777777" w:rsidR="001C2639" w:rsidRPr="00C45C0A" w:rsidRDefault="001C2639" w:rsidP="001C2639">
      <w:pPr>
        <w:pStyle w:val="SingleTxtG"/>
        <w:keepNext/>
        <w:spacing w:after="240"/>
        <w:ind w:left="3700" w:right="43" w:hanging="2001"/>
        <w:jc w:val="left"/>
        <w:rPr>
          <w:i/>
          <w:iCs/>
          <w:lang w:val="fr-FR"/>
        </w:rPr>
      </w:pPr>
      <w:r w:rsidRPr="00C45C0A">
        <w:rPr>
          <w:i/>
          <w:iCs/>
          <w:lang w:val="fr-FR"/>
        </w:rPr>
        <w:t>Document:</w:t>
      </w:r>
      <w:r w:rsidRPr="00C45C0A">
        <w:rPr>
          <w:lang w:val="fr-FR"/>
        </w:rPr>
        <w:tab/>
      </w:r>
      <w:r w:rsidRPr="00C45C0A">
        <w:rPr>
          <w:i/>
          <w:iCs/>
          <w:lang w:val="fr-FR"/>
        </w:rPr>
        <w:t>ST/SG/AC.10/C.3/2023/17 (AEISG)</w:t>
      </w:r>
    </w:p>
    <w:p w14:paraId="4B10459D" w14:textId="77777777" w:rsidR="001C2639" w:rsidRPr="00C45C0A" w:rsidRDefault="001C2639" w:rsidP="001C2639">
      <w:pPr>
        <w:pStyle w:val="SingleTxtG"/>
        <w:keepNext/>
        <w:spacing w:after="240"/>
        <w:ind w:left="3700" w:right="43" w:hanging="2001"/>
        <w:rPr>
          <w:rStyle w:val="Hyperlink"/>
          <w:rFonts w:ascii="Calibri" w:eastAsia="Calibri" w:hAnsi="Calibri" w:cs="Calibri"/>
          <w:b/>
          <w:bCs/>
          <w:sz w:val="24"/>
          <w:szCs w:val="24"/>
          <w:lang w:val="fr-FR"/>
        </w:rPr>
      </w:pPr>
      <w:r w:rsidRPr="00C45C0A">
        <w:rPr>
          <w:i/>
          <w:iCs/>
          <w:lang w:val="fr-FR"/>
        </w:rPr>
        <w:t xml:space="preserve">Informal document:  </w:t>
      </w:r>
      <w:r w:rsidRPr="00C45C0A">
        <w:rPr>
          <w:i/>
          <w:iCs/>
          <w:lang w:val="fr-FR"/>
        </w:rPr>
        <w:tab/>
      </w:r>
      <w:r w:rsidRPr="00C45C0A">
        <w:rPr>
          <w:rStyle w:val="Strong"/>
          <w:b w:val="0"/>
          <w:bCs w:val="0"/>
          <w:i/>
          <w:iCs/>
          <w:lang w:val="fr-FR"/>
        </w:rPr>
        <w:t>UN/SCETDG/62/INF.28 (SAAMI)</w:t>
      </w:r>
    </w:p>
    <w:p w14:paraId="4A4B7373" w14:textId="77777777" w:rsidR="001C2639" w:rsidRPr="003B78EA" w:rsidRDefault="001C2639" w:rsidP="001C2639">
      <w:pPr>
        <w:pStyle w:val="SingleTxtG"/>
        <w:spacing w:after="240"/>
        <w:ind w:left="1699" w:right="43"/>
        <w:rPr>
          <w:lang w:val="en-US"/>
        </w:rPr>
      </w:pPr>
      <w:r w:rsidRPr="003B78EA">
        <w:rPr>
          <w:b/>
          <w:bCs/>
          <w:u w:val="single"/>
          <w:lang w:val="en-US"/>
        </w:rPr>
        <w:t>Discussion:</w:t>
      </w:r>
      <w:r w:rsidRPr="003B78EA">
        <w:rPr>
          <w:lang w:val="en-US"/>
        </w:rPr>
        <w:t xml:space="preserve">  </w:t>
      </w:r>
      <w:r>
        <w:rPr>
          <w:lang w:val="en-US"/>
        </w:rPr>
        <w:t>AEISG</w:t>
      </w:r>
      <w:r w:rsidRPr="003B78EA">
        <w:rPr>
          <w:lang w:val="en-US"/>
        </w:rPr>
        <w:t xml:space="preserve"> introduced 2023/17</w:t>
      </w:r>
      <w:r>
        <w:rPr>
          <w:lang w:val="en-US"/>
        </w:rPr>
        <w:t>,</w:t>
      </w:r>
      <w:r w:rsidRPr="003B78EA">
        <w:rPr>
          <w:lang w:val="en-US"/>
        </w:rPr>
        <w:t xml:space="preserve"> which </w:t>
      </w:r>
      <w:r w:rsidRPr="003B78EA">
        <w:t xml:space="preserve">raised </w:t>
      </w:r>
      <w:r>
        <w:rPr>
          <w:lang w:val="en-US"/>
        </w:rPr>
        <w:t>several</w:t>
      </w:r>
      <w:r w:rsidRPr="003B78EA">
        <w:t xml:space="preserve"> issues of potential confusion or unintended consequences related to the changes</w:t>
      </w:r>
      <w:r w:rsidRPr="003B78EA">
        <w:rPr>
          <w:lang w:val="en-US"/>
        </w:rPr>
        <w:t xml:space="preserve"> adopted in Chapter 2.17 (Desensitized explosives) of the GHS and to section 51 of the Manual of Tests and Criteria.   USA appreciated the clarification from </w:t>
      </w:r>
      <w:r>
        <w:rPr>
          <w:lang w:val="en-US"/>
        </w:rPr>
        <w:t>AEISG</w:t>
      </w:r>
      <w:r w:rsidRPr="003B78EA">
        <w:rPr>
          <w:lang w:val="en-US"/>
        </w:rPr>
        <w:t xml:space="preserve"> and stated that </w:t>
      </w:r>
      <w:r>
        <w:rPr>
          <w:lang w:val="en-US"/>
        </w:rPr>
        <w:t xml:space="preserve">in the current GHS scheme </w:t>
      </w:r>
      <w:r w:rsidRPr="003B78EA">
        <w:rPr>
          <w:lang w:val="en-US"/>
        </w:rPr>
        <w:t>the burning rate test override</w:t>
      </w:r>
      <w:r>
        <w:rPr>
          <w:lang w:val="en-US"/>
        </w:rPr>
        <w:t>s</w:t>
      </w:r>
      <w:r w:rsidRPr="003B78EA">
        <w:rPr>
          <w:lang w:val="en-US"/>
        </w:rPr>
        <w:t xml:space="preserve"> Test Series 2 regarding the determination if </w:t>
      </w:r>
      <w:r>
        <w:rPr>
          <w:lang w:val="en-US"/>
        </w:rPr>
        <w:t>an explosive is sufficiently desensitized.</w:t>
      </w:r>
      <w:r w:rsidRPr="003B78EA">
        <w:rPr>
          <w:lang w:val="en-US"/>
        </w:rPr>
        <w:t xml:space="preserve">  CEFIC </w:t>
      </w:r>
      <w:r>
        <w:rPr>
          <w:lang w:val="en-US"/>
        </w:rPr>
        <w:t>noted</w:t>
      </w:r>
      <w:r w:rsidRPr="003B78EA">
        <w:rPr>
          <w:lang w:val="en-US"/>
        </w:rPr>
        <w:t xml:space="preserve"> that the purpose of the burning rate test in the GHS was intended for storage, not transportation.  The group discussed if the burning rate alone</w:t>
      </w:r>
      <w:r>
        <w:rPr>
          <w:lang w:val="en-US"/>
        </w:rPr>
        <w:t>,</w:t>
      </w:r>
      <w:r w:rsidRPr="003B78EA">
        <w:rPr>
          <w:lang w:val="en-US"/>
        </w:rPr>
        <w:t xml:space="preserve"> as written</w:t>
      </w:r>
      <w:r>
        <w:rPr>
          <w:lang w:val="en-US"/>
        </w:rPr>
        <w:t>,</w:t>
      </w:r>
      <w:r w:rsidRPr="003B78EA">
        <w:rPr>
          <w:lang w:val="en-US"/>
        </w:rPr>
        <w:t xml:space="preserve"> can determine if a substance is an explosive regardless of the results of Test Series 2.  </w:t>
      </w:r>
    </w:p>
    <w:p w14:paraId="4B98CD55" w14:textId="77777777" w:rsidR="001C2639" w:rsidRPr="003B78EA" w:rsidRDefault="001C2639" w:rsidP="001C2639">
      <w:pPr>
        <w:pStyle w:val="SingleTxtG"/>
        <w:spacing w:after="240"/>
        <w:ind w:left="1699" w:right="43"/>
        <w:rPr>
          <w:lang w:val="en-US"/>
        </w:rPr>
      </w:pPr>
      <w:r>
        <w:rPr>
          <w:lang w:val="en-US"/>
        </w:rPr>
        <w:t>AEISG</w:t>
      </w:r>
      <w:r w:rsidRPr="003B78EA">
        <w:rPr>
          <w:lang w:val="en-US"/>
        </w:rPr>
        <w:t xml:space="preserve"> displayed the decision logic diagram 2.17.1 and called attention to specific language in the diagram: “Not classified as desensitized explosive Classify in accordance with chapter 2.1 “Explosive” and stated this is inconsistent with “NOTE </w:t>
      </w:r>
      <w:r w:rsidRPr="003B78EA">
        <w:t>2.17.2.2</w:t>
      </w:r>
      <w:r w:rsidRPr="003B78EA">
        <w:rPr>
          <w:lang w:val="en-US"/>
        </w:rPr>
        <w:t xml:space="preserve">:  Phlegmatized explosives which do not meet the criteria of 2.17.2.2 should be classified as explosives (see chapter 2.1).”  Germany </w:t>
      </w:r>
      <w:r>
        <w:rPr>
          <w:lang w:val="en-US"/>
        </w:rPr>
        <w:t>disagreed</w:t>
      </w:r>
      <w:r w:rsidRPr="003B78EA">
        <w:rPr>
          <w:lang w:val="en-US"/>
        </w:rPr>
        <w:t xml:space="preserve">. </w:t>
      </w:r>
    </w:p>
    <w:p w14:paraId="400A0574" w14:textId="77777777" w:rsidR="001C2639" w:rsidRPr="006D2BB2" w:rsidRDefault="001C2639" w:rsidP="001C2639">
      <w:pPr>
        <w:pStyle w:val="SingleTxtG"/>
        <w:spacing w:after="240"/>
        <w:ind w:left="1699" w:right="43"/>
        <w:rPr>
          <w:lang w:val="en-US"/>
        </w:rPr>
      </w:pPr>
      <w:r w:rsidRPr="006D2BB2">
        <w:rPr>
          <w:lang w:val="en-US"/>
        </w:rPr>
        <w:lastRenderedPageBreak/>
        <w:t>Regarding the proposal in paragraph 14 of 2023/17</w:t>
      </w:r>
      <w:r>
        <w:rPr>
          <w:lang w:val="en-US"/>
        </w:rPr>
        <w:t xml:space="preserve"> to delete the note on nitrocellulose,</w:t>
      </w:r>
      <w:r w:rsidRPr="006D2BB2">
        <w:rPr>
          <w:lang w:val="en-US"/>
        </w:rPr>
        <w:t xml:space="preserve"> CEFIC </w:t>
      </w:r>
      <w:r>
        <w:rPr>
          <w:lang w:val="en-US"/>
        </w:rPr>
        <w:t>suggested</w:t>
      </w:r>
      <w:r w:rsidRPr="006D2BB2">
        <w:rPr>
          <w:lang w:val="en-US"/>
        </w:rPr>
        <w:t xml:space="preserve"> alternatively naming specific known diluents to the note rather than striking it.  The United Kingdom stated that while there is confidence </w:t>
      </w:r>
      <w:r>
        <w:rPr>
          <w:lang w:val="en-US"/>
        </w:rPr>
        <w:t>in</w:t>
      </w:r>
      <w:r w:rsidRPr="006D2BB2">
        <w:rPr>
          <w:lang w:val="en-US"/>
        </w:rPr>
        <w:t xml:space="preserve"> the diluents in the suggested change</w:t>
      </w:r>
      <w:r>
        <w:rPr>
          <w:lang w:val="en-US"/>
        </w:rPr>
        <w:t>, the current wording may not ensure future diluents deliver an equivalent level of safety.</w:t>
      </w:r>
      <w:r w:rsidRPr="006D2BB2">
        <w:rPr>
          <w:lang w:val="en-US"/>
        </w:rPr>
        <w:t xml:space="preserve">  </w:t>
      </w:r>
      <w:r>
        <w:rPr>
          <w:lang w:val="en-US"/>
        </w:rPr>
        <w:t xml:space="preserve">SAAMI stated that full deletion of the note would result in unintended consequences.  </w:t>
      </w:r>
      <w:r w:rsidRPr="00D72C23">
        <w:rPr>
          <w:lang w:val="en-US"/>
        </w:rPr>
        <w:t>With SAAMI dissenting, the group agreed to recommend</w:t>
      </w:r>
      <w:r w:rsidRPr="006D2BB2">
        <w:rPr>
          <w:lang w:val="en-US"/>
        </w:rPr>
        <w:t xml:space="preserve"> that the Proposal in paragraph 14 be accepted. </w:t>
      </w:r>
    </w:p>
    <w:p w14:paraId="5B80093B" w14:textId="77777777" w:rsidR="001C2639" w:rsidRPr="008C0D27" w:rsidRDefault="001C2639" w:rsidP="001C2639">
      <w:pPr>
        <w:pStyle w:val="SingleTxtG"/>
        <w:spacing w:after="240"/>
        <w:ind w:left="1699" w:right="43"/>
        <w:rPr>
          <w:lang w:val="en-US"/>
        </w:rPr>
      </w:pPr>
      <w:r w:rsidRPr="008C0D27">
        <w:rPr>
          <w:lang w:val="en-US"/>
        </w:rPr>
        <w:t xml:space="preserve">The group discussed the proposal </w:t>
      </w:r>
      <w:r>
        <w:rPr>
          <w:lang w:val="en-US"/>
        </w:rPr>
        <w:t xml:space="preserve">regarding the burning rate test </w:t>
      </w:r>
      <w:r w:rsidRPr="008C0D27">
        <w:rPr>
          <w:lang w:val="en-US"/>
        </w:rPr>
        <w:t>in paragraph 15 of 2023/17</w:t>
      </w:r>
      <w:r>
        <w:rPr>
          <w:lang w:val="en-US"/>
        </w:rPr>
        <w:t>,</w:t>
      </w:r>
      <w:r w:rsidRPr="008C0D27">
        <w:rPr>
          <w:lang w:val="en-US"/>
        </w:rPr>
        <w:t xml:space="preserve"> and no opposition</w:t>
      </w:r>
      <w:r>
        <w:rPr>
          <w:lang w:val="en-US"/>
        </w:rPr>
        <w:t xml:space="preserve"> to it</w:t>
      </w:r>
      <w:r w:rsidRPr="008C0D27">
        <w:rPr>
          <w:lang w:val="en-US"/>
        </w:rPr>
        <w:t xml:space="preserve"> was voiced.  </w:t>
      </w:r>
    </w:p>
    <w:p w14:paraId="59EF1152" w14:textId="77777777" w:rsidR="001C2639" w:rsidRDefault="001C2639" w:rsidP="001C2639">
      <w:pPr>
        <w:pStyle w:val="SingleTxtG"/>
        <w:spacing w:after="240"/>
        <w:ind w:left="1699" w:right="43"/>
        <w:rPr>
          <w:lang w:val="en-US"/>
        </w:rPr>
      </w:pPr>
      <w:r w:rsidRPr="002E6336">
        <w:rPr>
          <w:lang w:val="en-US"/>
        </w:rPr>
        <w:t xml:space="preserve">SAAMI asked the </w:t>
      </w:r>
      <w:r>
        <w:rPr>
          <w:lang w:val="en-US"/>
        </w:rPr>
        <w:t>group’s</w:t>
      </w:r>
      <w:r w:rsidRPr="002E6336">
        <w:rPr>
          <w:lang w:val="en-US"/>
        </w:rPr>
        <w:t xml:space="preserve"> view on it </w:t>
      </w:r>
      <w:r>
        <w:rPr>
          <w:lang w:val="en-US"/>
        </w:rPr>
        <w:t>writing</w:t>
      </w:r>
      <w:r w:rsidRPr="002E6336">
        <w:rPr>
          <w:lang w:val="en-US"/>
        </w:rPr>
        <w:t xml:space="preserve"> a paper on the GHS </w:t>
      </w:r>
      <w:r>
        <w:rPr>
          <w:lang w:val="en-US"/>
        </w:rPr>
        <w:t>burning rate</w:t>
      </w:r>
      <w:r w:rsidRPr="002E6336">
        <w:rPr>
          <w:lang w:val="en-US"/>
        </w:rPr>
        <w:t xml:space="preserve"> test and Test 6(c).  </w:t>
      </w:r>
      <w:r>
        <w:rPr>
          <w:lang w:val="en-US"/>
        </w:rPr>
        <w:t>AEISG</w:t>
      </w:r>
      <w:r w:rsidRPr="002E6336">
        <w:rPr>
          <w:lang w:val="en-US"/>
        </w:rPr>
        <w:t xml:space="preserve"> supported the idea but noted </w:t>
      </w:r>
      <w:r>
        <w:rPr>
          <w:lang w:val="en-US"/>
        </w:rPr>
        <w:t xml:space="preserve">that </w:t>
      </w:r>
      <w:r w:rsidRPr="002E6336">
        <w:rPr>
          <w:lang w:val="en-US"/>
        </w:rPr>
        <w:t>the two sets of criteria would need to be harmonized.  USA</w:t>
      </w:r>
      <w:r>
        <w:rPr>
          <w:lang w:val="en-US"/>
        </w:rPr>
        <w:t xml:space="preserve"> does not support this concept</w:t>
      </w:r>
      <w:r w:rsidRPr="002E6336">
        <w:rPr>
          <w:lang w:val="en-US"/>
        </w:rPr>
        <w:t xml:space="preserve"> as the GHS </w:t>
      </w:r>
      <w:r>
        <w:rPr>
          <w:lang w:val="en-US"/>
        </w:rPr>
        <w:t>burning rate</w:t>
      </w:r>
      <w:r w:rsidRPr="002E6336">
        <w:rPr>
          <w:lang w:val="en-US"/>
        </w:rPr>
        <w:t xml:space="preserve"> test was never intended to be used for transport classification.</w:t>
      </w:r>
      <w:r>
        <w:rPr>
          <w:lang w:val="en-US"/>
        </w:rPr>
        <w:t xml:space="preserve">  Further the USA stated some jurisdictions do not implement GHS,</w:t>
      </w:r>
      <w:r w:rsidRPr="002E6336">
        <w:rPr>
          <w:lang w:val="en-US"/>
        </w:rPr>
        <w:t xml:space="preserve"> </w:t>
      </w:r>
      <w:r>
        <w:rPr>
          <w:lang w:val="en-US"/>
        </w:rPr>
        <w:t>yet they could be asked to make transport decisions based on the test with uncertainty on whether it represents transport configurations as required in the 6(c) test.</w:t>
      </w:r>
      <w:r w:rsidRPr="002E6336">
        <w:rPr>
          <w:lang w:val="en-US"/>
        </w:rPr>
        <w:t xml:space="preserve"> Germany noted that in their experience</w:t>
      </w:r>
      <w:r>
        <w:rPr>
          <w:lang w:val="en-US"/>
        </w:rPr>
        <w:t>,</w:t>
      </w:r>
      <w:r w:rsidRPr="002E6336">
        <w:rPr>
          <w:lang w:val="en-US"/>
        </w:rPr>
        <w:t xml:space="preserve"> results </w:t>
      </w:r>
      <w:r>
        <w:rPr>
          <w:lang w:val="en-US"/>
        </w:rPr>
        <w:t>are</w:t>
      </w:r>
      <w:r w:rsidRPr="002E6336">
        <w:rPr>
          <w:lang w:val="en-US"/>
        </w:rPr>
        <w:t xml:space="preserve"> higher in the 6(c)</w:t>
      </w:r>
      <w:r>
        <w:rPr>
          <w:lang w:val="en-US"/>
        </w:rPr>
        <w:t>,</w:t>
      </w:r>
      <w:r w:rsidRPr="002E6336">
        <w:rPr>
          <w:lang w:val="en-US"/>
        </w:rPr>
        <w:t xml:space="preserve"> but if those conservative results are acceptable to the tester, then those results could satisfy GHS.  The EWG supported a discussion on the matter at future meetings.  </w:t>
      </w:r>
    </w:p>
    <w:p w14:paraId="43785E6A" w14:textId="77777777" w:rsidR="001C2639" w:rsidRPr="00661B50" w:rsidRDefault="001C2639" w:rsidP="001C2639">
      <w:pPr>
        <w:pStyle w:val="SingleTxtG"/>
        <w:spacing w:after="240"/>
        <w:ind w:left="1699" w:right="43"/>
        <w:rPr>
          <w:lang w:val="en-US"/>
        </w:rPr>
      </w:pPr>
      <w:r w:rsidRPr="002E6336">
        <w:rPr>
          <w:lang w:val="en-US"/>
        </w:rPr>
        <w:t>SAAMI then asked the EWG what factors need</w:t>
      </w:r>
      <w:r>
        <w:rPr>
          <w:lang w:val="en-US"/>
        </w:rPr>
        <w:t>ed</w:t>
      </w:r>
      <w:r w:rsidRPr="002E6336">
        <w:rPr>
          <w:lang w:val="en-US"/>
        </w:rPr>
        <w:t xml:space="preserve"> to be considered to align UNMR with the GHS’s de minimis value of 300 J/g, below which a mixture would </w:t>
      </w:r>
      <w:r>
        <w:rPr>
          <w:lang w:val="en-US"/>
        </w:rPr>
        <w:t xml:space="preserve">not </w:t>
      </w:r>
      <w:r w:rsidRPr="002E6336">
        <w:rPr>
          <w:lang w:val="en-US"/>
        </w:rPr>
        <w:t xml:space="preserve">be a desensitized explosive.  The USA noted it </w:t>
      </w:r>
      <w:r>
        <w:rPr>
          <w:lang w:val="en-US"/>
        </w:rPr>
        <w:t>had</w:t>
      </w:r>
      <w:r w:rsidRPr="002E6336">
        <w:rPr>
          <w:lang w:val="en-US"/>
        </w:rPr>
        <w:t xml:space="preserve"> started a research project to look at the matter</w:t>
      </w:r>
      <w:r>
        <w:rPr>
          <w:lang w:val="en-US"/>
        </w:rPr>
        <w:t xml:space="preserve"> and</w:t>
      </w:r>
      <w:r w:rsidRPr="002E6336">
        <w:rPr>
          <w:lang w:val="en-US"/>
        </w:rPr>
        <w:t xml:space="preserve"> </w:t>
      </w:r>
      <w:r>
        <w:rPr>
          <w:lang w:val="en-US"/>
        </w:rPr>
        <w:t>believes</w:t>
      </w:r>
      <w:r w:rsidRPr="002E6336">
        <w:rPr>
          <w:lang w:val="en-US"/>
        </w:rPr>
        <w:t xml:space="preserve"> an energy content threshold alone is </w:t>
      </w:r>
      <w:r>
        <w:rPr>
          <w:lang w:val="en-US"/>
        </w:rPr>
        <w:t>insufficient</w:t>
      </w:r>
      <w:r w:rsidRPr="002E6336">
        <w:rPr>
          <w:lang w:val="en-US"/>
        </w:rPr>
        <w:t xml:space="preserve"> as it does not account for </w:t>
      </w:r>
      <w:r>
        <w:rPr>
          <w:lang w:val="en-US"/>
        </w:rPr>
        <w:t xml:space="preserve">the </w:t>
      </w:r>
      <w:r w:rsidRPr="002E6336">
        <w:rPr>
          <w:lang w:val="en-US"/>
        </w:rPr>
        <w:t xml:space="preserve">separation or stratification of material in transit or consider total volumes being transported.  Germany voiced concerns </w:t>
      </w:r>
      <w:r>
        <w:rPr>
          <w:lang w:val="en-US"/>
        </w:rPr>
        <w:t>about</w:t>
      </w:r>
      <w:r w:rsidRPr="002E6336">
        <w:rPr>
          <w:lang w:val="en-US"/>
        </w:rPr>
        <w:t xml:space="preserve"> security considerations.</w:t>
      </w:r>
    </w:p>
    <w:p w14:paraId="7BCAEA5C" w14:textId="77777777" w:rsidR="001C2639" w:rsidRPr="007F14EF" w:rsidRDefault="001C2639" w:rsidP="001C2639">
      <w:pPr>
        <w:pStyle w:val="SingleTxtG"/>
        <w:spacing w:after="240"/>
        <w:ind w:left="1701" w:right="43"/>
        <w:rPr>
          <w:lang w:val="en-US"/>
        </w:rPr>
      </w:pPr>
      <w:r w:rsidRPr="008C0D27">
        <w:rPr>
          <w:b/>
          <w:bCs/>
          <w:lang w:val="en-US"/>
        </w:rPr>
        <w:t xml:space="preserve">Conclusion:  </w:t>
      </w:r>
      <w:r w:rsidRPr="008C0D27">
        <w:rPr>
          <w:lang w:val="en-US"/>
        </w:rPr>
        <w:t xml:space="preserve">The EWG </w:t>
      </w:r>
      <w:r>
        <w:rPr>
          <w:lang w:val="en-US"/>
        </w:rPr>
        <w:t>did not reach</w:t>
      </w:r>
      <w:r w:rsidRPr="008C0D27">
        <w:rPr>
          <w:lang w:val="en-US"/>
        </w:rPr>
        <w:t xml:space="preserve"> a consensus for a recommendation for the proposal in paragraph 13 of 2023/17. </w:t>
      </w:r>
      <w:r>
        <w:rPr>
          <w:lang w:val="en-US"/>
        </w:rPr>
        <w:t>AEISG</w:t>
      </w:r>
      <w:r w:rsidRPr="008C0D27">
        <w:rPr>
          <w:lang w:val="en-US"/>
        </w:rPr>
        <w:t xml:space="preserve"> will take the comments from the EWG and revise </w:t>
      </w:r>
      <w:r>
        <w:rPr>
          <w:lang w:val="en-US"/>
        </w:rPr>
        <w:t>its</w:t>
      </w:r>
      <w:r w:rsidRPr="008C0D27">
        <w:rPr>
          <w:lang w:val="en-US"/>
        </w:rPr>
        <w:t xml:space="preserve"> proposal for the next session.  The EWG recommended that the proposals </w:t>
      </w:r>
      <w:r>
        <w:rPr>
          <w:lang w:val="en-US"/>
        </w:rPr>
        <w:t xml:space="preserve">in </w:t>
      </w:r>
      <w:r w:rsidRPr="008C0D27">
        <w:rPr>
          <w:lang w:val="en-US"/>
        </w:rPr>
        <w:t>paragraphs 14 and 15 be accepted.</w:t>
      </w:r>
      <w:r>
        <w:rPr>
          <w:lang w:val="en-US"/>
        </w:rPr>
        <w:t xml:space="preserve"> </w:t>
      </w:r>
      <w:r w:rsidRPr="00944B80">
        <w:rPr>
          <w:lang w:val="en-US"/>
        </w:rPr>
        <w:t>See Amendment</w:t>
      </w:r>
      <w:r w:rsidRPr="00D86F6A">
        <w:rPr>
          <w:lang w:val="en-US"/>
        </w:rPr>
        <w:t xml:space="preserve"> </w:t>
      </w:r>
      <w:r>
        <w:rPr>
          <w:lang w:val="en-US"/>
        </w:rPr>
        <w:t>3</w:t>
      </w:r>
      <w:r w:rsidRPr="00D86F6A">
        <w:rPr>
          <w:lang w:val="en-US"/>
        </w:rPr>
        <w:t xml:space="preserve"> in Annex 2.  </w:t>
      </w:r>
    </w:p>
    <w:p w14:paraId="328DD42B" w14:textId="77777777" w:rsidR="001C2639" w:rsidRPr="00FB185D" w:rsidRDefault="001C2639" w:rsidP="003C5ADC">
      <w:pPr>
        <w:pStyle w:val="SingleTxtG"/>
        <w:keepNext/>
        <w:numPr>
          <w:ilvl w:val="0"/>
          <w:numId w:val="18"/>
        </w:numPr>
        <w:spacing w:after="240"/>
        <w:ind w:right="43"/>
        <w:rPr>
          <w:u w:val="single"/>
          <w:lang w:val="en-US"/>
        </w:rPr>
      </w:pPr>
      <w:r w:rsidRPr="00FB185D">
        <w:rPr>
          <w:b/>
          <w:bCs/>
          <w:u w:val="single"/>
          <w:lang w:val="en-US"/>
        </w:rPr>
        <w:t>Subject.</w:t>
      </w:r>
      <w:r w:rsidRPr="00FB185D">
        <w:rPr>
          <w:lang w:val="en-US"/>
        </w:rPr>
        <w:t xml:space="preserve">  Proposal to amend the definition for Class 1 explosives</w:t>
      </w:r>
    </w:p>
    <w:p w14:paraId="06113C22" w14:textId="77777777" w:rsidR="001C2639" w:rsidRPr="00FB185D" w:rsidRDefault="001C2639" w:rsidP="001C2639">
      <w:pPr>
        <w:pStyle w:val="SingleTxtG"/>
        <w:keepNext/>
        <w:spacing w:after="240"/>
        <w:ind w:left="3700" w:right="43" w:hanging="2001"/>
        <w:jc w:val="left"/>
        <w:rPr>
          <w:i/>
          <w:iCs/>
          <w:lang w:val="en-US"/>
        </w:rPr>
      </w:pPr>
      <w:r w:rsidRPr="00FB185D">
        <w:rPr>
          <w:i/>
          <w:iCs/>
          <w:lang w:val="en-US"/>
        </w:rPr>
        <w:t>Document:</w:t>
      </w:r>
      <w:r w:rsidRPr="00FB185D">
        <w:rPr>
          <w:lang w:val="en-US"/>
        </w:rPr>
        <w:tab/>
      </w:r>
      <w:r w:rsidRPr="00FB185D">
        <w:rPr>
          <w:i/>
          <w:iCs/>
          <w:lang w:val="en-US"/>
        </w:rPr>
        <w:t>ST/SG/AC.10/C.3/2023/18 (AEISG)</w:t>
      </w:r>
    </w:p>
    <w:p w14:paraId="5E3C94E7" w14:textId="77777777" w:rsidR="001C2639" w:rsidRPr="00FB185D"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FB185D">
        <w:rPr>
          <w:i/>
          <w:iCs/>
          <w:lang w:val="en-US"/>
        </w:rPr>
        <w:t xml:space="preserve">Informal document:  </w:t>
      </w:r>
      <w:r w:rsidRPr="00FB185D">
        <w:rPr>
          <w:i/>
          <w:iCs/>
          <w:lang w:val="en-US"/>
        </w:rPr>
        <w:tab/>
        <w:t>None submitted.</w:t>
      </w:r>
    </w:p>
    <w:p w14:paraId="552956BB" w14:textId="77777777" w:rsidR="001C2639" w:rsidRPr="00F84495" w:rsidRDefault="001C2639" w:rsidP="001C2639">
      <w:pPr>
        <w:pStyle w:val="SingleTxtG"/>
        <w:spacing w:after="240"/>
        <w:ind w:left="1699" w:right="43"/>
        <w:rPr>
          <w:lang w:val="en-US"/>
        </w:rPr>
      </w:pPr>
      <w:r w:rsidRPr="00F84495">
        <w:rPr>
          <w:b/>
          <w:bCs/>
          <w:u w:val="single"/>
          <w:lang w:val="en-US"/>
        </w:rPr>
        <w:t>Discussion:</w:t>
      </w:r>
      <w:r w:rsidRPr="00F84495">
        <w:rPr>
          <w:lang w:val="en-US"/>
        </w:rPr>
        <w:t xml:space="preserve">  </w:t>
      </w:r>
      <w:r>
        <w:rPr>
          <w:lang w:val="en-US"/>
        </w:rPr>
        <w:t>AEISG</w:t>
      </w:r>
      <w:r w:rsidRPr="00F84495">
        <w:rPr>
          <w:lang w:val="en-US"/>
        </w:rPr>
        <w:t xml:space="preserve"> introduced 2023/18 with a proposal to rectify a potential inconsistency in the treatment of articles too dangerous to transport.  </w:t>
      </w:r>
      <w:r>
        <w:rPr>
          <w:lang w:val="en-US"/>
        </w:rPr>
        <w:t xml:space="preserve">The </w:t>
      </w:r>
      <w:r w:rsidRPr="00F84495">
        <w:rPr>
          <w:lang w:val="en-US"/>
        </w:rPr>
        <w:t xml:space="preserve">USA had concerns that the amendment </w:t>
      </w:r>
      <w:r>
        <w:rPr>
          <w:lang w:val="en-US"/>
        </w:rPr>
        <w:t>could</w:t>
      </w:r>
      <w:r w:rsidRPr="00F84495">
        <w:rPr>
          <w:lang w:val="en-US"/>
        </w:rPr>
        <w:t xml:space="preserve"> be interpreted to mean the article itself would need to be changed rather than the packaging. </w:t>
      </w:r>
      <w:r>
        <w:rPr>
          <w:lang w:val="en-US"/>
        </w:rPr>
        <w:t>AEISG</w:t>
      </w:r>
      <w:r w:rsidRPr="00F84495">
        <w:rPr>
          <w:lang w:val="en-US"/>
        </w:rPr>
        <w:t xml:space="preserve"> responded that the reader would go to the </w:t>
      </w:r>
      <w:r>
        <w:rPr>
          <w:lang w:val="en-US"/>
        </w:rPr>
        <w:t>MTC</w:t>
      </w:r>
      <w:r w:rsidRPr="00DF6C87">
        <w:rPr>
          <w:lang w:val="en-US"/>
        </w:rPr>
        <w:t>, which would guide them through that process, which</w:t>
      </w:r>
      <w:r w:rsidRPr="00F84495">
        <w:rPr>
          <w:lang w:val="en-US"/>
        </w:rPr>
        <w:t xml:space="preserve"> has the option of reworking the packaging.  </w:t>
      </w:r>
      <w:r>
        <w:rPr>
          <w:lang w:val="en-US"/>
        </w:rPr>
        <w:t xml:space="preserve">The </w:t>
      </w:r>
      <w:r w:rsidRPr="00F84495">
        <w:rPr>
          <w:lang w:val="en-US"/>
        </w:rPr>
        <w:t xml:space="preserve">USA agreed </w:t>
      </w:r>
      <w:r>
        <w:rPr>
          <w:lang w:val="en-US"/>
        </w:rPr>
        <w:t xml:space="preserve">that </w:t>
      </w:r>
      <w:r w:rsidRPr="00F84495">
        <w:rPr>
          <w:lang w:val="en-US"/>
        </w:rPr>
        <w:t xml:space="preserve">the testing regime and process </w:t>
      </w:r>
      <w:r>
        <w:rPr>
          <w:lang w:val="en-US"/>
        </w:rPr>
        <w:t>are</w:t>
      </w:r>
      <w:r w:rsidRPr="00F84495">
        <w:rPr>
          <w:lang w:val="en-US"/>
        </w:rPr>
        <w:t xml:space="preserve"> clear and </w:t>
      </w:r>
      <w:r>
        <w:rPr>
          <w:lang w:val="en-US"/>
        </w:rPr>
        <w:t>achieve</w:t>
      </w:r>
      <w:r w:rsidRPr="00F84495">
        <w:rPr>
          <w:lang w:val="en-US"/>
        </w:rPr>
        <w:t xml:space="preserve"> the goal without needing to amend the definition</w:t>
      </w:r>
      <w:r>
        <w:rPr>
          <w:lang w:val="en-US"/>
        </w:rPr>
        <w:t>,</w:t>
      </w:r>
      <w:r w:rsidRPr="00F84495">
        <w:rPr>
          <w:lang w:val="en-US"/>
        </w:rPr>
        <w:t xml:space="preserve"> which does not contain every contingency provided in the </w:t>
      </w:r>
      <w:r>
        <w:rPr>
          <w:lang w:val="en-US"/>
        </w:rPr>
        <w:t>MTC</w:t>
      </w:r>
      <w:r w:rsidRPr="00F84495">
        <w:rPr>
          <w:lang w:val="en-US"/>
        </w:rPr>
        <w:t xml:space="preserve">.  Sweden noted that the </w:t>
      </w:r>
      <w:r>
        <w:rPr>
          <w:lang w:val="en-US"/>
        </w:rPr>
        <w:t xml:space="preserve">word “devices” is used in the </w:t>
      </w:r>
      <w:r w:rsidRPr="00F84495">
        <w:rPr>
          <w:lang w:val="en-US"/>
        </w:rPr>
        <w:t>definition in GHS</w:t>
      </w:r>
      <w:r>
        <w:rPr>
          <w:lang w:val="en-US"/>
        </w:rPr>
        <w:t>,</w:t>
      </w:r>
      <w:r w:rsidRPr="00F84495">
        <w:rPr>
          <w:lang w:val="en-US"/>
        </w:rPr>
        <w:t xml:space="preserve"> </w:t>
      </w:r>
      <w:r>
        <w:rPr>
          <w:lang w:val="en-US"/>
        </w:rPr>
        <w:t>which</w:t>
      </w:r>
      <w:r w:rsidRPr="00F84495">
        <w:rPr>
          <w:lang w:val="en-US"/>
        </w:rPr>
        <w:t xml:space="preserve"> would require amendment there as well</w:t>
      </w:r>
      <w:r>
        <w:rPr>
          <w:lang w:val="en-US"/>
        </w:rPr>
        <w:t xml:space="preserve"> if the word “devices” is deleted</w:t>
      </w:r>
      <w:r w:rsidRPr="00F84495">
        <w:rPr>
          <w:lang w:val="en-US"/>
        </w:rPr>
        <w:t xml:space="preserve">. CEFIC voiced support for the proposal. </w:t>
      </w:r>
      <w:r>
        <w:rPr>
          <w:lang w:val="en-US"/>
        </w:rPr>
        <w:t>AEISG stressed that the amendment to the definition of Class 1 explosives has no impact on the definition of the Class of explosives in the GHS and the EWG confirmed this.</w:t>
      </w:r>
    </w:p>
    <w:p w14:paraId="2DF12498" w14:textId="77777777" w:rsidR="001C2639" w:rsidRPr="00477EF6" w:rsidRDefault="001C2639" w:rsidP="001C2639">
      <w:pPr>
        <w:pStyle w:val="SingleTxtG"/>
        <w:spacing w:after="240"/>
        <w:ind w:left="1701" w:right="43"/>
        <w:rPr>
          <w:lang w:val="en-US"/>
        </w:rPr>
      </w:pPr>
      <w:r w:rsidRPr="00477EF6">
        <w:rPr>
          <w:b/>
          <w:bCs/>
          <w:u w:val="single"/>
          <w:lang w:val="en-US"/>
        </w:rPr>
        <w:t>Conclusion:</w:t>
      </w:r>
      <w:r w:rsidRPr="00477EF6">
        <w:rPr>
          <w:lang w:val="en-US"/>
        </w:rPr>
        <w:t xml:space="preserve">  The majority of the EWG supported </w:t>
      </w:r>
      <w:r>
        <w:rPr>
          <w:lang w:val="en-US"/>
        </w:rPr>
        <w:t xml:space="preserve">the </w:t>
      </w:r>
      <w:r w:rsidRPr="00477EF6">
        <w:rPr>
          <w:lang w:val="en-US"/>
        </w:rPr>
        <w:t xml:space="preserve">proposal as amended.  See Amendment 4 in Annex 2.  </w:t>
      </w:r>
    </w:p>
    <w:p w14:paraId="17159AD6" w14:textId="77777777" w:rsidR="001C2639" w:rsidRPr="00477EF6" w:rsidRDefault="001C2639" w:rsidP="003C5ADC">
      <w:pPr>
        <w:pStyle w:val="SingleTxtG"/>
        <w:keepNext/>
        <w:numPr>
          <w:ilvl w:val="0"/>
          <w:numId w:val="18"/>
        </w:numPr>
        <w:spacing w:after="240"/>
        <w:ind w:right="43"/>
        <w:rPr>
          <w:lang w:val="en-US"/>
        </w:rPr>
      </w:pPr>
      <w:r w:rsidRPr="00477EF6">
        <w:rPr>
          <w:b/>
          <w:bCs/>
          <w:u w:val="single"/>
          <w:lang w:val="en-US"/>
        </w:rPr>
        <w:lastRenderedPageBreak/>
        <w:t>Subject.</w:t>
      </w:r>
      <w:r w:rsidRPr="00477EF6">
        <w:rPr>
          <w:lang w:val="en-US"/>
        </w:rPr>
        <w:t xml:space="preserve">  Proposal to extend the entry for UN 3375 to provide for all potential packing groups</w:t>
      </w:r>
    </w:p>
    <w:p w14:paraId="32E1BF63" w14:textId="77777777" w:rsidR="001C2639" w:rsidRPr="00C45C0A" w:rsidRDefault="001C2639" w:rsidP="001C2639">
      <w:pPr>
        <w:pStyle w:val="SingleTxtG"/>
        <w:keepNext/>
        <w:spacing w:after="240"/>
        <w:ind w:left="3700" w:right="43" w:hanging="2001"/>
        <w:jc w:val="left"/>
        <w:rPr>
          <w:i/>
          <w:iCs/>
          <w:lang w:val="fr-FR"/>
        </w:rPr>
      </w:pPr>
      <w:r w:rsidRPr="00C45C0A">
        <w:rPr>
          <w:i/>
          <w:iCs/>
          <w:lang w:val="fr-FR"/>
        </w:rPr>
        <w:t>Document:</w:t>
      </w:r>
      <w:r w:rsidRPr="00C45C0A">
        <w:rPr>
          <w:lang w:val="fr-FR"/>
        </w:rPr>
        <w:tab/>
      </w:r>
      <w:r w:rsidRPr="00C45C0A">
        <w:rPr>
          <w:i/>
          <w:iCs/>
          <w:lang w:val="fr-FR"/>
        </w:rPr>
        <w:t xml:space="preserve">ST/SG/AC.10/C.3/2023/19 (AEISG) </w:t>
      </w:r>
    </w:p>
    <w:p w14:paraId="197802EC" w14:textId="77777777" w:rsidR="001C2639" w:rsidRPr="00C45C0A" w:rsidRDefault="001C2639" w:rsidP="001C2639">
      <w:pPr>
        <w:pStyle w:val="SingleTxtG"/>
        <w:keepNext/>
        <w:spacing w:after="240"/>
        <w:ind w:left="3700" w:right="43" w:hanging="2001"/>
        <w:rPr>
          <w:rStyle w:val="Hyperlink"/>
          <w:rFonts w:ascii="Calibri" w:eastAsia="Calibri" w:hAnsi="Calibri" w:cs="Calibri"/>
          <w:b/>
          <w:bCs/>
          <w:sz w:val="24"/>
          <w:szCs w:val="24"/>
          <w:lang w:val="fr-FR"/>
        </w:rPr>
      </w:pPr>
      <w:r w:rsidRPr="00C45C0A">
        <w:rPr>
          <w:i/>
          <w:iCs/>
          <w:lang w:val="fr-FR"/>
        </w:rPr>
        <w:t xml:space="preserve">Informal document: </w:t>
      </w:r>
      <w:r w:rsidRPr="00C45C0A">
        <w:rPr>
          <w:i/>
          <w:iCs/>
          <w:lang w:val="fr-FR"/>
        </w:rPr>
        <w:tab/>
        <w:t>UN/SCETDG/62/INF.19 (Sweden)</w:t>
      </w:r>
    </w:p>
    <w:p w14:paraId="2C14D5ED" w14:textId="77777777" w:rsidR="001C2639" w:rsidRPr="002330C7" w:rsidRDefault="001C2639" w:rsidP="001C2639">
      <w:pPr>
        <w:pStyle w:val="SingleTxtG"/>
        <w:spacing w:after="240"/>
        <w:ind w:left="1701" w:right="43"/>
        <w:rPr>
          <w:lang w:val="en-US"/>
        </w:rPr>
      </w:pPr>
      <w:r w:rsidRPr="002330C7">
        <w:rPr>
          <w:b/>
          <w:bCs/>
          <w:u w:val="single"/>
          <w:lang w:val="en-US"/>
        </w:rPr>
        <w:t>Discussion</w:t>
      </w:r>
      <w:r w:rsidRPr="002330C7">
        <w:rPr>
          <w:u w:val="single"/>
          <w:lang w:val="en-US"/>
        </w:rPr>
        <w:t>:</w:t>
      </w:r>
      <w:r w:rsidRPr="002330C7">
        <w:rPr>
          <w:lang w:val="en-US"/>
        </w:rPr>
        <w:t xml:space="preserve">  </w:t>
      </w:r>
      <w:r>
        <w:rPr>
          <w:lang w:val="en-US"/>
        </w:rPr>
        <w:t>AEISG</w:t>
      </w:r>
      <w:r w:rsidRPr="002330C7">
        <w:rPr>
          <w:lang w:val="en-US"/>
        </w:rPr>
        <w:t xml:space="preserve"> introduced 2023/19 and commented on the appropriateness of the O2 and O3 tests despite ANEs being relatively oxygen balanced</w:t>
      </w:r>
      <w:r>
        <w:rPr>
          <w:lang w:val="en-US"/>
        </w:rPr>
        <w:t>, however, AEISG was following guidance from the EWG during the 43</w:t>
      </w:r>
      <w:r w:rsidRPr="004735E3">
        <w:rPr>
          <w:vertAlign w:val="superscript"/>
          <w:lang w:val="en-US"/>
        </w:rPr>
        <w:t>rd</w:t>
      </w:r>
      <w:r>
        <w:rPr>
          <w:lang w:val="en-US"/>
        </w:rPr>
        <w:t xml:space="preserve"> session</w:t>
      </w:r>
      <w:r w:rsidRPr="002330C7">
        <w:rPr>
          <w:lang w:val="en-US"/>
        </w:rPr>
        <w:t xml:space="preserve"> and</w:t>
      </w:r>
      <w:r>
        <w:rPr>
          <w:lang w:val="en-US"/>
        </w:rPr>
        <w:t xml:space="preserve"> further</w:t>
      </w:r>
      <w:r w:rsidRPr="002330C7">
        <w:rPr>
          <w:lang w:val="en-US"/>
        </w:rPr>
        <w:t xml:space="preserve"> pointed out that the tests conducted do show differences</w:t>
      </w:r>
      <w:r>
        <w:rPr>
          <w:lang w:val="en-US"/>
        </w:rPr>
        <w:t xml:space="preserve"> in burning rates</w:t>
      </w:r>
      <w:r w:rsidRPr="002330C7">
        <w:rPr>
          <w:lang w:val="en-US"/>
        </w:rPr>
        <w:t xml:space="preserve"> between the </w:t>
      </w:r>
      <w:r>
        <w:rPr>
          <w:lang w:val="en-US"/>
        </w:rPr>
        <w:t>various</w:t>
      </w:r>
      <w:r w:rsidRPr="002330C7">
        <w:rPr>
          <w:lang w:val="en-US"/>
        </w:rPr>
        <w:t xml:space="preserve"> ANEs tested.  Given the variation in results amongst the different ANE formulations</w:t>
      </w:r>
      <w:r>
        <w:rPr>
          <w:lang w:val="en-US"/>
        </w:rPr>
        <w:t>,</w:t>
      </w:r>
      <w:r w:rsidRPr="002330C7">
        <w:rPr>
          <w:lang w:val="en-US"/>
        </w:rPr>
        <w:t xml:space="preserve"> a single packing group should be questioned. </w:t>
      </w:r>
      <w:r>
        <w:rPr>
          <w:lang w:val="en-US"/>
        </w:rPr>
        <w:t>AEISG</w:t>
      </w:r>
      <w:r w:rsidRPr="002330C7">
        <w:rPr>
          <w:lang w:val="en-US"/>
        </w:rPr>
        <w:t xml:space="preserve"> clarified that its intention was not to</w:t>
      </w:r>
      <w:r>
        <w:rPr>
          <w:lang w:val="en-US"/>
        </w:rPr>
        <w:t xml:space="preserve"> enable ANEs to </w:t>
      </w:r>
      <w:r w:rsidRPr="002330C7">
        <w:rPr>
          <w:lang w:val="en-US"/>
        </w:rPr>
        <w:t>escape from entry</w:t>
      </w:r>
      <w:r>
        <w:rPr>
          <w:lang w:val="en-US"/>
        </w:rPr>
        <w:t xml:space="preserve"> UN</w:t>
      </w:r>
      <w:r w:rsidRPr="002330C7">
        <w:rPr>
          <w:lang w:val="en-US"/>
        </w:rPr>
        <w:t xml:space="preserve"> 3375 even when the oxidizer tests lead to the conclusion of “not an oxidizer.” </w:t>
      </w:r>
    </w:p>
    <w:p w14:paraId="365FB5CC" w14:textId="77777777" w:rsidR="001C2639" w:rsidRPr="002330C7" w:rsidRDefault="001C2639" w:rsidP="001C2639">
      <w:pPr>
        <w:pStyle w:val="SingleTxtG"/>
        <w:spacing w:after="240"/>
        <w:ind w:left="1701" w:right="43"/>
        <w:rPr>
          <w:lang w:val="en-US"/>
        </w:rPr>
      </w:pPr>
      <w:r w:rsidRPr="002330C7">
        <w:rPr>
          <w:lang w:val="en-US"/>
        </w:rPr>
        <w:t xml:space="preserve">Sweden </w:t>
      </w:r>
      <w:r>
        <w:rPr>
          <w:lang w:val="en-US"/>
        </w:rPr>
        <w:t>stated</w:t>
      </w:r>
      <w:r w:rsidRPr="002330C7">
        <w:rPr>
          <w:lang w:val="en-US"/>
        </w:rPr>
        <w:t xml:space="preserve"> that it does not believe a test for oxidizer </w:t>
      </w:r>
      <w:r>
        <w:rPr>
          <w:lang w:val="en-US"/>
        </w:rPr>
        <w:t>is</w:t>
      </w:r>
      <w:r w:rsidRPr="002330C7">
        <w:rPr>
          <w:lang w:val="en-US"/>
        </w:rPr>
        <w:t xml:space="preserve"> appropriate given the oxygen balance and the fact that </w:t>
      </w:r>
      <w:r>
        <w:rPr>
          <w:lang w:val="en-US"/>
        </w:rPr>
        <w:t>ANEs have</w:t>
      </w:r>
      <w:r w:rsidRPr="002330C7">
        <w:rPr>
          <w:lang w:val="en-US"/>
        </w:rPr>
        <w:t xml:space="preserve"> all the ingredients of an explosive</w:t>
      </w:r>
      <w:r>
        <w:rPr>
          <w:lang w:val="en-US"/>
        </w:rPr>
        <w:t>,</w:t>
      </w:r>
      <w:r w:rsidRPr="002330C7">
        <w:rPr>
          <w:lang w:val="en-US"/>
        </w:rPr>
        <w:t xml:space="preserve"> albeit very insensitive.</w:t>
      </w:r>
      <w:r>
        <w:rPr>
          <w:lang w:val="en-US"/>
        </w:rPr>
        <w:t xml:space="preserve">  Sweden considers the analogy to AN (UN 1942 and UN 2067) not to be appropriate, since AN is not oxygen balanced.</w:t>
      </w:r>
      <w:r w:rsidRPr="002330C7">
        <w:rPr>
          <w:lang w:val="en-US"/>
        </w:rPr>
        <w:t xml:space="preserve"> </w:t>
      </w:r>
      <w:r>
        <w:rPr>
          <w:lang w:val="en-US"/>
        </w:rPr>
        <w:t>Sweden currently</w:t>
      </w:r>
      <w:r w:rsidRPr="002330C7">
        <w:rPr>
          <w:lang w:val="en-US"/>
        </w:rPr>
        <w:t xml:space="preserve"> does not support the proposal.  </w:t>
      </w:r>
    </w:p>
    <w:p w14:paraId="10CE1EA4" w14:textId="77777777" w:rsidR="001C2639" w:rsidRPr="001923C0" w:rsidRDefault="001C2639" w:rsidP="001C2639">
      <w:pPr>
        <w:pStyle w:val="SingleTxtG"/>
        <w:spacing w:after="240"/>
        <w:ind w:left="1701" w:right="43"/>
        <w:rPr>
          <w:lang w:val="en-US"/>
        </w:rPr>
      </w:pPr>
      <w:r>
        <w:rPr>
          <w:lang w:val="en-US"/>
        </w:rPr>
        <w:t xml:space="preserve">The </w:t>
      </w:r>
      <w:r w:rsidRPr="001923C0">
        <w:rPr>
          <w:lang w:val="en-US"/>
        </w:rPr>
        <w:t xml:space="preserve">USA agreed with Sweden that oxidizer </w:t>
      </w:r>
      <w:r>
        <w:rPr>
          <w:lang w:val="en-US"/>
        </w:rPr>
        <w:t>tests</w:t>
      </w:r>
      <w:r w:rsidRPr="001923C0">
        <w:rPr>
          <w:lang w:val="en-US"/>
        </w:rPr>
        <w:t xml:space="preserve"> are not relevant</w:t>
      </w:r>
      <w:r>
        <w:rPr>
          <w:lang w:val="en-US"/>
        </w:rPr>
        <w:t xml:space="preserve"> and does not support the proposal to add additional packing groups</w:t>
      </w:r>
      <w:r w:rsidRPr="001923C0">
        <w:rPr>
          <w:lang w:val="en-US"/>
        </w:rPr>
        <w:t>.  USA noted that upon review of historical documents</w:t>
      </w:r>
      <w:r>
        <w:rPr>
          <w:lang w:val="en-US"/>
        </w:rPr>
        <w:t xml:space="preserve"> they believe </w:t>
      </w:r>
      <w:r w:rsidRPr="001923C0">
        <w:rPr>
          <w:lang w:val="en-US"/>
        </w:rPr>
        <w:t xml:space="preserve">PG II was decided </w:t>
      </w:r>
      <w:r>
        <w:rPr>
          <w:lang w:val="en-US"/>
        </w:rPr>
        <w:t>as a default reflecting</w:t>
      </w:r>
      <w:r w:rsidRPr="001923C0">
        <w:rPr>
          <w:lang w:val="en-US"/>
        </w:rPr>
        <w:t xml:space="preserve"> that ANEs are desensitized explosives.  Further, if there</w:t>
      </w:r>
      <w:r>
        <w:rPr>
          <w:lang w:val="en-US"/>
        </w:rPr>
        <w:t xml:space="preserve"> was</w:t>
      </w:r>
      <w:r w:rsidRPr="001923C0">
        <w:rPr>
          <w:lang w:val="en-US"/>
        </w:rPr>
        <w:t xml:space="preserve"> a need to delineate the risks of different ANE formulations</w:t>
      </w:r>
      <w:r>
        <w:rPr>
          <w:lang w:val="en-US"/>
        </w:rPr>
        <w:t>,</w:t>
      </w:r>
      <w:r w:rsidRPr="001923C0">
        <w:rPr>
          <w:lang w:val="en-US"/>
        </w:rPr>
        <w:t xml:space="preserve"> then</w:t>
      </w:r>
      <w:r>
        <w:rPr>
          <w:lang w:val="en-US"/>
        </w:rPr>
        <w:t xml:space="preserve"> testing to address the properties of emulsions as desensitized explosives rather than oxidizers would be more appropriate.</w:t>
      </w:r>
      <w:r w:rsidRPr="001923C0">
        <w:rPr>
          <w:lang w:val="en-US"/>
        </w:rPr>
        <w:t xml:space="preserve">  Germany did not support the proposal in 2023/19 and supported INF.19 and continued that the placement of ANEs into 5.1, while it was not the best place to put it, was the best solution working within the existing system and Ammonium Nitrate</w:t>
      </w:r>
      <w:r>
        <w:rPr>
          <w:lang w:val="en-US"/>
        </w:rPr>
        <w:t>, by contrast,</w:t>
      </w:r>
      <w:r w:rsidRPr="001923C0">
        <w:rPr>
          <w:lang w:val="en-US"/>
        </w:rPr>
        <w:t xml:space="preserve"> is clearly an oxidizer.  </w:t>
      </w:r>
      <w:r>
        <w:rPr>
          <w:lang w:val="en-US"/>
        </w:rPr>
        <w:t>AEISG</w:t>
      </w:r>
      <w:r w:rsidRPr="001923C0">
        <w:rPr>
          <w:lang w:val="en-US"/>
        </w:rPr>
        <w:t xml:space="preserve"> voiced the opinion that the original decision for PG</w:t>
      </w:r>
      <w:r>
        <w:rPr>
          <w:lang w:val="en-US"/>
        </w:rPr>
        <w:t xml:space="preserve"> </w:t>
      </w:r>
      <w:r w:rsidRPr="001923C0">
        <w:rPr>
          <w:lang w:val="en-US"/>
        </w:rPr>
        <w:t>II was arbitrary at the time and</w:t>
      </w:r>
      <w:r>
        <w:rPr>
          <w:lang w:val="en-US"/>
        </w:rPr>
        <w:t xml:space="preserve"> during the discussion provided additional oxidizer test results which demonstrate differences in ANE behavior. </w:t>
      </w:r>
    </w:p>
    <w:p w14:paraId="4E7A30A6" w14:textId="77777777" w:rsidR="001C2639" w:rsidRPr="001923C0" w:rsidRDefault="001C2639" w:rsidP="001C2639">
      <w:pPr>
        <w:pStyle w:val="SingleTxtG"/>
        <w:spacing w:after="240"/>
        <w:ind w:left="1701" w:right="43"/>
        <w:rPr>
          <w:lang w:val="en-US"/>
        </w:rPr>
      </w:pPr>
      <w:r w:rsidRPr="001923C0">
        <w:rPr>
          <w:lang w:val="en-US"/>
        </w:rPr>
        <w:t xml:space="preserve">United Kingdom voiced support for INF.19 and questioned if the oxidizer test can accurately diagnose the differences in formulation. </w:t>
      </w:r>
      <w:r>
        <w:rPr>
          <w:lang w:val="en-US"/>
        </w:rPr>
        <w:t>The United Kingdom suggested that should any revised proposal be submitted a</w:t>
      </w:r>
      <w:r w:rsidRPr="001923C0">
        <w:rPr>
          <w:lang w:val="en-US"/>
        </w:rPr>
        <w:t xml:space="preserve"> more detailed conversation </w:t>
      </w:r>
      <w:r>
        <w:rPr>
          <w:lang w:val="en-US"/>
        </w:rPr>
        <w:t xml:space="preserve">with a packaging expert will be required if appropriate </w:t>
      </w:r>
      <w:r w:rsidRPr="001923C0">
        <w:rPr>
          <w:lang w:val="en-US"/>
        </w:rPr>
        <w:t xml:space="preserve">Instructions or SPs are </w:t>
      </w:r>
      <w:r>
        <w:rPr>
          <w:lang w:val="en-US"/>
        </w:rPr>
        <w:t>to be specified.</w:t>
      </w:r>
      <w:r w:rsidRPr="001923C0">
        <w:rPr>
          <w:lang w:val="en-US"/>
        </w:rPr>
        <w:t xml:space="preserve">  </w:t>
      </w:r>
      <w:r>
        <w:rPr>
          <w:lang w:val="en-US"/>
        </w:rPr>
        <w:t>AEISG</w:t>
      </w:r>
      <w:r w:rsidRPr="001923C0">
        <w:rPr>
          <w:lang w:val="en-US"/>
        </w:rPr>
        <w:t xml:space="preserve"> agreed</w:t>
      </w:r>
      <w:r>
        <w:rPr>
          <w:lang w:val="en-US"/>
        </w:rPr>
        <w:t xml:space="preserve">. </w:t>
      </w:r>
    </w:p>
    <w:p w14:paraId="40A93D8D" w14:textId="77777777" w:rsidR="001C2639" w:rsidRPr="001923C0" w:rsidRDefault="001C2639" w:rsidP="001C2639">
      <w:pPr>
        <w:pStyle w:val="SingleTxtG"/>
        <w:spacing w:after="240"/>
        <w:ind w:left="1701" w:right="43"/>
        <w:rPr>
          <w:lang w:val="en-US"/>
        </w:rPr>
      </w:pPr>
      <w:r>
        <w:rPr>
          <w:lang w:val="en-US"/>
        </w:rPr>
        <w:t>AEISG</w:t>
      </w:r>
      <w:r w:rsidRPr="001923C0">
        <w:rPr>
          <w:lang w:val="en-US"/>
        </w:rPr>
        <w:t xml:space="preserve"> asked for </w:t>
      </w:r>
      <w:r>
        <w:rPr>
          <w:lang w:val="en-US"/>
        </w:rPr>
        <w:t>opinions on</w:t>
      </w:r>
      <w:r w:rsidRPr="001923C0">
        <w:rPr>
          <w:lang w:val="en-US"/>
        </w:rPr>
        <w:t xml:space="preserve"> what a better means of testing would be to distinguish between ANEs.  USA stated that this could also mean that ANEs would require additional testing to prove they do not belong in PG</w:t>
      </w:r>
      <w:r>
        <w:rPr>
          <w:lang w:val="en-US"/>
        </w:rPr>
        <w:t xml:space="preserve"> </w:t>
      </w:r>
      <w:r w:rsidRPr="001923C0">
        <w:rPr>
          <w:lang w:val="en-US"/>
        </w:rPr>
        <w:t>I and rather PG</w:t>
      </w:r>
      <w:r>
        <w:rPr>
          <w:lang w:val="en-US"/>
        </w:rPr>
        <w:t xml:space="preserve"> </w:t>
      </w:r>
      <w:r w:rsidRPr="001923C0">
        <w:rPr>
          <w:lang w:val="en-US"/>
        </w:rPr>
        <w:t>II.</w:t>
      </w:r>
      <w:r>
        <w:rPr>
          <w:lang w:val="en-US"/>
        </w:rPr>
        <w:t xml:space="preserve">  The USA stated that delineating relative risk of various ANEs may require testing that takes into account both the ANE and the type of tank or configuration e.g.</w:t>
      </w:r>
      <w:r w:rsidRPr="001923C0">
        <w:rPr>
          <w:lang w:val="en-US"/>
        </w:rPr>
        <w:t xml:space="preserve"> </w:t>
      </w:r>
      <w:r>
        <w:rPr>
          <w:lang w:val="en-US"/>
        </w:rPr>
        <w:t>related</w:t>
      </w:r>
      <w:r w:rsidRPr="001923C0">
        <w:rPr>
          <w:lang w:val="en-US"/>
        </w:rPr>
        <w:t xml:space="preserve"> to how long </w:t>
      </w:r>
      <w:r>
        <w:rPr>
          <w:lang w:val="en-US"/>
        </w:rPr>
        <w:t>a tank can</w:t>
      </w:r>
      <w:r w:rsidRPr="001923C0">
        <w:rPr>
          <w:lang w:val="en-US"/>
        </w:rPr>
        <w:t xml:space="preserve"> </w:t>
      </w:r>
      <w:r>
        <w:rPr>
          <w:lang w:val="en-US"/>
        </w:rPr>
        <w:t>subjected to fire</w:t>
      </w:r>
      <w:r w:rsidRPr="001923C0">
        <w:rPr>
          <w:lang w:val="en-US"/>
        </w:rPr>
        <w:t xml:space="preserve"> before it is a problem</w:t>
      </w:r>
      <w:r>
        <w:rPr>
          <w:lang w:val="en-US"/>
        </w:rPr>
        <w:t>.</w:t>
      </w:r>
      <w:r w:rsidRPr="001923C0">
        <w:rPr>
          <w:lang w:val="en-US"/>
        </w:rPr>
        <w:t xml:space="preserve">  CEFIC commented on the complexity of how formulations will change a host of effects</w:t>
      </w:r>
      <w:r>
        <w:rPr>
          <w:lang w:val="en-US"/>
        </w:rPr>
        <w:t>,</w:t>
      </w:r>
      <w:r w:rsidRPr="001923C0">
        <w:rPr>
          <w:lang w:val="en-US"/>
        </w:rPr>
        <w:t xml:space="preserve"> and the oxidizer test does not capture these. </w:t>
      </w:r>
    </w:p>
    <w:p w14:paraId="37AB1D9E" w14:textId="77777777" w:rsidR="001C2639" w:rsidRPr="001923C0" w:rsidRDefault="001C2639" w:rsidP="001C2639">
      <w:pPr>
        <w:pStyle w:val="SingleTxtG"/>
        <w:spacing w:after="240"/>
        <w:ind w:left="1701" w:right="43"/>
        <w:rPr>
          <w:lang w:val="en-US"/>
        </w:rPr>
      </w:pPr>
      <w:r w:rsidRPr="001923C0">
        <w:rPr>
          <w:b/>
          <w:bCs/>
          <w:u w:val="single"/>
          <w:lang w:val="en-US"/>
        </w:rPr>
        <w:t>Conclusion:</w:t>
      </w:r>
      <w:r w:rsidRPr="001923C0">
        <w:rPr>
          <w:b/>
          <w:bCs/>
          <w:lang w:val="en-US"/>
        </w:rPr>
        <w:t xml:space="preserve">  </w:t>
      </w:r>
      <w:r w:rsidRPr="001923C0">
        <w:rPr>
          <w:lang w:val="en-US"/>
        </w:rPr>
        <w:t xml:space="preserve">There was </w:t>
      </w:r>
      <w:r>
        <w:rPr>
          <w:lang w:val="en-US"/>
        </w:rPr>
        <w:t>insufficient</w:t>
      </w:r>
      <w:r w:rsidRPr="001923C0">
        <w:rPr>
          <w:lang w:val="en-US"/>
        </w:rPr>
        <w:t xml:space="preserve"> support to accept this proposal, but the EWG supported </w:t>
      </w:r>
      <w:r>
        <w:rPr>
          <w:lang w:val="en-US"/>
        </w:rPr>
        <w:t>AEISG</w:t>
      </w:r>
      <w:r w:rsidRPr="001923C0">
        <w:rPr>
          <w:lang w:val="en-US"/>
        </w:rPr>
        <w:t xml:space="preserve"> </w:t>
      </w:r>
      <w:r>
        <w:rPr>
          <w:lang w:val="en-US"/>
        </w:rPr>
        <w:t xml:space="preserve">in </w:t>
      </w:r>
      <w:r w:rsidRPr="001923C0">
        <w:rPr>
          <w:lang w:val="en-US"/>
        </w:rPr>
        <w:t>pursuing other avenues and further work</w:t>
      </w:r>
      <w:r>
        <w:rPr>
          <w:lang w:val="en-US"/>
        </w:rPr>
        <w:t xml:space="preserve"> in this area</w:t>
      </w:r>
      <w:r w:rsidRPr="001923C0">
        <w:rPr>
          <w:lang w:val="en-US"/>
        </w:rPr>
        <w:t xml:space="preserve">.  </w:t>
      </w:r>
    </w:p>
    <w:p w14:paraId="3A9C169B" w14:textId="77777777" w:rsidR="001C2639" w:rsidRPr="00573FD4" w:rsidRDefault="001C2639" w:rsidP="003C5ADC">
      <w:pPr>
        <w:pStyle w:val="SingleTxtG"/>
        <w:keepNext/>
        <w:numPr>
          <w:ilvl w:val="0"/>
          <w:numId w:val="18"/>
        </w:numPr>
        <w:spacing w:after="240"/>
        <w:ind w:right="43"/>
        <w:rPr>
          <w:lang w:val="en-US"/>
        </w:rPr>
      </w:pPr>
      <w:r w:rsidRPr="00573FD4">
        <w:rPr>
          <w:b/>
          <w:bCs/>
          <w:u w:val="single"/>
          <w:lang w:val="en-US"/>
        </w:rPr>
        <w:t>Subject.</w:t>
      </w:r>
      <w:r w:rsidRPr="00573FD4">
        <w:rPr>
          <w:lang w:val="en-US"/>
        </w:rPr>
        <w:t xml:space="preserve">  </w:t>
      </w:r>
      <w:r w:rsidRPr="00573FD4">
        <w:rPr>
          <w:i/>
          <w:iCs/>
          <w:lang w:val="en-US"/>
        </w:rPr>
        <w:t>Packing instruction P130 and metal on metal contact between explosives and packaging</w:t>
      </w:r>
    </w:p>
    <w:p w14:paraId="111C1AD8" w14:textId="77777777" w:rsidR="001C2639" w:rsidRPr="00573FD4" w:rsidRDefault="001C2639" w:rsidP="001C2639">
      <w:pPr>
        <w:pStyle w:val="SingleTxtG"/>
        <w:keepNext/>
        <w:spacing w:after="240"/>
        <w:ind w:left="3700" w:right="43" w:hanging="2001"/>
        <w:jc w:val="left"/>
        <w:rPr>
          <w:i/>
          <w:iCs/>
          <w:lang w:val="en-US"/>
        </w:rPr>
      </w:pPr>
      <w:r w:rsidRPr="00573FD4">
        <w:rPr>
          <w:i/>
          <w:iCs/>
          <w:lang w:val="en-US"/>
        </w:rPr>
        <w:t>Document:</w:t>
      </w:r>
      <w:r w:rsidRPr="00573FD4">
        <w:rPr>
          <w:lang w:val="en-US"/>
        </w:rPr>
        <w:tab/>
      </w:r>
      <w:r w:rsidRPr="00573FD4">
        <w:rPr>
          <w:i/>
          <w:iCs/>
          <w:lang w:val="en-US"/>
        </w:rPr>
        <w:t xml:space="preserve">ST/SG/AC.10/C.3/2023/25 (SAAMI) </w:t>
      </w:r>
    </w:p>
    <w:p w14:paraId="7E3E7E79" w14:textId="77777777" w:rsidR="001C2639" w:rsidRPr="00573FD4"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573FD4">
        <w:rPr>
          <w:i/>
          <w:iCs/>
          <w:lang w:val="en-US"/>
        </w:rPr>
        <w:t xml:space="preserve">Informal document: </w:t>
      </w:r>
      <w:r w:rsidRPr="00573FD4">
        <w:rPr>
          <w:i/>
          <w:iCs/>
          <w:lang w:val="en-US"/>
        </w:rPr>
        <w:tab/>
        <w:t>None submitted.</w:t>
      </w:r>
    </w:p>
    <w:p w14:paraId="3E86D607" w14:textId="77777777" w:rsidR="001C2639" w:rsidRPr="00347B96" w:rsidRDefault="001C2639" w:rsidP="001C2639">
      <w:pPr>
        <w:pStyle w:val="SingleTxtG"/>
        <w:spacing w:after="240"/>
        <w:ind w:left="1701" w:right="43"/>
        <w:rPr>
          <w:lang w:val="en-US"/>
        </w:rPr>
      </w:pPr>
      <w:r w:rsidRPr="00347B96">
        <w:rPr>
          <w:b/>
          <w:bCs/>
          <w:u w:val="single"/>
          <w:lang w:val="en-US"/>
        </w:rPr>
        <w:t>Discussion</w:t>
      </w:r>
      <w:r w:rsidRPr="00347B96">
        <w:rPr>
          <w:u w:val="single"/>
          <w:lang w:val="en-US"/>
        </w:rPr>
        <w:t>:</w:t>
      </w:r>
      <w:r w:rsidRPr="00347B96">
        <w:rPr>
          <w:lang w:val="en-US"/>
        </w:rPr>
        <w:t xml:space="preserve">  SAAMI introduced 2023/25</w:t>
      </w:r>
      <w:r>
        <w:rPr>
          <w:lang w:val="en-US"/>
        </w:rPr>
        <w:t>,</w:t>
      </w:r>
      <w:r w:rsidRPr="00347B96">
        <w:rPr>
          <w:lang w:val="en-US"/>
        </w:rPr>
        <w:t xml:space="preserve"> in which they requested clarification on the </w:t>
      </w:r>
      <w:r>
        <w:rPr>
          <w:lang w:val="en-US"/>
        </w:rPr>
        <w:t>Special Packing Provisions for Class 1</w:t>
      </w:r>
      <w:r w:rsidRPr="00347B96">
        <w:rPr>
          <w:lang w:val="en-US"/>
        </w:rPr>
        <w:t xml:space="preserve"> </w:t>
      </w:r>
      <w:r>
        <w:rPr>
          <w:lang w:val="en-US"/>
        </w:rPr>
        <w:t>concerning</w:t>
      </w:r>
      <w:r w:rsidRPr="00347B96">
        <w:rPr>
          <w:lang w:val="en-US"/>
        </w:rPr>
        <w:t xml:space="preserve"> the filling of metal </w:t>
      </w:r>
      <w:r>
        <w:rPr>
          <w:lang w:val="en-US"/>
        </w:rPr>
        <w:t>packaging</w:t>
      </w:r>
      <w:r w:rsidRPr="00347B96">
        <w:rPr>
          <w:lang w:val="en-US"/>
        </w:rPr>
        <w:t xml:space="preserve"> with explosives articles made of metal.  Specifically, </w:t>
      </w:r>
      <w:r>
        <w:rPr>
          <w:lang w:val="en-US"/>
        </w:rPr>
        <w:t xml:space="preserve">it asked </w:t>
      </w:r>
      <w:r w:rsidRPr="00347B96">
        <w:rPr>
          <w:lang w:val="en-US"/>
        </w:rPr>
        <w:t xml:space="preserve">whether plastic bags or other inner </w:t>
      </w:r>
      <w:r>
        <w:rPr>
          <w:lang w:val="en-US"/>
        </w:rPr>
        <w:t>packaging</w:t>
      </w:r>
      <w:r w:rsidRPr="00347B96">
        <w:rPr>
          <w:lang w:val="en-US"/>
        </w:rPr>
        <w:t xml:space="preserve"> should be required to prevent contact between metal </w:t>
      </w:r>
      <w:r>
        <w:rPr>
          <w:lang w:val="en-US"/>
        </w:rPr>
        <w:t>packaging</w:t>
      </w:r>
      <w:r w:rsidRPr="00347B96">
        <w:rPr>
          <w:lang w:val="en-US"/>
        </w:rPr>
        <w:t xml:space="preserve"> and metal explosive articles when the metal explosive articles are allowed to be in contact with each other in large quantities </w:t>
      </w:r>
      <w:r>
        <w:rPr>
          <w:lang w:val="en-US"/>
        </w:rPr>
        <w:t>according to packing instruction 130.</w:t>
      </w:r>
      <w:r w:rsidRPr="00347B96">
        <w:rPr>
          <w:lang w:val="en-US"/>
        </w:rPr>
        <w:t xml:space="preserve">  </w:t>
      </w:r>
    </w:p>
    <w:p w14:paraId="55CD9DF0" w14:textId="77777777" w:rsidR="001C2639" w:rsidRPr="007F14EF" w:rsidRDefault="001C2639" w:rsidP="001C2639">
      <w:pPr>
        <w:pStyle w:val="SingleTxtG"/>
        <w:spacing w:after="240"/>
        <w:ind w:left="1701" w:right="43"/>
        <w:rPr>
          <w:highlight w:val="yellow"/>
          <w:lang w:val="en-US"/>
        </w:rPr>
      </w:pPr>
      <w:r w:rsidRPr="00E41A67">
        <w:rPr>
          <w:lang w:val="en-US"/>
        </w:rPr>
        <w:lastRenderedPageBreak/>
        <w:t xml:space="preserve">CEFIC noted that dissimilar metals </w:t>
      </w:r>
      <w:r>
        <w:rPr>
          <w:lang w:val="en-US"/>
        </w:rPr>
        <w:t>could</w:t>
      </w:r>
      <w:r w:rsidRPr="00E41A67">
        <w:rPr>
          <w:lang w:val="en-US"/>
        </w:rPr>
        <w:t xml:space="preserve"> cause</w:t>
      </w:r>
      <w:r>
        <w:rPr>
          <w:lang w:val="en-US"/>
        </w:rPr>
        <w:t xml:space="preserve"> triboelectric effects </w:t>
      </w:r>
      <w:r w:rsidRPr="00E41A67">
        <w:rPr>
          <w:lang w:val="en-US"/>
        </w:rPr>
        <w:t xml:space="preserve">and </w:t>
      </w:r>
      <w:r>
        <w:rPr>
          <w:lang w:val="en-US"/>
        </w:rPr>
        <w:t>possibly act as</w:t>
      </w:r>
      <w:r w:rsidRPr="00E41A67">
        <w:rPr>
          <w:lang w:val="en-US"/>
        </w:rPr>
        <w:t xml:space="preserve"> an ignition source</w:t>
      </w:r>
      <w:r>
        <w:rPr>
          <w:lang w:val="en-US"/>
        </w:rPr>
        <w:t>.</w:t>
      </w:r>
      <w:r w:rsidRPr="00E41A67">
        <w:rPr>
          <w:lang w:val="en-US"/>
        </w:rPr>
        <w:t xml:space="preserve">  </w:t>
      </w:r>
      <w:r>
        <w:rPr>
          <w:lang w:val="en-US"/>
        </w:rPr>
        <w:t xml:space="preserve">SAAMI stated this is not a credible initiation scenario.  </w:t>
      </w:r>
      <w:r w:rsidRPr="00E41A67">
        <w:rPr>
          <w:lang w:val="en-US"/>
        </w:rPr>
        <w:t xml:space="preserve">COSTHA </w:t>
      </w:r>
      <w:r>
        <w:rPr>
          <w:lang w:val="en-US"/>
        </w:rPr>
        <w:t>pointed out</w:t>
      </w:r>
      <w:r w:rsidRPr="00E41A67">
        <w:rPr>
          <w:lang w:val="en-US"/>
        </w:rPr>
        <w:t xml:space="preserve"> that this would be beneficial </w:t>
      </w:r>
      <w:r>
        <w:rPr>
          <w:lang w:val="en-US"/>
        </w:rPr>
        <w:t>for</w:t>
      </w:r>
      <w:r w:rsidRPr="00E41A67">
        <w:rPr>
          <w:lang w:val="en-US"/>
        </w:rPr>
        <w:t xml:space="preserve"> </w:t>
      </w:r>
      <w:r>
        <w:rPr>
          <w:lang w:val="en-US"/>
        </w:rPr>
        <w:t>applications</w:t>
      </w:r>
      <w:r w:rsidRPr="00E41A67">
        <w:rPr>
          <w:lang w:val="en-US"/>
        </w:rPr>
        <w:t xml:space="preserve"> beyond ammunition.  The United Kingdom noted that the photo depiction of ammo in a steel drum is a painted drum, and this paint causes it not to be metal to metal.  The United Kingdom’s experience with metal </w:t>
      </w:r>
      <w:r>
        <w:rPr>
          <w:lang w:val="en-US"/>
        </w:rPr>
        <w:t>packaging</w:t>
      </w:r>
      <w:r w:rsidRPr="00E41A67">
        <w:rPr>
          <w:lang w:val="en-US"/>
        </w:rPr>
        <w:t xml:space="preserve"> have shown hundreds of approvals of articles directly in metal containers with no issue and would support further discussion.  USA held that it is not mutually exclusive to say there is no requirement for an inner packaging and no </w:t>
      </w:r>
      <w:r>
        <w:rPr>
          <w:lang w:val="en-US"/>
        </w:rPr>
        <w:t>metal-to-metal</w:t>
      </w:r>
      <w:r w:rsidRPr="00E41A67">
        <w:rPr>
          <w:lang w:val="en-US"/>
        </w:rPr>
        <w:t xml:space="preserve"> contact.  Further</w:t>
      </w:r>
      <w:r>
        <w:rPr>
          <w:lang w:val="en-US"/>
        </w:rPr>
        <w:t xml:space="preserve">, ensuring </w:t>
      </w:r>
      <w:r w:rsidRPr="00E41A67">
        <w:rPr>
          <w:lang w:val="en-US"/>
        </w:rPr>
        <w:t>shifting is avoided by dunnage or packing material</w:t>
      </w:r>
      <w:r>
        <w:rPr>
          <w:lang w:val="en-US"/>
        </w:rPr>
        <w:t xml:space="preserve"> may be just or more important than avoiding metal-to-metal contact, though someof these concerns are addressed on a case by case basis through the drop test</w:t>
      </w:r>
      <w:r w:rsidRPr="00E41A67">
        <w:rPr>
          <w:lang w:val="en-US"/>
        </w:rPr>
        <w:t xml:space="preserve">.  US </w:t>
      </w:r>
      <w:r>
        <w:rPr>
          <w:lang w:val="en-US"/>
        </w:rPr>
        <w:t>DOD be</w:t>
      </w:r>
      <w:r w:rsidRPr="00E41A67">
        <w:rPr>
          <w:lang w:val="en-US"/>
        </w:rPr>
        <w:t xml:space="preserve">st practice is </w:t>
      </w:r>
      <w:r>
        <w:rPr>
          <w:lang w:val="en-US"/>
        </w:rPr>
        <w:t xml:space="preserve">to </w:t>
      </w:r>
      <w:r w:rsidRPr="00E41A67">
        <w:rPr>
          <w:lang w:val="en-US"/>
        </w:rPr>
        <w:t>avoid metal on metal</w:t>
      </w:r>
      <w:r>
        <w:rPr>
          <w:lang w:val="en-US"/>
        </w:rPr>
        <w:t>,</w:t>
      </w:r>
      <w:r w:rsidRPr="00E41A67">
        <w:rPr>
          <w:lang w:val="en-US"/>
        </w:rPr>
        <w:t xml:space="preserve"> </w:t>
      </w:r>
      <w:r>
        <w:rPr>
          <w:lang w:val="en-US"/>
        </w:rPr>
        <w:t>so if exceptions are made they should be explicit.</w:t>
      </w:r>
      <w:r w:rsidRPr="00E41A67">
        <w:rPr>
          <w:lang w:val="en-US"/>
        </w:rPr>
        <w:t xml:space="preserve">   Belgium echoed the opinion that paint is a valid barrier</w:t>
      </w:r>
      <w:r>
        <w:rPr>
          <w:lang w:val="en-US"/>
        </w:rPr>
        <w:t>,</w:t>
      </w:r>
      <w:r w:rsidRPr="00E41A67">
        <w:rPr>
          <w:lang w:val="en-US"/>
        </w:rPr>
        <w:t xml:space="preserve"> and if the packaging is reused</w:t>
      </w:r>
      <w:r>
        <w:rPr>
          <w:lang w:val="en-US"/>
        </w:rPr>
        <w:t>,</w:t>
      </w:r>
      <w:r w:rsidRPr="00E41A67">
        <w:rPr>
          <w:lang w:val="en-US"/>
        </w:rPr>
        <w:t xml:space="preserve"> it needs to be periodically inspected.  </w:t>
      </w:r>
      <w:r w:rsidRPr="00C61452">
        <w:rPr>
          <w:lang w:val="en-US"/>
        </w:rPr>
        <w:t xml:space="preserve">Sweden suggested that specific UN numbers be identified in any proposal for which it is </w:t>
      </w:r>
      <w:r w:rsidRPr="00FE764D">
        <w:rPr>
          <w:lang w:val="en-US"/>
        </w:rPr>
        <w:t>appropriate. Canada commented that if there is a specific provision for small arms ammunition</w:t>
      </w:r>
      <w:r>
        <w:rPr>
          <w:lang w:val="en-US"/>
        </w:rPr>
        <w:t>,</w:t>
      </w:r>
      <w:r w:rsidRPr="00FE764D">
        <w:rPr>
          <w:lang w:val="en-US"/>
        </w:rPr>
        <w:t xml:space="preserve"> a provision</w:t>
      </w:r>
      <w:r>
        <w:rPr>
          <w:lang w:val="en-US"/>
        </w:rPr>
        <w:t xml:space="preserve"> to coat the metal packaging</w:t>
      </w:r>
      <w:r w:rsidRPr="00FE764D">
        <w:rPr>
          <w:lang w:val="en-US"/>
        </w:rPr>
        <w:t xml:space="preserve"> would be a good idea. </w:t>
      </w:r>
    </w:p>
    <w:p w14:paraId="4C30E065" w14:textId="77777777" w:rsidR="001C2639" w:rsidRPr="007C0265" w:rsidRDefault="001C2639" w:rsidP="001C2639">
      <w:pPr>
        <w:pStyle w:val="SingleTxtG"/>
        <w:spacing w:after="240"/>
        <w:ind w:left="1701" w:right="43"/>
        <w:rPr>
          <w:lang w:val="en-US"/>
        </w:rPr>
      </w:pPr>
      <w:r>
        <w:rPr>
          <w:lang w:val="en-US"/>
        </w:rPr>
        <w:t>AEISG</w:t>
      </w:r>
      <w:r w:rsidRPr="007C0265">
        <w:rPr>
          <w:lang w:val="en-US"/>
        </w:rPr>
        <w:t xml:space="preserve"> noted that their Australian defense contacts indicated </w:t>
      </w:r>
      <w:r>
        <w:rPr>
          <w:lang w:val="en-US"/>
        </w:rPr>
        <w:t xml:space="preserve">contact between metal articles and </w:t>
      </w:r>
      <w:r w:rsidRPr="007C0265">
        <w:rPr>
          <w:lang w:val="en-US"/>
        </w:rPr>
        <w:t xml:space="preserve">metal packaging </w:t>
      </w:r>
      <w:r>
        <w:rPr>
          <w:lang w:val="en-US"/>
        </w:rPr>
        <w:t>has</w:t>
      </w:r>
      <w:r w:rsidRPr="007C0265">
        <w:rPr>
          <w:lang w:val="en-US"/>
        </w:rPr>
        <w:t xml:space="preserve"> been used for a long time with no issue.  </w:t>
      </w:r>
      <w:r>
        <w:rPr>
          <w:lang w:val="en-US"/>
        </w:rPr>
        <w:t>AEISG</w:t>
      </w:r>
      <w:r w:rsidRPr="007C0265">
        <w:rPr>
          <w:lang w:val="en-US"/>
        </w:rPr>
        <w:t xml:space="preserve"> supported addressing ammunition but not necessarily all </w:t>
      </w:r>
      <w:r>
        <w:rPr>
          <w:lang w:val="en-US"/>
        </w:rPr>
        <w:t>metal-to-metal</w:t>
      </w:r>
      <w:r w:rsidRPr="007C0265">
        <w:rPr>
          <w:lang w:val="en-US"/>
        </w:rPr>
        <w:t xml:space="preserve"> scenarios. </w:t>
      </w:r>
    </w:p>
    <w:p w14:paraId="0A1D653A" w14:textId="77777777" w:rsidR="001C2639" w:rsidRPr="008B0639" w:rsidRDefault="001C2639" w:rsidP="001C2639">
      <w:pPr>
        <w:pStyle w:val="SingleTxtG"/>
        <w:spacing w:after="240"/>
        <w:ind w:left="1701" w:right="43"/>
        <w:rPr>
          <w:lang w:val="en-US"/>
        </w:rPr>
      </w:pPr>
      <w:r w:rsidRPr="008B0639">
        <w:rPr>
          <w:b/>
          <w:bCs/>
          <w:u w:val="single"/>
          <w:lang w:val="en-US"/>
        </w:rPr>
        <w:t>Conclusion:</w:t>
      </w:r>
      <w:r w:rsidRPr="008B0639">
        <w:rPr>
          <w:b/>
          <w:bCs/>
          <w:lang w:val="en-US"/>
        </w:rPr>
        <w:t xml:space="preserve">  </w:t>
      </w:r>
      <w:r w:rsidRPr="008B0639">
        <w:rPr>
          <w:lang w:val="en-US"/>
        </w:rPr>
        <w:t>The EWG supported the submission of a paper.</w:t>
      </w:r>
      <w:r w:rsidRPr="008B0639">
        <w:rPr>
          <w:b/>
          <w:bCs/>
          <w:lang w:val="en-US"/>
        </w:rPr>
        <w:t xml:space="preserve"> </w:t>
      </w:r>
      <w:r w:rsidRPr="008B0639">
        <w:rPr>
          <w:lang w:val="en-US"/>
        </w:rPr>
        <w:t>The EWG agreed that</w:t>
      </w:r>
      <w:r>
        <w:rPr>
          <w:lang w:val="en-US"/>
        </w:rPr>
        <w:t>,</w:t>
      </w:r>
      <w:r w:rsidRPr="008B0639">
        <w:rPr>
          <w:lang w:val="en-US"/>
        </w:rPr>
        <w:t xml:space="preserve"> in general</w:t>
      </w:r>
      <w:r>
        <w:rPr>
          <w:lang w:val="en-US"/>
        </w:rPr>
        <w:t>,</w:t>
      </w:r>
      <w:r w:rsidRPr="008B0639">
        <w:rPr>
          <w:lang w:val="en-US"/>
        </w:rPr>
        <w:t xml:space="preserve"> </w:t>
      </w:r>
      <w:r>
        <w:rPr>
          <w:lang w:val="en-US"/>
        </w:rPr>
        <w:t>metal-on-metal</w:t>
      </w:r>
      <w:r w:rsidRPr="008B0639">
        <w:rPr>
          <w:lang w:val="en-US"/>
        </w:rPr>
        <w:t xml:space="preserve"> contact should be avoided but recognized situations where it is not an issue</w:t>
      </w:r>
      <w:r>
        <w:rPr>
          <w:lang w:val="en-US"/>
        </w:rPr>
        <w:t>,</w:t>
      </w:r>
      <w:r w:rsidRPr="008B0639">
        <w:rPr>
          <w:lang w:val="en-US"/>
        </w:rPr>
        <w:t xml:space="preserve"> such as in pa</w:t>
      </w:r>
      <w:r>
        <w:rPr>
          <w:lang w:val="en-US"/>
        </w:rPr>
        <w:t>i</w:t>
      </w:r>
      <w:r w:rsidRPr="008B0639">
        <w:rPr>
          <w:lang w:val="en-US"/>
        </w:rPr>
        <w:t>nted drums or ammo cans.  If a proposal is made</w:t>
      </w:r>
      <w:r>
        <w:rPr>
          <w:lang w:val="en-US"/>
        </w:rPr>
        <w:t>,</w:t>
      </w:r>
      <w:r w:rsidRPr="008B0639">
        <w:rPr>
          <w:lang w:val="en-US"/>
        </w:rPr>
        <w:t xml:space="preserve"> the EWG suggested that only </w:t>
      </w:r>
      <w:r>
        <w:rPr>
          <w:lang w:val="en-US"/>
        </w:rPr>
        <w:t>specific</w:t>
      </w:r>
      <w:r w:rsidRPr="008B0639">
        <w:rPr>
          <w:lang w:val="en-US"/>
        </w:rPr>
        <w:t xml:space="preserve"> UN numbers should be included.  This could include small arms or others if appropriate. </w:t>
      </w:r>
    </w:p>
    <w:p w14:paraId="24C11014" w14:textId="77777777" w:rsidR="001C2639" w:rsidRPr="005C1852" w:rsidRDefault="001C2639" w:rsidP="003C5ADC">
      <w:pPr>
        <w:pStyle w:val="SingleTxtG"/>
        <w:keepNext/>
        <w:numPr>
          <w:ilvl w:val="0"/>
          <w:numId w:val="18"/>
        </w:numPr>
        <w:spacing w:after="240"/>
        <w:ind w:right="43"/>
        <w:rPr>
          <w:lang w:val="en-US"/>
        </w:rPr>
      </w:pPr>
      <w:r w:rsidRPr="005C1852">
        <w:rPr>
          <w:b/>
          <w:bCs/>
          <w:u w:val="single"/>
          <w:lang w:val="en-US"/>
        </w:rPr>
        <w:t>Subject.</w:t>
      </w:r>
      <w:r w:rsidRPr="005C1852">
        <w:rPr>
          <w:lang w:val="en-US"/>
        </w:rPr>
        <w:t xml:space="preserve">  Polymerizing </w:t>
      </w:r>
      <w:r>
        <w:rPr>
          <w:lang w:val="en-US"/>
        </w:rPr>
        <w:t>Substances</w:t>
      </w:r>
      <w:r w:rsidRPr="005C1852">
        <w:rPr>
          <w:lang w:val="en-US"/>
        </w:rPr>
        <w:t xml:space="preserve"> and Self Acceleration Polymerization Temperature</w:t>
      </w:r>
    </w:p>
    <w:p w14:paraId="1D9296F9" w14:textId="77777777" w:rsidR="001C2639" w:rsidRPr="005C1852" w:rsidRDefault="001C2639" w:rsidP="001C2639">
      <w:pPr>
        <w:pStyle w:val="SingleTxtG"/>
        <w:keepNext/>
        <w:spacing w:after="240"/>
        <w:ind w:left="3700" w:right="43" w:hanging="2001"/>
        <w:jc w:val="left"/>
        <w:rPr>
          <w:i/>
          <w:iCs/>
          <w:lang w:val="en-US"/>
        </w:rPr>
      </w:pPr>
      <w:r w:rsidRPr="005C1852">
        <w:rPr>
          <w:i/>
          <w:iCs/>
          <w:lang w:val="en-US"/>
        </w:rPr>
        <w:t>Document:</w:t>
      </w:r>
      <w:r w:rsidRPr="005C1852">
        <w:rPr>
          <w:lang w:val="en-US"/>
        </w:rPr>
        <w:tab/>
        <w:t>None submitted</w:t>
      </w:r>
      <w:r w:rsidRPr="005C1852">
        <w:rPr>
          <w:i/>
          <w:iCs/>
          <w:lang w:val="en-US"/>
        </w:rPr>
        <w:t xml:space="preserve"> </w:t>
      </w:r>
    </w:p>
    <w:p w14:paraId="1BB6A1C8" w14:textId="77777777" w:rsidR="001C2639" w:rsidRPr="005C1852"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5C1852">
        <w:rPr>
          <w:i/>
          <w:iCs/>
          <w:lang w:val="en-US"/>
        </w:rPr>
        <w:t xml:space="preserve">Informal document: </w:t>
      </w:r>
      <w:r w:rsidRPr="005C1852">
        <w:rPr>
          <w:i/>
          <w:iCs/>
          <w:lang w:val="en-US"/>
        </w:rPr>
        <w:tab/>
        <w:t>UN/SCEDTDG/62/INF.3 (CEFIC)</w:t>
      </w:r>
    </w:p>
    <w:p w14:paraId="48692888" w14:textId="77777777" w:rsidR="001C2639" w:rsidRPr="007F14EF" w:rsidRDefault="001C2639" w:rsidP="001C2639">
      <w:pPr>
        <w:pStyle w:val="SingleTxtG"/>
        <w:spacing w:after="240"/>
        <w:ind w:left="1701" w:right="43"/>
        <w:rPr>
          <w:highlight w:val="yellow"/>
          <w:lang w:val="en-US"/>
        </w:rPr>
      </w:pPr>
      <w:r w:rsidRPr="00BB7A45">
        <w:rPr>
          <w:b/>
          <w:bCs/>
          <w:u w:val="single"/>
          <w:lang w:val="en-US"/>
        </w:rPr>
        <w:t>Discussion</w:t>
      </w:r>
      <w:r w:rsidRPr="00BB7A45">
        <w:rPr>
          <w:u w:val="single"/>
          <w:lang w:val="en-US"/>
        </w:rPr>
        <w:t>:</w:t>
      </w:r>
      <w:r w:rsidRPr="00BB7A45">
        <w:rPr>
          <w:lang w:val="en-US"/>
        </w:rPr>
        <w:t xml:space="preserve">  CEFIC presented a slideshow to introduce INF.3.  </w:t>
      </w:r>
      <w:r>
        <w:rPr>
          <w:lang w:val="en-US"/>
        </w:rPr>
        <w:t>Background was a proposal submitted to IMO CCC8, document CCC8/6/11, in which it was proposed to require the SAPT to be included in the transport documentation.  SAAMI</w:t>
      </w:r>
      <w:r w:rsidRPr="00BB7A45">
        <w:rPr>
          <w:lang w:val="en-US"/>
        </w:rPr>
        <w:t xml:space="preserve"> noted that rocket motor stability studies look at </w:t>
      </w:r>
      <w:r>
        <w:rPr>
          <w:lang w:val="en-US"/>
        </w:rPr>
        <w:t xml:space="preserve">the </w:t>
      </w:r>
      <w:r w:rsidRPr="00BB7A45">
        <w:rPr>
          <w:lang w:val="en-US"/>
        </w:rPr>
        <w:t>time, temperature, and stabilizer depletion to determine an expiration date</w:t>
      </w:r>
      <w:r>
        <w:rPr>
          <w:lang w:val="en-US"/>
        </w:rPr>
        <w:t>,</w:t>
      </w:r>
      <w:r w:rsidRPr="00BB7A45">
        <w:rPr>
          <w:lang w:val="en-US"/>
        </w:rPr>
        <w:t xml:space="preserve"> and an expiration date would be a good idea for those receiving and storing polymerizing substances after </w:t>
      </w:r>
      <w:r w:rsidRPr="00BA1FB6">
        <w:rPr>
          <w:lang w:val="en-US"/>
        </w:rPr>
        <w:t>transport.  CEFIC requested an ICG to continue this work</w:t>
      </w:r>
      <w:r>
        <w:rPr>
          <w:lang w:val="en-US"/>
        </w:rPr>
        <w:t>.  CEFIC noted that SAPTs do not ensure safety, and t</w:t>
      </w:r>
      <w:r w:rsidRPr="00BA1FB6">
        <w:rPr>
          <w:lang w:val="en-US"/>
        </w:rPr>
        <w:t>here are industry best practices for ensuring stabilizer is present</w:t>
      </w:r>
      <w:r>
        <w:rPr>
          <w:lang w:val="en-US"/>
        </w:rPr>
        <w:t>,</w:t>
      </w:r>
      <w:r w:rsidRPr="00BA1FB6">
        <w:rPr>
          <w:lang w:val="en-US"/>
        </w:rPr>
        <w:t xml:space="preserve"> and this works very well</w:t>
      </w:r>
      <w:r>
        <w:rPr>
          <w:lang w:val="en-US"/>
        </w:rPr>
        <w:t>,</w:t>
      </w:r>
      <w:r w:rsidRPr="00BA1FB6">
        <w:rPr>
          <w:lang w:val="en-US"/>
        </w:rPr>
        <w:t xml:space="preserve"> but regulation needs to recognize these practices. </w:t>
      </w:r>
    </w:p>
    <w:p w14:paraId="0544D010" w14:textId="77777777" w:rsidR="001C2639" w:rsidRPr="00586D6B" w:rsidRDefault="001C2639" w:rsidP="001C2639">
      <w:pPr>
        <w:pStyle w:val="SingleTxtG"/>
        <w:spacing w:after="240"/>
        <w:ind w:left="1701" w:right="43"/>
        <w:rPr>
          <w:lang w:val="en-US"/>
        </w:rPr>
      </w:pPr>
      <w:r w:rsidRPr="0032415B">
        <w:rPr>
          <w:b/>
          <w:bCs/>
          <w:u w:val="single"/>
          <w:lang w:val="en-US"/>
        </w:rPr>
        <w:t>Conclusion:</w:t>
      </w:r>
      <w:r w:rsidRPr="0032415B">
        <w:rPr>
          <w:b/>
          <w:bCs/>
          <w:lang w:val="en-US"/>
        </w:rPr>
        <w:t xml:space="preserve">  </w:t>
      </w:r>
      <w:r w:rsidRPr="0032415B">
        <w:rPr>
          <w:lang w:val="en-US"/>
        </w:rPr>
        <w:t xml:space="preserve">The EWG agreed that specific SAPTs do not ensure </w:t>
      </w:r>
      <w:r>
        <w:rPr>
          <w:lang w:val="en-US"/>
        </w:rPr>
        <w:t xml:space="preserve">the </w:t>
      </w:r>
      <w:r w:rsidRPr="0032415B">
        <w:rPr>
          <w:lang w:val="en-US"/>
        </w:rPr>
        <w:t xml:space="preserve">safe transport of these polymerizing substances.  The EWG agreed that an ICG could work on evaluating industry best practices for ensuring stabilizer is present and effective </w:t>
      </w:r>
      <w:r>
        <w:rPr>
          <w:lang w:val="en-US"/>
        </w:rPr>
        <w:t>to</w:t>
      </w:r>
      <w:r w:rsidRPr="0032415B">
        <w:rPr>
          <w:lang w:val="en-US"/>
        </w:rPr>
        <w:t xml:space="preserve"> ensur</w:t>
      </w:r>
      <w:r>
        <w:rPr>
          <w:lang w:val="en-US"/>
        </w:rPr>
        <w:t>e</w:t>
      </w:r>
      <w:r w:rsidRPr="0032415B">
        <w:rPr>
          <w:lang w:val="en-US"/>
        </w:rPr>
        <w:t xml:space="preserve"> safety</w:t>
      </w:r>
      <w:r>
        <w:rPr>
          <w:lang w:val="en-US"/>
        </w:rPr>
        <w:t xml:space="preserve"> in transport</w:t>
      </w:r>
      <w:r w:rsidRPr="0032415B">
        <w:rPr>
          <w:lang w:val="en-US"/>
        </w:rPr>
        <w:t>. COSTHA, S</w:t>
      </w:r>
      <w:r>
        <w:rPr>
          <w:lang w:val="en-US"/>
        </w:rPr>
        <w:t>pain</w:t>
      </w:r>
      <w:r w:rsidRPr="0032415B">
        <w:rPr>
          <w:lang w:val="en-US"/>
        </w:rPr>
        <w:t xml:space="preserve">, </w:t>
      </w:r>
      <w:r w:rsidRPr="00586D6B">
        <w:rPr>
          <w:lang w:val="en-US"/>
        </w:rPr>
        <w:t>F</w:t>
      </w:r>
      <w:r>
        <w:rPr>
          <w:lang w:val="en-US"/>
        </w:rPr>
        <w:t>rance</w:t>
      </w:r>
      <w:r w:rsidRPr="00586D6B">
        <w:rPr>
          <w:lang w:val="en-US"/>
        </w:rPr>
        <w:t xml:space="preserve">, Germany, Netherlands, </w:t>
      </w:r>
      <w:r>
        <w:rPr>
          <w:lang w:val="en-US"/>
        </w:rPr>
        <w:t xml:space="preserve">Canada, USA, SAAMI, </w:t>
      </w:r>
      <w:r w:rsidRPr="00586D6B">
        <w:rPr>
          <w:lang w:val="en-US"/>
        </w:rPr>
        <w:t xml:space="preserve">and CEFIC agreed to participate </w:t>
      </w:r>
      <w:r>
        <w:rPr>
          <w:lang w:val="en-US"/>
        </w:rPr>
        <w:t>in</w:t>
      </w:r>
      <w:r w:rsidRPr="00586D6B">
        <w:rPr>
          <w:lang w:val="en-US"/>
        </w:rPr>
        <w:t xml:space="preserve"> this ICG.  </w:t>
      </w:r>
    </w:p>
    <w:p w14:paraId="3BEEA372" w14:textId="77777777" w:rsidR="001C2639" w:rsidRPr="00586D6B" w:rsidRDefault="001C2639" w:rsidP="003C5ADC">
      <w:pPr>
        <w:pStyle w:val="SingleTxtG"/>
        <w:keepNext/>
        <w:numPr>
          <w:ilvl w:val="0"/>
          <w:numId w:val="18"/>
        </w:numPr>
        <w:spacing w:after="240"/>
        <w:ind w:right="43"/>
        <w:rPr>
          <w:lang w:val="en-US"/>
        </w:rPr>
      </w:pPr>
      <w:r w:rsidRPr="00586D6B">
        <w:rPr>
          <w:b/>
          <w:bCs/>
          <w:u w:val="single"/>
          <w:lang w:val="en-US"/>
        </w:rPr>
        <w:t>Subject.</w:t>
      </w:r>
      <w:r w:rsidRPr="00586D6B">
        <w:rPr>
          <w:lang w:val="en-US"/>
        </w:rPr>
        <w:t xml:space="preserve">  </w:t>
      </w:r>
      <w:hyperlink r:id="rId20" w:history="1">
        <w:r w:rsidRPr="00586D6B">
          <w:rPr>
            <w:rStyle w:val="Hyperlink"/>
            <w:lang w:val="en-US"/>
          </w:rPr>
          <w:t xml:space="preserve">Report of the intersessional correspondence group on fireworks </w:t>
        </w:r>
      </w:hyperlink>
    </w:p>
    <w:p w14:paraId="4D0117A4" w14:textId="77777777" w:rsidR="001C2639" w:rsidRPr="00586D6B" w:rsidRDefault="001C2639" w:rsidP="001C2639">
      <w:pPr>
        <w:pStyle w:val="SingleTxtG"/>
        <w:keepNext/>
        <w:spacing w:after="240"/>
        <w:ind w:left="3700" w:right="43" w:hanging="2001"/>
        <w:jc w:val="left"/>
        <w:rPr>
          <w:i/>
          <w:iCs/>
          <w:lang w:val="en-US"/>
        </w:rPr>
      </w:pPr>
      <w:r w:rsidRPr="00586D6B">
        <w:rPr>
          <w:i/>
          <w:iCs/>
          <w:lang w:val="en-US"/>
        </w:rPr>
        <w:t>Document:</w:t>
      </w:r>
      <w:r w:rsidRPr="00586D6B">
        <w:rPr>
          <w:lang w:val="en-US"/>
        </w:rPr>
        <w:tab/>
      </w:r>
      <w:r w:rsidRPr="00586D6B">
        <w:rPr>
          <w:i/>
          <w:iCs/>
          <w:lang w:val="en-US"/>
        </w:rPr>
        <w:t>None submitted</w:t>
      </w:r>
    </w:p>
    <w:p w14:paraId="3DF4D681" w14:textId="77777777" w:rsidR="001C2639" w:rsidRPr="00586D6B"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586D6B">
        <w:rPr>
          <w:i/>
          <w:iCs/>
          <w:lang w:val="en-US"/>
        </w:rPr>
        <w:t xml:space="preserve">Informal document: </w:t>
      </w:r>
      <w:r w:rsidRPr="00586D6B">
        <w:rPr>
          <w:i/>
          <w:iCs/>
          <w:lang w:val="en-US"/>
        </w:rPr>
        <w:tab/>
        <w:t>UN/SCETDG/62/INF.5, (Chair of the Working group on explosives)</w:t>
      </w:r>
    </w:p>
    <w:p w14:paraId="74D5EA3A" w14:textId="77777777" w:rsidR="001C2639" w:rsidRPr="00D17921" w:rsidRDefault="001C2639" w:rsidP="001C2639">
      <w:pPr>
        <w:pStyle w:val="SingleTxtG"/>
        <w:spacing w:after="240"/>
        <w:ind w:left="1701" w:right="43"/>
        <w:rPr>
          <w:lang w:val="en-US"/>
        </w:rPr>
      </w:pPr>
      <w:r w:rsidRPr="00D17921">
        <w:rPr>
          <w:b/>
          <w:bCs/>
          <w:u w:val="single"/>
          <w:lang w:val="en-US"/>
        </w:rPr>
        <w:t>Discussion</w:t>
      </w:r>
      <w:r w:rsidRPr="00D17921">
        <w:rPr>
          <w:u w:val="single"/>
          <w:lang w:val="en-US"/>
        </w:rPr>
        <w:t>:</w:t>
      </w:r>
      <w:r w:rsidRPr="00D17921">
        <w:rPr>
          <w:lang w:val="en-US"/>
        </w:rPr>
        <w:t xml:space="preserve">  The Chair of the ICG reported on the work of the ICG on fireworks as detailed in INF.5.  and went on to request comments and suggestions for </w:t>
      </w:r>
      <w:r>
        <w:rPr>
          <w:lang w:val="en-US"/>
        </w:rPr>
        <w:t xml:space="preserve">the </w:t>
      </w:r>
      <w:r w:rsidRPr="00D17921">
        <w:rPr>
          <w:lang w:val="en-US"/>
        </w:rPr>
        <w:t xml:space="preserve">next steps from the EWG.  </w:t>
      </w:r>
    </w:p>
    <w:p w14:paraId="4D87AB54" w14:textId="77777777" w:rsidR="001C2639" w:rsidRPr="004C2858" w:rsidRDefault="001C2639" w:rsidP="001C2639">
      <w:pPr>
        <w:pStyle w:val="SingleTxtG"/>
        <w:spacing w:after="240"/>
        <w:ind w:left="1701" w:right="43"/>
        <w:rPr>
          <w:lang w:val="en-US"/>
        </w:rPr>
      </w:pPr>
      <w:r w:rsidRPr="000F09BA">
        <w:rPr>
          <w:lang w:val="en-US"/>
        </w:rPr>
        <w:t xml:space="preserve">The United Kingdom noted that the key changes it has encountered in fireworks </w:t>
      </w:r>
      <w:r>
        <w:rPr>
          <w:lang w:val="en-US"/>
        </w:rPr>
        <w:t>relate</w:t>
      </w:r>
      <w:r w:rsidRPr="000F09BA">
        <w:rPr>
          <w:lang w:val="en-US"/>
        </w:rPr>
        <w:t xml:space="preserve"> to nitrocellulose-based compositions and </w:t>
      </w:r>
      <w:r w:rsidRPr="00F0149F">
        <w:rPr>
          <w:lang w:val="en-US"/>
        </w:rPr>
        <w:t xml:space="preserve">evaluating default classifications for these types of fireworks appropriate.  Market surveillance has encountered quality control or complete </w:t>
      </w:r>
      <w:r>
        <w:rPr>
          <w:lang w:val="en-US"/>
        </w:rPr>
        <w:t>off-specification</w:t>
      </w:r>
      <w:r w:rsidRPr="00F0149F">
        <w:rPr>
          <w:lang w:val="en-US"/>
        </w:rPr>
        <w:t xml:space="preserve"> issues in products where products would meet the 1.1 default. </w:t>
      </w:r>
      <w:r w:rsidRPr="009149B4">
        <w:rPr>
          <w:lang w:val="en-US"/>
        </w:rPr>
        <w:t xml:space="preserve">Spain </w:t>
      </w:r>
      <w:r w:rsidRPr="00D26CC8">
        <w:rPr>
          <w:lang w:val="en-US"/>
        </w:rPr>
        <w:t xml:space="preserve">noted that </w:t>
      </w:r>
      <w:r>
        <w:rPr>
          <w:lang w:val="en-US"/>
        </w:rPr>
        <w:t>smoke-generating</w:t>
      </w:r>
      <w:r w:rsidRPr="00D26CC8">
        <w:rPr>
          <w:lang w:val="en-US"/>
        </w:rPr>
        <w:t xml:space="preserve"> </w:t>
      </w:r>
      <w:r w:rsidRPr="00D26CC8">
        <w:rPr>
          <w:lang w:val="en-US"/>
        </w:rPr>
        <w:lastRenderedPageBreak/>
        <w:t>devices are not in the default table</w:t>
      </w:r>
      <w:r>
        <w:rPr>
          <w:lang w:val="en-US"/>
        </w:rPr>
        <w:t>,</w:t>
      </w:r>
      <w:r w:rsidRPr="00D26CC8">
        <w:rPr>
          <w:lang w:val="en-US"/>
        </w:rPr>
        <w:t xml:space="preserve"> and this ha</w:t>
      </w:r>
      <w:r w:rsidRPr="00C33F85">
        <w:rPr>
          <w:lang w:val="en-US"/>
        </w:rPr>
        <w:t xml:space="preserve">s caused issues. Further, </w:t>
      </w:r>
      <w:r>
        <w:rPr>
          <w:lang w:val="en-US"/>
        </w:rPr>
        <w:t xml:space="preserve">the </w:t>
      </w:r>
      <w:r w:rsidRPr="00C33F85">
        <w:rPr>
          <w:lang w:val="en-US"/>
        </w:rPr>
        <w:t>witness screen specified material is not available on the market</w:t>
      </w:r>
      <w:r>
        <w:rPr>
          <w:lang w:val="en-US"/>
        </w:rPr>
        <w:t>, which</w:t>
      </w:r>
      <w:r w:rsidRPr="00C33F85">
        <w:rPr>
          <w:lang w:val="en-US"/>
        </w:rPr>
        <w:t xml:space="preserve"> is a problem for Spain.  Germany commented that there is concern about the testing language related to securing articles for testing as this may induce </w:t>
      </w:r>
      <w:r>
        <w:rPr>
          <w:lang w:val="en-US"/>
        </w:rPr>
        <w:t>undue</w:t>
      </w:r>
      <w:r w:rsidRPr="00C33F85">
        <w:rPr>
          <w:lang w:val="en-US"/>
        </w:rPr>
        <w:t xml:space="preserve"> confinement in the articles being </w:t>
      </w:r>
      <w:r w:rsidRPr="003B7BE5">
        <w:rPr>
          <w:lang w:val="en-US"/>
        </w:rPr>
        <w:t xml:space="preserve">tested.  There are also challenges with reorienting plates for testing to capture </w:t>
      </w:r>
      <w:r>
        <w:rPr>
          <w:lang w:val="en-US"/>
        </w:rPr>
        <w:t xml:space="preserve">the </w:t>
      </w:r>
      <w:r w:rsidRPr="004C2858">
        <w:rPr>
          <w:lang w:val="en-US"/>
        </w:rPr>
        <w:t xml:space="preserve">directional effects of fireworks. </w:t>
      </w:r>
    </w:p>
    <w:p w14:paraId="68C4A3E2" w14:textId="77777777" w:rsidR="001C2639" w:rsidRPr="004C2858" w:rsidRDefault="001C2639" w:rsidP="001C2639">
      <w:pPr>
        <w:pStyle w:val="SingleTxtG"/>
        <w:spacing w:after="240"/>
        <w:ind w:left="1701" w:right="43"/>
        <w:rPr>
          <w:lang w:val="en-US"/>
        </w:rPr>
      </w:pPr>
      <w:r>
        <w:rPr>
          <w:lang w:val="en-US"/>
        </w:rPr>
        <w:t>SAAMI</w:t>
      </w:r>
      <w:r w:rsidRPr="004C2858">
        <w:rPr>
          <w:lang w:val="en-US"/>
        </w:rPr>
        <w:t xml:space="preserve"> commented on work by US DOD/NATO on </w:t>
      </w:r>
      <w:r>
        <w:rPr>
          <w:lang w:val="en-US"/>
        </w:rPr>
        <w:t xml:space="preserve">confined Division 1.3  and a new effects curve is </w:t>
      </w:r>
      <w:r w:rsidRPr="004C2858">
        <w:rPr>
          <w:lang w:val="en-US"/>
        </w:rPr>
        <w:t>being developed for confined Division 1.3. The Integrated Violence Model used by US DOD takes into account loading density in storage.</w:t>
      </w:r>
      <w:r>
        <w:rPr>
          <w:lang w:val="en-US"/>
        </w:rPr>
        <w:t xml:space="preserve">  </w:t>
      </w:r>
      <w:r w:rsidRPr="004C2858">
        <w:rPr>
          <w:lang w:val="en-US"/>
        </w:rPr>
        <w:t>The United Kingdom noted that it has done modeling for</w:t>
      </w:r>
      <w:r>
        <w:rPr>
          <w:lang w:val="en-US"/>
        </w:rPr>
        <w:t xml:space="preserve"> Seveso </w:t>
      </w:r>
      <w:r w:rsidRPr="004C2858">
        <w:rPr>
          <w:lang w:val="en-US"/>
        </w:rPr>
        <w:t xml:space="preserve">sites </w:t>
      </w:r>
      <w:r>
        <w:rPr>
          <w:lang w:val="en-US"/>
        </w:rPr>
        <w:t>storing large quantities of fireworks,</w:t>
      </w:r>
      <w:r w:rsidRPr="004C2858">
        <w:rPr>
          <w:lang w:val="en-US"/>
        </w:rPr>
        <w:t xml:space="preserve"> and better understanding of the 1.3 to 1.1 transition would be helpful.  </w:t>
      </w:r>
      <w:r>
        <w:rPr>
          <w:lang w:val="en-US"/>
        </w:rPr>
        <w:t>AEISG agreed.</w:t>
      </w:r>
      <w:r w:rsidRPr="004C2858">
        <w:rPr>
          <w:lang w:val="en-US"/>
        </w:rPr>
        <w:t xml:space="preserve">  Canada would also like to </w:t>
      </w:r>
      <w:r>
        <w:rPr>
          <w:lang w:val="en-US"/>
        </w:rPr>
        <w:t>explore nitrocellulose compositions and</w:t>
      </w:r>
      <w:r w:rsidRPr="004C2858">
        <w:rPr>
          <w:lang w:val="en-US"/>
        </w:rPr>
        <w:t xml:space="preserve"> the 1.3 to 1.1 transition. Germany noted it is encountering problems with uncertainty (i.e.</w:t>
      </w:r>
      <w:r>
        <w:rPr>
          <w:lang w:val="en-US"/>
        </w:rPr>
        <w:t>,</w:t>
      </w:r>
      <w:r w:rsidRPr="004C2858">
        <w:rPr>
          <w:lang w:val="en-US"/>
        </w:rPr>
        <w:t xml:space="preserve"> tolerances) in default tables. COSTHA shared that in the US</w:t>
      </w:r>
      <w:r>
        <w:rPr>
          <w:lang w:val="en-US"/>
        </w:rPr>
        <w:t>,</w:t>
      </w:r>
      <w:r w:rsidRPr="004C2858">
        <w:rPr>
          <w:lang w:val="en-US"/>
        </w:rPr>
        <w:t xml:space="preserve"> there is the American Pyrotechnic Association’s standards for default tables, and these will be shared with the ICG on fireworks. </w:t>
      </w:r>
    </w:p>
    <w:p w14:paraId="5AD0044B" w14:textId="77777777" w:rsidR="001C2639" w:rsidRPr="007F14EF" w:rsidRDefault="001C2639" w:rsidP="001C2639">
      <w:pPr>
        <w:pStyle w:val="SingleTxtG"/>
        <w:spacing w:after="240"/>
        <w:ind w:left="1701" w:right="43"/>
        <w:rPr>
          <w:lang w:val="en-US"/>
        </w:rPr>
      </w:pPr>
      <w:r w:rsidRPr="004C2858">
        <w:rPr>
          <w:b/>
          <w:bCs/>
          <w:u w:val="single"/>
          <w:lang w:val="en-US"/>
        </w:rPr>
        <w:t>Conclusion:</w:t>
      </w:r>
      <w:r w:rsidRPr="004C2858">
        <w:rPr>
          <w:b/>
          <w:bCs/>
          <w:lang w:val="en-US"/>
        </w:rPr>
        <w:t xml:space="preserve">  </w:t>
      </w:r>
      <w:r w:rsidRPr="004C2858">
        <w:rPr>
          <w:lang w:val="en-US"/>
        </w:rPr>
        <w:t xml:space="preserve">The ICG Chair thanked the EWG for the input and intends to continue as the chair of the ICG on fireworks.  The EWG supported its continued work </w:t>
      </w:r>
      <w:r>
        <w:rPr>
          <w:lang w:val="en-US"/>
        </w:rPr>
        <w:t>and</w:t>
      </w:r>
      <w:r w:rsidRPr="004C2858">
        <w:rPr>
          <w:lang w:val="en-US"/>
        </w:rPr>
        <w:t xml:space="preserve"> his continuation as its Chair.  The chair of the ICG intends to schedule another online meeting in the coming months.</w:t>
      </w:r>
      <w:r>
        <w:rPr>
          <w:lang w:val="en-US"/>
        </w:rPr>
        <w:t xml:space="preserve"> </w:t>
      </w:r>
    </w:p>
    <w:p w14:paraId="7941A05D" w14:textId="77777777" w:rsidR="001C2639" w:rsidRPr="006E2DC1" w:rsidRDefault="001C2639" w:rsidP="003C5ADC">
      <w:pPr>
        <w:pStyle w:val="SingleTxtG"/>
        <w:keepNext/>
        <w:numPr>
          <w:ilvl w:val="0"/>
          <w:numId w:val="18"/>
        </w:numPr>
        <w:spacing w:after="240"/>
        <w:ind w:right="43"/>
        <w:rPr>
          <w:lang w:val="en-US"/>
        </w:rPr>
      </w:pPr>
      <w:r w:rsidRPr="006E2DC1">
        <w:rPr>
          <w:b/>
          <w:bCs/>
          <w:u w:val="single"/>
          <w:lang w:val="en-US"/>
        </w:rPr>
        <w:t>Subject.</w:t>
      </w:r>
      <w:r w:rsidRPr="006E2DC1">
        <w:rPr>
          <w:lang w:val="en-US"/>
        </w:rPr>
        <w:t xml:space="preserve">  Termination of certain explosive classification approvals due to the Model Regulation Test Series 6(d) requirement</w:t>
      </w:r>
    </w:p>
    <w:p w14:paraId="65B1F7EF" w14:textId="77777777" w:rsidR="001C2639" w:rsidRPr="00C45C0A" w:rsidRDefault="001C2639" w:rsidP="001C2639">
      <w:pPr>
        <w:pStyle w:val="SingleTxtG"/>
        <w:keepNext/>
        <w:spacing w:after="240"/>
        <w:ind w:left="3700" w:right="43" w:hanging="2001"/>
        <w:jc w:val="left"/>
        <w:rPr>
          <w:i/>
          <w:iCs/>
          <w:lang w:val="fr-FR"/>
        </w:rPr>
      </w:pPr>
      <w:r w:rsidRPr="00C45C0A">
        <w:rPr>
          <w:i/>
          <w:iCs/>
          <w:lang w:val="fr-FR"/>
        </w:rPr>
        <w:t>Document:</w:t>
      </w:r>
      <w:r w:rsidRPr="00C45C0A">
        <w:rPr>
          <w:lang w:val="fr-FR"/>
        </w:rPr>
        <w:tab/>
      </w:r>
      <w:r w:rsidRPr="00C45C0A">
        <w:rPr>
          <w:i/>
          <w:iCs/>
          <w:lang w:val="fr-FR"/>
        </w:rPr>
        <w:t xml:space="preserve">None submitted. </w:t>
      </w:r>
    </w:p>
    <w:p w14:paraId="7781783E" w14:textId="77777777" w:rsidR="001C2639" w:rsidRPr="00C45C0A" w:rsidRDefault="001C2639" w:rsidP="001C2639">
      <w:pPr>
        <w:pStyle w:val="SingleTxtG"/>
        <w:keepNext/>
        <w:spacing w:after="240"/>
        <w:ind w:left="3700" w:right="43" w:hanging="2001"/>
        <w:rPr>
          <w:rStyle w:val="Hyperlink"/>
          <w:rFonts w:ascii="Calibri" w:eastAsia="Calibri" w:hAnsi="Calibri" w:cs="Calibri"/>
          <w:b/>
          <w:bCs/>
          <w:sz w:val="24"/>
          <w:szCs w:val="24"/>
          <w:lang w:val="fr-FR"/>
        </w:rPr>
      </w:pPr>
      <w:r w:rsidRPr="00C45C0A">
        <w:rPr>
          <w:i/>
          <w:iCs/>
          <w:lang w:val="fr-FR"/>
        </w:rPr>
        <w:t xml:space="preserve">Informal document: </w:t>
      </w:r>
      <w:r w:rsidRPr="00C45C0A">
        <w:rPr>
          <w:i/>
          <w:iCs/>
          <w:lang w:val="fr-FR"/>
        </w:rPr>
        <w:tab/>
      </w:r>
      <w:r w:rsidRPr="00C45C0A">
        <w:rPr>
          <w:rStyle w:val="Strong"/>
          <w:b w:val="0"/>
          <w:bCs w:val="0"/>
          <w:i/>
          <w:iCs/>
          <w:lang w:val="fr-FR"/>
        </w:rPr>
        <w:t>UN/SCETDG/62/INF.29 (USA)</w:t>
      </w:r>
    </w:p>
    <w:p w14:paraId="3CEEDC5B" w14:textId="77777777" w:rsidR="001C2639" w:rsidRPr="00EE4879" w:rsidRDefault="001C2639" w:rsidP="001C2639">
      <w:pPr>
        <w:pStyle w:val="SingleTxtG"/>
        <w:spacing w:after="240"/>
        <w:ind w:left="1701" w:right="43"/>
        <w:rPr>
          <w:lang w:val="en-US"/>
        </w:rPr>
      </w:pPr>
      <w:r w:rsidRPr="00EE4879">
        <w:rPr>
          <w:b/>
          <w:bCs/>
          <w:u w:val="single"/>
          <w:lang w:val="en-US"/>
        </w:rPr>
        <w:t>Discussion</w:t>
      </w:r>
      <w:r w:rsidRPr="00EE4879">
        <w:rPr>
          <w:u w:val="single"/>
          <w:lang w:val="en-US"/>
        </w:rPr>
        <w:t>:</w:t>
      </w:r>
      <w:r w:rsidRPr="00EE4879">
        <w:rPr>
          <w:lang w:val="en-US"/>
        </w:rPr>
        <w:t xml:space="preserve">  As a matter of informing the EWG of actions taken by the USA</w:t>
      </w:r>
      <w:r>
        <w:rPr>
          <w:lang w:val="en-US"/>
        </w:rPr>
        <w:t>,</w:t>
      </w:r>
      <w:r w:rsidRPr="00EE4879">
        <w:rPr>
          <w:lang w:val="en-US"/>
        </w:rPr>
        <w:t xml:space="preserve"> INF.29 was discussed. </w:t>
      </w:r>
      <w:r>
        <w:rPr>
          <w:lang w:val="en-US"/>
        </w:rPr>
        <w:t xml:space="preserve">USA communicated the options for listed approval holders to either upgrade the classification to 1.4, verify UN 6(d) compliance, or terminate approvals if they are no longer needed.  Anyone with comments or concerns was </w:t>
      </w:r>
      <w:r w:rsidRPr="00EE4879">
        <w:rPr>
          <w:lang w:val="en-US"/>
        </w:rPr>
        <w:t xml:space="preserve">invited to contact US DOT. </w:t>
      </w:r>
      <w:r>
        <w:rPr>
          <w:lang w:val="en-US"/>
        </w:rPr>
        <w:t xml:space="preserve"> </w:t>
      </w:r>
    </w:p>
    <w:p w14:paraId="32887663" w14:textId="77777777" w:rsidR="001C2639" w:rsidRPr="007F14EF" w:rsidRDefault="001C2639" w:rsidP="001C2639">
      <w:pPr>
        <w:pStyle w:val="SingleTxtG"/>
        <w:spacing w:after="240"/>
        <w:ind w:left="1701" w:right="43"/>
        <w:rPr>
          <w:lang w:val="en-US"/>
        </w:rPr>
      </w:pPr>
      <w:r w:rsidRPr="006E2DC1">
        <w:rPr>
          <w:b/>
          <w:bCs/>
          <w:u w:val="single"/>
          <w:lang w:val="en-US"/>
        </w:rPr>
        <w:t>Conclusion:</w:t>
      </w:r>
      <w:r w:rsidRPr="006E2DC1">
        <w:rPr>
          <w:b/>
          <w:bCs/>
          <w:lang w:val="en-US"/>
        </w:rPr>
        <w:t xml:space="preserve">  </w:t>
      </w:r>
      <w:r w:rsidRPr="006E2DC1">
        <w:rPr>
          <w:lang w:val="en-US"/>
        </w:rPr>
        <w:t xml:space="preserve">The EWG thanked </w:t>
      </w:r>
      <w:r>
        <w:rPr>
          <w:lang w:val="en-US"/>
        </w:rPr>
        <w:t xml:space="preserve">the </w:t>
      </w:r>
      <w:r w:rsidRPr="006E2DC1">
        <w:rPr>
          <w:lang w:val="en-US"/>
        </w:rPr>
        <w:t>USA for the explanation.</w:t>
      </w:r>
      <w:r w:rsidRPr="007F14EF">
        <w:rPr>
          <w:lang w:val="en-US"/>
        </w:rPr>
        <w:t xml:space="preserve"> </w:t>
      </w:r>
    </w:p>
    <w:p w14:paraId="383279F3" w14:textId="77777777" w:rsidR="001C2639" w:rsidRPr="003D303C" w:rsidRDefault="001C2639" w:rsidP="003C5ADC">
      <w:pPr>
        <w:pStyle w:val="SingleTxtG"/>
        <w:keepNext/>
        <w:numPr>
          <w:ilvl w:val="0"/>
          <w:numId w:val="18"/>
        </w:numPr>
        <w:spacing w:after="240"/>
        <w:ind w:right="43"/>
        <w:rPr>
          <w:lang w:val="en-US"/>
        </w:rPr>
      </w:pPr>
      <w:r w:rsidRPr="003D303C">
        <w:rPr>
          <w:b/>
          <w:bCs/>
          <w:u w:val="single"/>
          <w:lang w:val="en-US"/>
        </w:rPr>
        <w:t>Subject.</w:t>
      </w:r>
      <w:r w:rsidRPr="003D303C">
        <w:rPr>
          <w:lang w:val="en-US"/>
        </w:rPr>
        <w:t xml:space="preserve">  </w:t>
      </w:r>
      <w:hyperlink r:id="rId21" w:history="1">
        <w:r w:rsidRPr="003D303C">
          <w:rPr>
            <w:rStyle w:val="Hyperlink"/>
            <w:lang w:val="en-US"/>
          </w:rPr>
          <w:t>New special provision and special packing provision of UN 2029</w:t>
        </w:r>
      </w:hyperlink>
    </w:p>
    <w:p w14:paraId="037D2BC8" w14:textId="77777777" w:rsidR="001C2639" w:rsidRPr="003D303C" w:rsidRDefault="001C2639" w:rsidP="001C2639">
      <w:pPr>
        <w:pStyle w:val="SingleTxtG"/>
        <w:keepNext/>
        <w:spacing w:after="240"/>
        <w:ind w:left="3700" w:right="43" w:hanging="2001"/>
        <w:jc w:val="left"/>
        <w:rPr>
          <w:i/>
          <w:iCs/>
          <w:lang w:val="en-US"/>
        </w:rPr>
      </w:pPr>
      <w:r w:rsidRPr="003D303C">
        <w:rPr>
          <w:i/>
          <w:iCs/>
          <w:lang w:val="en-US"/>
        </w:rPr>
        <w:t>Document:</w:t>
      </w:r>
      <w:r w:rsidRPr="003D303C">
        <w:rPr>
          <w:lang w:val="en-US"/>
        </w:rPr>
        <w:tab/>
      </w:r>
      <w:r w:rsidRPr="003D303C">
        <w:rPr>
          <w:i/>
          <w:iCs/>
          <w:lang w:val="en-US"/>
        </w:rPr>
        <w:t xml:space="preserve">None submitted </w:t>
      </w:r>
    </w:p>
    <w:p w14:paraId="74055C96" w14:textId="77777777" w:rsidR="001C2639" w:rsidRPr="003D303C"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3D303C">
        <w:rPr>
          <w:i/>
          <w:iCs/>
          <w:lang w:val="en-US"/>
        </w:rPr>
        <w:t xml:space="preserve">Informal document: </w:t>
      </w:r>
      <w:r w:rsidRPr="003D303C">
        <w:rPr>
          <w:i/>
          <w:iCs/>
          <w:lang w:val="en-US"/>
        </w:rPr>
        <w:tab/>
      </w:r>
      <w:r w:rsidRPr="003D303C">
        <w:rPr>
          <w:rStyle w:val="Strong"/>
          <w:b w:val="0"/>
          <w:bCs w:val="0"/>
          <w:i/>
          <w:iCs/>
          <w:lang w:val="en-US"/>
        </w:rPr>
        <w:t>UN/SCETDG/62/INF.35 (China)</w:t>
      </w:r>
    </w:p>
    <w:p w14:paraId="0CBDEAE5" w14:textId="77777777" w:rsidR="001C2639" w:rsidRDefault="001C2639" w:rsidP="001C2639">
      <w:pPr>
        <w:pStyle w:val="SingleTxtG"/>
        <w:spacing w:after="240"/>
        <w:ind w:left="1701" w:right="43"/>
        <w:rPr>
          <w:lang w:val="en-GB"/>
        </w:rPr>
      </w:pPr>
      <w:r w:rsidRPr="00C23781">
        <w:rPr>
          <w:b/>
          <w:bCs/>
          <w:u w:val="single"/>
          <w:lang w:val="en-US"/>
        </w:rPr>
        <w:t>Discussion</w:t>
      </w:r>
      <w:r w:rsidRPr="00C23781">
        <w:rPr>
          <w:u w:val="single"/>
          <w:lang w:val="en-US"/>
        </w:rPr>
        <w:t>:</w:t>
      </w:r>
      <w:r w:rsidRPr="00C23781">
        <w:rPr>
          <w:lang w:val="en-US"/>
        </w:rPr>
        <w:t xml:space="preserve">  China introduced INF.35 and presented a slideshow and videos to support the paper</w:t>
      </w:r>
      <w:r>
        <w:rPr>
          <w:lang w:val="en-US"/>
        </w:rPr>
        <w:t>,</w:t>
      </w:r>
      <w:r w:rsidRPr="00C23781">
        <w:rPr>
          <w:lang w:val="en-US"/>
        </w:rPr>
        <w:t xml:space="preserve"> which proposed </w:t>
      </w:r>
      <w:r w:rsidRPr="00C23781">
        <w:rPr>
          <w:lang w:val="en-GB"/>
        </w:rPr>
        <w:t>amendments</w:t>
      </w:r>
      <w:r>
        <w:rPr>
          <w:lang w:val="en-GB"/>
        </w:rPr>
        <w:t xml:space="preserve"> for the</w:t>
      </w:r>
      <w:r w:rsidRPr="00C23781">
        <w:rPr>
          <w:lang w:val="en-GB"/>
        </w:rPr>
        <w:t xml:space="preserve"> entry for Hydrazine anhydrous (UN 2029) by adding special provision 132, </w:t>
      </w:r>
      <w:r w:rsidRPr="00C23781">
        <w:t xml:space="preserve">special packing </w:t>
      </w:r>
      <w:r w:rsidRPr="00C23781">
        <w:rPr>
          <w:rFonts w:hint="eastAsia"/>
        </w:rPr>
        <w:t>provision</w:t>
      </w:r>
      <w:r w:rsidRPr="00C23781">
        <w:t xml:space="preserve"> PP5</w:t>
      </w:r>
      <w:r w:rsidRPr="00C23781">
        <w:rPr>
          <w:lang w:val="en-US"/>
        </w:rPr>
        <w:t xml:space="preserve">, and </w:t>
      </w:r>
      <w:r w:rsidRPr="00C23781">
        <w:rPr>
          <w:lang w:val="en-GB"/>
        </w:rPr>
        <w:t xml:space="preserve">a new special provision.  With recent hydrazine </w:t>
      </w:r>
      <w:r>
        <w:rPr>
          <w:lang w:val="en-GB"/>
        </w:rPr>
        <w:t>anhydrous-based</w:t>
      </w:r>
      <w:r w:rsidRPr="00C23781">
        <w:rPr>
          <w:lang w:val="en-GB"/>
        </w:rPr>
        <w:t xml:space="preserve"> propellant accidents, it is China’s intent to provide these provisions to mitigate their reoccurrence.</w:t>
      </w:r>
      <w:r w:rsidRPr="008F1AE6">
        <w:rPr>
          <w:lang w:val="en-GB"/>
        </w:rPr>
        <w:t xml:space="preserve"> </w:t>
      </w:r>
      <w:r>
        <w:rPr>
          <w:lang w:val="en-GB"/>
        </w:rPr>
        <w:t xml:space="preserve">  </w:t>
      </w:r>
    </w:p>
    <w:p w14:paraId="6CE9052B" w14:textId="77777777" w:rsidR="001C2639" w:rsidRDefault="001C2639" w:rsidP="001C2639">
      <w:pPr>
        <w:pStyle w:val="SingleTxtG"/>
        <w:spacing w:after="240"/>
        <w:ind w:left="1701" w:right="43"/>
        <w:rPr>
          <w:lang w:val="en-US"/>
        </w:rPr>
      </w:pPr>
      <w:r w:rsidRPr="004C69AA">
        <w:rPr>
          <w:lang w:val="en-US"/>
        </w:rPr>
        <w:t>IME asked what over-confined means and if this should be defined. China responded that it did not have a value pressure that would be overly confined</w:t>
      </w:r>
      <w:r>
        <w:rPr>
          <w:lang w:val="en-US"/>
        </w:rPr>
        <w:t xml:space="preserve"> and </w:t>
      </w:r>
      <w:r w:rsidRPr="004C69AA">
        <w:rPr>
          <w:lang w:val="en-US"/>
        </w:rPr>
        <w:t xml:space="preserve">is asking for a warning to communicate the potential hazard.  </w:t>
      </w:r>
    </w:p>
    <w:p w14:paraId="42782261" w14:textId="77777777" w:rsidR="001C2639" w:rsidRDefault="001C2639" w:rsidP="001C2639">
      <w:pPr>
        <w:pStyle w:val="SingleTxtG"/>
        <w:spacing w:after="240"/>
        <w:ind w:left="1701" w:right="43"/>
        <w:rPr>
          <w:lang w:val="en-US"/>
        </w:rPr>
      </w:pPr>
      <w:r w:rsidRPr="004C69AA">
        <w:rPr>
          <w:lang w:val="en-US"/>
        </w:rPr>
        <w:t xml:space="preserve">The United Kingdom commented that the special prevision </w:t>
      </w:r>
      <w:r>
        <w:rPr>
          <w:lang w:val="en-US"/>
        </w:rPr>
        <w:t>looked</w:t>
      </w:r>
      <w:r w:rsidRPr="004C69AA">
        <w:rPr>
          <w:lang w:val="en-US"/>
        </w:rPr>
        <w:t xml:space="preserve"> more like guidance and </w:t>
      </w:r>
      <w:r>
        <w:rPr>
          <w:lang w:val="en-US"/>
        </w:rPr>
        <w:t>suggested alternative approaches for drafting.</w:t>
      </w:r>
      <w:r w:rsidRPr="004C69AA">
        <w:rPr>
          <w:lang w:val="en-US"/>
        </w:rPr>
        <w:t xml:space="preserve">  </w:t>
      </w:r>
      <w:r>
        <w:rPr>
          <w:lang w:val="en-US"/>
        </w:rPr>
        <w:t>AEISG</w:t>
      </w:r>
      <w:r w:rsidRPr="004C69AA">
        <w:rPr>
          <w:lang w:val="en-US"/>
        </w:rPr>
        <w:t xml:space="preserve"> pointed out that many substances would react this way if packed like this.  USA </w:t>
      </w:r>
      <w:r>
        <w:rPr>
          <w:lang w:val="en-US"/>
        </w:rPr>
        <w:t xml:space="preserve">supported adding special packing provision PP5 but did not see the purpose of the new special provision since P001 is assigned to the entry and already restricts to packaging that prevent confinement, and any other packaging that does not meet P001 would require separate consideration.  </w:t>
      </w:r>
      <w:r w:rsidRPr="004C69AA">
        <w:rPr>
          <w:lang w:val="en-US"/>
        </w:rPr>
        <w:t xml:space="preserve">  </w:t>
      </w:r>
    </w:p>
    <w:p w14:paraId="15CBC27A" w14:textId="77777777" w:rsidR="001C2639" w:rsidRPr="004C69AA" w:rsidRDefault="001C2639" w:rsidP="001C2639">
      <w:pPr>
        <w:pStyle w:val="SingleTxtG"/>
        <w:spacing w:after="240"/>
        <w:ind w:left="1701" w:right="43"/>
        <w:rPr>
          <w:lang w:val="en-US"/>
        </w:rPr>
      </w:pPr>
      <w:r>
        <w:rPr>
          <w:lang w:val="en-US"/>
        </w:rPr>
        <w:t>SAAMI</w:t>
      </w:r>
      <w:r w:rsidRPr="004C69AA">
        <w:rPr>
          <w:lang w:val="en-US"/>
        </w:rPr>
        <w:t xml:space="preserve"> added that the substance is very toxic </w:t>
      </w:r>
      <w:r>
        <w:rPr>
          <w:lang w:val="en-US"/>
        </w:rPr>
        <w:t xml:space="preserve">and caustic </w:t>
      </w:r>
      <w:r w:rsidRPr="004C69AA">
        <w:rPr>
          <w:lang w:val="en-US"/>
        </w:rPr>
        <w:t xml:space="preserve">and </w:t>
      </w:r>
      <w:r>
        <w:rPr>
          <w:lang w:val="en-US"/>
        </w:rPr>
        <w:t xml:space="preserve">is packaged like this </w:t>
      </w:r>
      <w:r w:rsidRPr="004C69AA">
        <w:rPr>
          <w:lang w:val="en-US"/>
        </w:rPr>
        <w:t xml:space="preserve">to prevent release.  CEFIC noted that other containers are possible.  </w:t>
      </w:r>
      <w:r>
        <w:rPr>
          <w:lang w:val="en-US"/>
        </w:rPr>
        <w:t>SAAMI</w:t>
      </w:r>
      <w:r w:rsidRPr="004C69AA">
        <w:rPr>
          <w:lang w:val="en-US"/>
        </w:rPr>
        <w:t xml:space="preserve"> responded that some groups use </w:t>
      </w:r>
      <w:r w:rsidRPr="004C69AA">
        <w:rPr>
          <w:lang w:val="en-US"/>
        </w:rPr>
        <w:lastRenderedPageBreak/>
        <w:t xml:space="preserve">them, but some do not feel that sort </w:t>
      </w:r>
      <w:r>
        <w:rPr>
          <w:lang w:val="en-US"/>
        </w:rPr>
        <w:t>may be</w:t>
      </w:r>
      <w:r w:rsidRPr="004C69AA">
        <w:rPr>
          <w:lang w:val="en-US"/>
        </w:rPr>
        <w:t xml:space="preserve"> safe enough to prevent the release of a toxic substance.  </w:t>
      </w:r>
      <w:r>
        <w:rPr>
          <w:lang w:val="en-US"/>
        </w:rPr>
        <w:t>The EWG supported the addition of SP 132.</w:t>
      </w:r>
    </w:p>
    <w:p w14:paraId="44F070A0" w14:textId="77777777" w:rsidR="001C2639" w:rsidRPr="007F14EF" w:rsidRDefault="001C2639" w:rsidP="001C2639">
      <w:pPr>
        <w:pStyle w:val="SingleTxtG"/>
        <w:spacing w:after="240"/>
        <w:ind w:left="1701" w:right="43"/>
        <w:rPr>
          <w:lang w:val="en-US"/>
        </w:rPr>
      </w:pPr>
      <w:r w:rsidRPr="00C23EE4">
        <w:rPr>
          <w:b/>
          <w:bCs/>
          <w:u w:val="single"/>
          <w:lang w:val="en-US"/>
        </w:rPr>
        <w:t>Conclusion:</w:t>
      </w:r>
      <w:r w:rsidRPr="00C23EE4">
        <w:rPr>
          <w:b/>
          <w:bCs/>
          <w:lang w:val="en-US"/>
        </w:rPr>
        <w:t xml:space="preserve">  </w:t>
      </w:r>
      <w:r w:rsidRPr="00C23EE4">
        <w:rPr>
          <w:lang w:val="en-US"/>
        </w:rPr>
        <w:t>The EWG does not support the proposal</w:t>
      </w:r>
      <w:r>
        <w:rPr>
          <w:lang w:val="en-US"/>
        </w:rPr>
        <w:t xml:space="preserve"> as written</w:t>
      </w:r>
      <w:r w:rsidRPr="00C23EE4">
        <w:rPr>
          <w:lang w:val="en-US"/>
        </w:rPr>
        <w:t xml:space="preserve"> and agreed </w:t>
      </w:r>
      <w:r>
        <w:rPr>
          <w:lang w:val="en-US"/>
        </w:rPr>
        <w:t xml:space="preserve">that </w:t>
      </w:r>
      <w:r w:rsidRPr="00C23EE4">
        <w:rPr>
          <w:lang w:val="en-US"/>
        </w:rPr>
        <w:t>it needs additional development. It was recommended that China engage</w:t>
      </w:r>
      <w:r>
        <w:rPr>
          <w:lang w:val="en-US"/>
        </w:rPr>
        <w:t>s</w:t>
      </w:r>
      <w:r w:rsidRPr="00C23EE4">
        <w:rPr>
          <w:lang w:val="en-US"/>
        </w:rPr>
        <w:t xml:space="preserve"> with those members who had suggestions for improvements.</w:t>
      </w:r>
      <w:r w:rsidRPr="007F14EF">
        <w:rPr>
          <w:lang w:val="en-US"/>
        </w:rPr>
        <w:t xml:space="preserve"> </w:t>
      </w:r>
    </w:p>
    <w:p w14:paraId="571D8DB4" w14:textId="77777777" w:rsidR="001C2639" w:rsidRPr="00615BDC" w:rsidRDefault="001C2639" w:rsidP="003C5ADC">
      <w:pPr>
        <w:pStyle w:val="SingleTxtG"/>
        <w:keepNext/>
        <w:numPr>
          <w:ilvl w:val="0"/>
          <w:numId w:val="18"/>
        </w:numPr>
        <w:spacing w:after="240"/>
        <w:ind w:right="43"/>
        <w:rPr>
          <w:lang w:val="en-US"/>
        </w:rPr>
      </w:pPr>
      <w:r w:rsidRPr="001D7558">
        <w:rPr>
          <w:b/>
          <w:bCs/>
          <w:u w:val="single"/>
          <w:lang w:val="en-US"/>
        </w:rPr>
        <w:t>Subject.</w:t>
      </w:r>
      <w:r w:rsidRPr="001D7558">
        <w:rPr>
          <w:lang w:val="en-US"/>
        </w:rPr>
        <w:t xml:space="preserve">  </w:t>
      </w:r>
      <w:hyperlink r:id="rId22" w:history="1"/>
      <w:r w:rsidRPr="001D7558">
        <w:rPr>
          <w:rStyle w:val="Hyperlink"/>
          <w:lang w:val="en-US"/>
        </w:rPr>
        <w:t xml:space="preserve">Introduction of </w:t>
      </w:r>
      <w:r w:rsidRPr="00615BDC">
        <w:rPr>
          <w:rStyle w:val="Hyperlink"/>
          <w:lang w:val="en-US"/>
        </w:rPr>
        <w:t>Division 1.4 Entry for QDO</w:t>
      </w:r>
    </w:p>
    <w:p w14:paraId="23D21B98" w14:textId="77777777" w:rsidR="001C2639" w:rsidRPr="00615BDC" w:rsidRDefault="001C2639" w:rsidP="001C2639">
      <w:pPr>
        <w:pStyle w:val="SingleTxtG"/>
        <w:keepNext/>
        <w:spacing w:after="240"/>
        <w:ind w:left="3700" w:right="43" w:hanging="2001"/>
        <w:jc w:val="left"/>
        <w:rPr>
          <w:i/>
          <w:iCs/>
          <w:lang w:val="en-US"/>
        </w:rPr>
      </w:pPr>
      <w:r w:rsidRPr="00615BDC">
        <w:rPr>
          <w:i/>
          <w:iCs/>
          <w:lang w:val="en-US"/>
        </w:rPr>
        <w:t>Document:</w:t>
      </w:r>
      <w:r w:rsidRPr="00615BDC">
        <w:rPr>
          <w:lang w:val="en-US"/>
        </w:rPr>
        <w:tab/>
      </w:r>
      <w:r w:rsidRPr="00615BDC">
        <w:rPr>
          <w:i/>
          <w:iCs/>
          <w:lang w:val="en-US"/>
        </w:rPr>
        <w:t xml:space="preserve">None submitted </w:t>
      </w:r>
    </w:p>
    <w:p w14:paraId="4E794A98" w14:textId="77777777" w:rsidR="001C2639" w:rsidRPr="00615BDC"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615BDC">
        <w:rPr>
          <w:i/>
          <w:iCs/>
          <w:lang w:val="en-US"/>
        </w:rPr>
        <w:t xml:space="preserve">Informal document: </w:t>
      </w:r>
      <w:r w:rsidRPr="00615BDC">
        <w:rPr>
          <w:i/>
          <w:iCs/>
          <w:lang w:val="en-US"/>
        </w:rPr>
        <w:tab/>
      </w:r>
      <w:r w:rsidRPr="00615BDC">
        <w:rPr>
          <w:rStyle w:val="Strong"/>
          <w:b w:val="0"/>
          <w:bCs w:val="0"/>
          <w:i/>
          <w:iCs/>
          <w:lang w:val="en-US"/>
        </w:rPr>
        <w:t>UN/SCETDG/62/INF.39 (COSTHA)</w:t>
      </w:r>
    </w:p>
    <w:p w14:paraId="1E2F81C9" w14:textId="77777777" w:rsidR="001C2639" w:rsidRPr="00615BDC" w:rsidRDefault="001C2639" w:rsidP="001C2639">
      <w:pPr>
        <w:pStyle w:val="SingleTxtG"/>
        <w:spacing w:after="240"/>
        <w:ind w:left="1701" w:right="43"/>
        <w:rPr>
          <w:lang w:val="en-US"/>
        </w:rPr>
      </w:pPr>
      <w:r w:rsidRPr="00615BDC">
        <w:rPr>
          <w:b/>
          <w:bCs/>
          <w:u w:val="single"/>
          <w:lang w:val="en-US"/>
        </w:rPr>
        <w:t>Discussion</w:t>
      </w:r>
      <w:r w:rsidRPr="00615BDC">
        <w:rPr>
          <w:u w:val="single"/>
          <w:lang w:val="en-US"/>
        </w:rPr>
        <w:t>:</w:t>
      </w:r>
      <w:r w:rsidRPr="00615BDC">
        <w:rPr>
          <w:lang w:val="en-US"/>
        </w:rPr>
        <w:t xml:space="preserve">  INF.39 was introduced by SAAMI on behalf of COS</w:t>
      </w:r>
      <w:r>
        <w:rPr>
          <w:lang w:val="en-US"/>
        </w:rPr>
        <w:t>TH</w:t>
      </w:r>
      <w:r w:rsidRPr="00615BDC">
        <w:rPr>
          <w:lang w:val="en-US"/>
        </w:rPr>
        <w:t>A</w:t>
      </w:r>
      <w:r>
        <w:rPr>
          <w:lang w:val="en-US"/>
        </w:rPr>
        <w:t>,</w:t>
      </w:r>
      <w:r w:rsidRPr="00615BDC">
        <w:rPr>
          <w:lang w:val="en-US"/>
        </w:rPr>
        <w:t xml:space="preserve"> which sought input from the EWG regarding 1,4-benzoquinone dioxime (QDO) and a potential proposal for new entr</w:t>
      </w:r>
      <w:r>
        <w:rPr>
          <w:lang w:val="en-US"/>
        </w:rPr>
        <w:t>ies in the dangerous goods list.</w:t>
      </w:r>
      <w:r w:rsidRPr="00615BDC">
        <w:rPr>
          <w:lang w:val="en-US"/>
        </w:rPr>
        <w:t>. QDO is produced globally and shipped internationally under various classifications</w:t>
      </w:r>
      <w:r>
        <w:rPr>
          <w:lang w:val="en-US"/>
        </w:rPr>
        <w:t>,</w:t>
      </w:r>
      <w:r w:rsidRPr="00615BDC">
        <w:rPr>
          <w:lang w:val="en-US"/>
        </w:rPr>
        <w:t xml:space="preserve"> including being undeclared.  In preparation for bringing a paper</w:t>
      </w:r>
      <w:r>
        <w:rPr>
          <w:lang w:val="en-US"/>
        </w:rPr>
        <w:t>,</w:t>
      </w:r>
      <w:r w:rsidRPr="00615BDC">
        <w:rPr>
          <w:lang w:val="en-US"/>
        </w:rPr>
        <w:t xml:space="preserve"> CEFIC requested the EWG’s views on how QDO should be handled based on the test results in the paper indicating that it is a Division 1.4 material. </w:t>
      </w:r>
    </w:p>
    <w:p w14:paraId="1F92CA52" w14:textId="77777777" w:rsidR="001C2639" w:rsidRPr="00615BDC" w:rsidRDefault="001C2639" w:rsidP="001C2639">
      <w:pPr>
        <w:pStyle w:val="SingleTxtG"/>
        <w:spacing w:after="240"/>
        <w:ind w:left="1701" w:right="43"/>
        <w:rPr>
          <w:lang w:val="en-US"/>
        </w:rPr>
      </w:pPr>
      <w:r w:rsidRPr="00615BDC">
        <w:rPr>
          <w:lang w:val="en-US"/>
        </w:rPr>
        <w:t xml:space="preserve">COSTHA would like to provide guidance to Competent Authorities and would like to propose two entries for QDO: 1.4 and 4.1 Flammable Solid when desensitized.  CEFIC </w:t>
      </w:r>
      <w:r>
        <w:rPr>
          <w:lang w:val="en-US"/>
        </w:rPr>
        <w:t>supported both entries.</w:t>
      </w:r>
      <w:r w:rsidRPr="00615BDC">
        <w:rPr>
          <w:lang w:val="en-US"/>
        </w:rPr>
        <w:t xml:space="preserve">  The United Kingdom noted that it would be helpful to understand </w:t>
      </w:r>
      <w:r>
        <w:rPr>
          <w:lang w:val="en-US"/>
        </w:rPr>
        <w:t>the driver</w:t>
      </w:r>
      <w:r w:rsidRPr="00615BDC">
        <w:rPr>
          <w:lang w:val="en-US"/>
        </w:rPr>
        <w:t xml:space="preserve"> for this effort and the</w:t>
      </w:r>
      <w:r>
        <w:rPr>
          <w:lang w:val="en-US"/>
        </w:rPr>
        <w:t xml:space="preserve"> requirement for additional entries rather than</w:t>
      </w:r>
      <w:r w:rsidRPr="00615BDC">
        <w:rPr>
          <w:lang w:val="en-US"/>
        </w:rPr>
        <w:t xml:space="preserve"> </w:t>
      </w:r>
      <w:r>
        <w:rPr>
          <w:lang w:val="en-US"/>
        </w:rPr>
        <w:t xml:space="preserve">the use of </w:t>
      </w:r>
      <w:r w:rsidRPr="00615BDC">
        <w:rPr>
          <w:lang w:val="en-US"/>
        </w:rPr>
        <w:t xml:space="preserve">N.O.S. </w:t>
      </w:r>
      <w:r>
        <w:rPr>
          <w:lang w:val="en-US"/>
        </w:rPr>
        <w:t>entries</w:t>
      </w:r>
      <w:r w:rsidRPr="00615BDC">
        <w:rPr>
          <w:lang w:val="en-US"/>
        </w:rPr>
        <w:t xml:space="preserve">.  COSTHA responded that </w:t>
      </w:r>
      <w:r>
        <w:rPr>
          <w:lang w:val="en-US"/>
        </w:rPr>
        <w:t>these entries would ensure proper classification and better communication of hazard.</w:t>
      </w:r>
      <w:r w:rsidRPr="00615BDC">
        <w:rPr>
          <w:lang w:val="en-US"/>
        </w:rPr>
        <w:t xml:space="preserve">  USA would be open to a 1.4</w:t>
      </w:r>
      <w:r>
        <w:rPr>
          <w:lang w:val="en-US"/>
        </w:rPr>
        <w:t xml:space="preserve"> entry and further consideration of a 4.1 entry</w:t>
      </w:r>
      <w:r w:rsidRPr="00615BDC">
        <w:rPr>
          <w:lang w:val="en-US"/>
        </w:rPr>
        <w:t>.  France</w:t>
      </w:r>
      <w:r>
        <w:rPr>
          <w:lang w:val="en-US"/>
        </w:rPr>
        <w:t xml:space="preserve"> noted that it</w:t>
      </w:r>
      <w:r w:rsidRPr="00615BDC">
        <w:rPr>
          <w:lang w:val="en-US"/>
        </w:rPr>
        <w:t xml:space="preserve"> </w:t>
      </w:r>
      <w:r>
        <w:rPr>
          <w:lang w:val="en-US"/>
        </w:rPr>
        <w:t>had</w:t>
      </w:r>
      <w:r w:rsidRPr="00615BDC">
        <w:rPr>
          <w:lang w:val="en-US"/>
        </w:rPr>
        <w:t xml:space="preserve"> </w:t>
      </w:r>
      <w:r>
        <w:rPr>
          <w:lang w:val="en-US"/>
        </w:rPr>
        <w:t xml:space="preserve">tested this substance as a phlegmatized material with 30% QDO and recommended classification as 4.1 PG II.  France recently was approached to test pure QDO and </w:t>
      </w:r>
      <w:r w:rsidRPr="00615BDC">
        <w:rPr>
          <w:lang w:val="en-US"/>
        </w:rPr>
        <w:t xml:space="preserve">would support a proposal </w:t>
      </w:r>
      <w:r>
        <w:rPr>
          <w:lang w:val="en-US"/>
        </w:rPr>
        <w:t>to create two new entries</w:t>
      </w:r>
      <w:r w:rsidRPr="00615BDC">
        <w:rPr>
          <w:lang w:val="en-US"/>
        </w:rPr>
        <w:t xml:space="preserve">.   </w:t>
      </w:r>
    </w:p>
    <w:p w14:paraId="5D687E82" w14:textId="77777777" w:rsidR="001C2639" w:rsidRPr="007F14EF" w:rsidRDefault="001C2639" w:rsidP="001C2639">
      <w:pPr>
        <w:pStyle w:val="SingleTxtG"/>
        <w:spacing w:after="240"/>
        <w:ind w:left="1701" w:right="43"/>
        <w:rPr>
          <w:color w:val="FF0000"/>
          <w:lang w:val="en-US"/>
        </w:rPr>
      </w:pPr>
      <w:r w:rsidRPr="00615BDC">
        <w:rPr>
          <w:b/>
          <w:bCs/>
          <w:u w:val="single"/>
          <w:lang w:val="en-US"/>
        </w:rPr>
        <w:t>Conclusion:</w:t>
      </w:r>
      <w:r w:rsidRPr="00615BDC">
        <w:rPr>
          <w:b/>
          <w:bCs/>
          <w:lang w:val="en-US"/>
        </w:rPr>
        <w:t xml:space="preserve">  </w:t>
      </w:r>
      <w:r w:rsidRPr="00615BDC">
        <w:rPr>
          <w:lang w:val="en-US"/>
        </w:rPr>
        <w:t xml:space="preserve">The EWG supported that </w:t>
      </w:r>
      <w:r>
        <w:rPr>
          <w:lang w:val="en-US"/>
        </w:rPr>
        <w:t>COSTHA submit a proposal</w:t>
      </w:r>
      <w:r w:rsidRPr="00615BDC">
        <w:rPr>
          <w:lang w:val="en-US"/>
        </w:rPr>
        <w:t xml:space="preserve"> based on the input it received from the EWG members.</w:t>
      </w:r>
      <w:r w:rsidRPr="007F14EF">
        <w:rPr>
          <w:lang w:val="en-US"/>
        </w:rPr>
        <w:t xml:space="preserve"> </w:t>
      </w:r>
    </w:p>
    <w:p w14:paraId="0CCA2F73" w14:textId="77777777" w:rsidR="001C2639" w:rsidRPr="00CD31E9" w:rsidRDefault="001C2639" w:rsidP="001C2639">
      <w:pPr>
        <w:pStyle w:val="HChG"/>
        <w:ind w:left="1701" w:right="43"/>
        <w:rPr>
          <w:lang w:val="en-US"/>
        </w:rPr>
      </w:pPr>
      <w:bookmarkStart w:id="8" w:name="_Hlk56602095"/>
      <w:bookmarkStart w:id="9" w:name="_Hlk530583938"/>
      <w:r w:rsidRPr="00CD31E9">
        <w:rPr>
          <w:lang w:val="en-US"/>
        </w:rPr>
        <w:t xml:space="preserve">Agenda Item 6(d) – Miscellaneous proposals for amendments to the Model Regulations on the Transport of Dangerous Goods </w:t>
      </w:r>
      <w:r w:rsidRPr="006779EC">
        <w:rPr>
          <w:lang w:val="en-US"/>
        </w:rPr>
        <w:t>- Other miscellaneous proposals</w:t>
      </w:r>
    </w:p>
    <w:p w14:paraId="438B09AC" w14:textId="77777777" w:rsidR="001C2639" w:rsidRPr="00CD31E9" w:rsidRDefault="001C2639" w:rsidP="003C5ADC">
      <w:pPr>
        <w:pStyle w:val="SingleTxtG"/>
        <w:keepNext/>
        <w:numPr>
          <w:ilvl w:val="0"/>
          <w:numId w:val="18"/>
        </w:numPr>
        <w:spacing w:after="240"/>
        <w:ind w:right="43"/>
        <w:rPr>
          <w:lang w:val="en-US"/>
        </w:rPr>
      </w:pPr>
      <w:r w:rsidRPr="00CD31E9">
        <w:rPr>
          <w:b/>
          <w:bCs/>
          <w:u w:val="single"/>
          <w:lang w:val="en-US"/>
        </w:rPr>
        <w:t>Subject.</w:t>
      </w:r>
      <w:r w:rsidRPr="00CD31E9">
        <w:rPr>
          <w:lang w:val="en-US"/>
        </w:rPr>
        <w:t xml:space="preserve">  Units of measurement</w:t>
      </w:r>
    </w:p>
    <w:p w14:paraId="47FEDC7B" w14:textId="77777777" w:rsidR="001C2639" w:rsidRPr="00C518A4" w:rsidRDefault="001C2639" w:rsidP="001C2639">
      <w:pPr>
        <w:pStyle w:val="SingleTxtG"/>
        <w:keepNext/>
        <w:spacing w:after="240"/>
        <w:ind w:left="3700" w:right="43" w:hanging="2001"/>
        <w:jc w:val="left"/>
        <w:rPr>
          <w:i/>
          <w:iCs/>
          <w:lang w:val="en-US"/>
        </w:rPr>
      </w:pPr>
      <w:r w:rsidRPr="00C518A4">
        <w:rPr>
          <w:i/>
          <w:iCs/>
          <w:lang w:val="en-US"/>
        </w:rPr>
        <w:t>Document:</w:t>
      </w:r>
      <w:r w:rsidRPr="00C518A4">
        <w:rPr>
          <w:lang w:val="en-US"/>
        </w:rPr>
        <w:tab/>
      </w:r>
      <w:r w:rsidRPr="00C518A4">
        <w:rPr>
          <w:i/>
          <w:iCs/>
          <w:lang w:val="en-US"/>
        </w:rPr>
        <w:t>ST/SG/AC.10/C.3/2023/2 (Spain)</w:t>
      </w:r>
    </w:p>
    <w:p w14:paraId="175D4216" w14:textId="77777777" w:rsidR="001C2639" w:rsidRPr="00C518A4" w:rsidRDefault="001C2639" w:rsidP="001C2639">
      <w:pPr>
        <w:pStyle w:val="SingleTxtG"/>
        <w:keepNext/>
        <w:spacing w:after="240"/>
        <w:ind w:left="3700" w:right="43" w:hanging="2001"/>
        <w:rPr>
          <w:rStyle w:val="Hyperlink"/>
          <w:rFonts w:ascii="Calibri" w:eastAsia="Calibri" w:hAnsi="Calibri" w:cs="Calibri"/>
          <w:b/>
          <w:bCs/>
          <w:sz w:val="24"/>
          <w:szCs w:val="24"/>
          <w:lang w:val="en-US"/>
        </w:rPr>
      </w:pPr>
      <w:r w:rsidRPr="00C518A4">
        <w:rPr>
          <w:i/>
          <w:iCs/>
          <w:lang w:val="en-US"/>
        </w:rPr>
        <w:t xml:space="preserve">Informal document: </w:t>
      </w:r>
      <w:r w:rsidRPr="00C518A4">
        <w:rPr>
          <w:i/>
          <w:iCs/>
          <w:lang w:val="en-US"/>
        </w:rPr>
        <w:tab/>
      </w:r>
      <w:r w:rsidRPr="00C518A4">
        <w:rPr>
          <w:rStyle w:val="Strong"/>
          <w:b w:val="0"/>
          <w:bCs w:val="0"/>
          <w:i/>
          <w:iCs/>
          <w:lang w:val="en-US"/>
        </w:rPr>
        <w:t xml:space="preserve">None submitted. </w:t>
      </w:r>
    </w:p>
    <w:p w14:paraId="6FBD12F1" w14:textId="77777777" w:rsidR="001C2639" w:rsidRPr="00C518A4" w:rsidRDefault="001C2639" w:rsidP="001C2639">
      <w:pPr>
        <w:pStyle w:val="SingleTxtG"/>
        <w:spacing w:after="240"/>
        <w:ind w:left="1701" w:right="43"/>
        <w:rPr>
          <w:lang w:val="en-US"/>
        </w:rPr>
      </w:pPr>
      <w:r w:rsidRPr="00C518A4">
        <w:rPr>
          <w:b/>
          <w:bCs/>
          <w:u w:val="single"/>
          <w:lang w:val="en-US"/>
        </w:rPr>
        <w:t>Discussion</w:t>
      </w:r>
      <w:r w:rsidRPr="00C518A4">
        <w:rPr>
          <w:u w:val="single"/>
          <w:lang w:val="en-US"/>
        </w:rPr>
        <w:t>:</w:t>
      </w:r>
      <w:r w:rsidRPr="00C518A4">
        <w:rPr>
          <w:lang w:val="en-US"/>
        </w:rPr>
        <w:t xml:space="preserve">  Spain introduced 2023/2 and focused on Proposal 6 in the paper regarding “net explosives weight” and its proposed deletion</w:t>
      </w:r>
      <w:r>
        <w:rPr>
          <w:lang w:val="en-US"/>
        </w:rPr>
        <w:t xml:space="preserve"> from 1.2.1 from the UNMR</w:t>
      </w:r>
      <w:r w:rsidRPr="00C518A4">
        <w:rPr>
          <w:lang w:val="en-US"/>
        </w:rPr>
        <w:t xml:space="preserve">. </w:t>
      </w:r>
    </w:p>
    <w:p w14:paraId="438C964B" w14:textId="77777777" w:rsidR="001C2639" w:rsidRPr="00C518A4" w:rsidRDefault="001C2639" w:rsidP="001C2639">
      <w:pPr>
        <w:pStyle w:val="SingleTxtG"/>
        <w:spacing w:after="240"/>
        <w:ind w:left="1701" w:right="43"/>
        <w:rPr>
          <w:lang w:val="en-US"/>
        </w:rPr>
      </w:pPr>
      <w:r w:rsidRPr="00C518A4">
        <w:rPr>
          <w:lang w:val="en-US"/>
        </w:rPr>
        <w:t xml:space="preserve">USA </w:t>
      </w:r>
      <w:r>
        <w:rPr>
          <w:lang w:val="en-US"/>
        </w:rPr>
        <w:t>opposed</w:t>
      </w:r>
      <w:r w:rsidRPr="00C518A4">
        <w:rPr>
          <w:lang w:val="en-US"/>
        </w:rPr>
        <w:t xml:space="preserve"> its removal</w:t>
      </w:r>
      <w:r>
        <w:rPr>
          <w:lang w:val="en-US"/>
        </w:rPr>
        <w:t>,</w:t>
      </w:r>
      <w:r w:rsidRPr="00C518A4">
        <w:rPr>
          <w:lang w:val="en-US"/>
        </w:rPr>
        <w:t xml:space="preserve"> noting its prevalent use in the US.  The United Kingdom indicated it would be reluctant to </w:t>
      </w:r>
      <w:r>
        <w:rPr>
          <w:lang w:val="en-US"/>
        </w:rPr>
        <w:t>remove</w:t>
      </w:r>
      <w:r w:rsidRPr="00C518A4">
        <w:rPr>
          <w:lang w:val="en-US"/>
        </w:rPr>
        <w:t xml:space="preserve"> it due to its ubiquitous use.  CEFIC would oppose </w:t>
      </w:r>
      <w:r>
        <w:rPr>
          <w:lang w:val="en-US"/>
        </w:rPr>
        <w:t xml:space="preserve">it </w:t>
      </w:r>
      <w:r w:rsidRPr="00C518A4">
        <w:rPr>
          <w:lang w:val="en-US"/>
        </w:rPr>
        <w:t xml:space="preserve">as would cause confusion within </w:t>
      </w:r>
      <w:r>
        <w:rPr>
          <w:lang w:val="en-US"/>
        </w:rPr>
        <w:t xml:space="preserve">the </w:t>
      </w:r>
      <w:r w:rsidRPr="00C518A4">
        <w:rPr>
          <w:lang w:val="en-US"/>
        </w:rPr>
        <w:t xml:space="preserve">industry.  </w:t>
      </w:r>
    </w:p>
    <w:p w14:paraId="036EA712" w14:textId="77777777" w:rsidR="001C2639" w:rsidRPr="00C518A4" w:rsidRDefault="001C2639" w:rsidP="001C2639">
      <w:pPr>
        <w:pStyle w:val="SingleTxtG"/>
        <w:spacing w:after="240"/>
        <w:ind w:left="1701" w:right="43"/>
        <w:rPr>
          <w:lang w:val="en-US"/>
        </w:rPr>
      </w:pPr>
      <w:r w:rsidRPr="00C518A4">
        <w:rPr>
          <w:lang w:val="en-US"/>
        </w:rPr>
        <w:t>Sweden</w:t>
      </w:r>
      <w:r>
        <w:rPr>
          <w:lang w:val="en-US"/>
        </w:rPr>
        <w:t>,</w:t>
      </w:r>
      <w:r w:rsidRPr="00C518A4">
        <w:rPr>
          <w:lang w:val="en-US"/>
        </w:rPr>
        <w:t xml:space="preserve"> to be scientifically accurate, would support its removal.  France</w:t>
      </w:r>
      <w:r>
        <w:rPr>
          <w:lang w:val="en-US"/>
        </w:rPr>
        <w:t xml:space="preserve"> and Belgium</w:t>
      </w:r>
      <w:r w:rsidRPr="00C518A4">
        <w:rPr>
          <w:lang w:val="en-US"/>
        </w:rPr>
        <w:t xml:space="preserve"> noted </w:t>
      </w:r>
      <w:r>
        <w:rPr>
          <w:lang w:val="en-US"/>
        </w:rPr>
        <w:t>they</w:t>
      </w:r>
      <w:r w:rsidRPr="00C518A4">
        <w:rPr>
          <w:lang w:val="en-US"/>
        </w:rPr>
        <w:t xml:space="preserve"> do not use weight but rather mass. Germany conveyed that as this </w:t>
      </w:r>
      <w:r>
        <w:rPr>
          <w:lang w:val="en-US"/>
        </w:rPr>
        <w:t xml:space="preserve">is </w:t>
      </w:r>
      <w:r w:rsidRPr="00C518A4">
        <w:rPr>
          <w:lang w:val="en-US"/>
        </w:rPr>
        <w:t xml:space="preserve">an international document </w:t>
      </w:r>
      <w:r>
        <w:rPr>
          <w:lang w:val="en-US"/>
        </w:rPr>
        <w:t xml:space="preserve">it </w:t>
      </w:r>
      <w:r w:rsidRPr="00C518A4">
        <w:rPr>
          <w:lang w:val="en-US"/>
        </w:rPr>
        <w:t>would not</w:t>
      </w:r>
      <w:r>
        <w:rPr>
          <w:lang w:val="en-US"/>
        </w:rPr>
        <w:t xml:space="preserve"> be</w:t>
      </w:r>
      <w:r w:rsidRPr="00C518A4">
        <w:rPr>
          <w:lang w:val="en-US"/>
        </w:rPr>
        <w:t xml:space="preserve"> in favor of keeping the term.  SAAMI stated it prefers net explosives mass</w:t>
      </w:r>
      <w:r>
        <w:rPr>
          <w:lang w:val="en-US"/>
        </w:rPr>
        <w:t>, but that the benefit of this change should be considered vs burdens of implementation</w:t>
      </w:r>
      <w:r w:rsidRPr="00C518A4">
        <w:rPr>
          <w:lang w:val="en-US"/>
        </w:rPr>
        <w:t>.  COSTHA noted that globally n</w:t>
      </w:r>
      <w:r>
        <w:rPr>
          <w:lang w:val="en-US"/>
        </w:rPr>
        <w:t>et</w:t>
      </w:r>
      <w:r w:rsidRPr="00C518A4">
        <w:rPr>
          <w:lang w:val="en-US"/>
        </w:rPr>
        <w:t xml:space="preserve"> explosives weight causes confusion in shipping logistics. </w:t>
      </w:r>
      <w:r>
        <w:rPr>
          <w:lang w:val="en-US"/>
        </w:rPr>
        <w:t xml:space="preserve">The </w:t>
      </w:r>
      <w:r w:rsidRPr="00C518A4">
        <w:rPr>
          <w:lang w:val="en-US"/>
        </w:rPr>
        <w:t>Netherlands indicated it does not oppose its removal.</w:t>
      </w:r>
    </w:p>
    <w:p w14:paraId="4C7C85B1" w14:textId="0CB770A2" w:rsidR="001C2639" w:rsidRPr="00E345E4" w:rsidRDefault="001C2639" w:rsidP="00E345E4">
      <w:pPr>
        <w:pStyle w:val="SingleTxtG"/>
        <w:spacing w:after="240"/>
        <w:ind w:left="1701" w:right="43"/>
        <w:rPr>
          <w:lang w:val="en-US"/>
        </w:rPr>
      </w:pPr>
      <w:r w:rsidRPr="00C518A4">
        <w:rPr>
          <w:b/>
          <w:bCs/>
          <w:u w:val="single"/>
          <w:lang w:val="en-US"/>
        </w:rPr>
        <w:lastRenderedPageBreak/>
        <w:t>Conclusion:</w:t>
      </w:r>
      <w:r w:rsidRPr="00C518A4">
        <w:rPr>
          <w:b/>
          <w:bCs/>
          <w:lang w:val="en-US"/>
        </w:rPr>
        <w:t xml:space="preserve">  </w:t>
      </w:r>
      <w:r w:rsidRPr="00C518A4">
        <w:rPr>
          <w:lang w:val="en-US"/>
        </w:rPr>
        <w:t xml:space="preserve">The opinions of </w:t>
      </w:r>
      <w:r>
        <w:rPr>
          <w:lang w:val="en-US"/>
        </w:rPr>
        <w:t xml:space="preserve">the </w:t>
      </w:r>
      <w:r w:rsidRPr="00C518A4">
        <w:rPr>
          <w:lang w:val="en-US"/>
        </w:rPr>
        <w:t xml:space="preserve">EWG were divided on </w:t>
      </w:r>
      <w:r>
        <w:rPr>
          <w:lang w:val="en-US"/>
        </w:rPr>
        <w:t>whether</w:t>
      </w:r>
      <w:r w:rsidRPr="00C518A4">
        <w:rPr>
          <w:lang w:val="en-US"/>
        </w:rPr>
        <w:t xml:space="preserve"> the term should be removed from the Model Regulations.   There was unanimous agreement that NEM is scientifically correct but recognized the </w:t>
      </w:r>
      <w:r>
        <w:rPr>
          <w:lang w:val="en-US"/>
        </w:rPr>
        <w:t>widespread</w:t>
      </w:r>
      <w:r w:rsidRPr="00C518A4">
        <w:rPr>
          <w:lang w:val="en-US"/>
        </w:rPr>
        <w:t xml:space="preserve"> use of the term net explosives weight.</w:t>
      </w:r>
      <w:bookmarkEnd w:id="8"/>
    </w:p>
    <w:bookmarkEnd w:id="9"/>
    <w:p w14:paraId="6021C837" w14:textId="77777777" w:rsidR="001C2639" w:rsidRPr="007F14EF" w:rsidRDefault="001C2639" w:rsidP="003C5ADC">
      <w:pPr>
        <w:pStyle w:val="HChG"/>
        <w:spacing w:before="120" w:after="0" w:line="240" w:lineRule="auto"/>
        <w:ind w:right="1138"/>
        <w:rPr>
          <w:rFonts w:eastAsia="MS Mincho"/>
          <w:szCs w:val="28"/>
          <w:lang w:val="en-US" w:eastAsia="ja-JP"/>
        </w:rPr>
      </w:pPr>
      <w:r w:rsidRPr="007F14EF">
        <w:rPr>
          <w:rFonts w:eastAsia="MS Mincho"/>
          <w:b w:val="0"/>
          <w:color w:val="FF0000"/>
          <w:lang w:val="en-US" w:eastAsia="ja-JP"/>
        </w:rPr>
        <w:br w:type="page"/>
      </w:r>
      <w:bookmarkStart w:id="10" w:name="_Hlk56152968"/>
      <w:r w:rsidRPr="007F14EF">
        <w:rPr>
          <w:rFonts w:eastAsia="MS Mincho"/>
          <w:szCs w:val="28"/>
          <w:lang w:val="en-US" w:eastAsia="ja-JP"/>
        </w:rPr>
        <w:lastRenderedPageBreak/>
        <w:t>Annex 1</w:t>
      </w:r>
    </w:p>
    <w:p w14:paraId="4C3BC356" w14:textId="77777777" w:rsidR="003C5ADC" w:rsidRDefault="001C2639" w:rsidP="003C5ADC">
      <w:pPr>
        <w:pStyle w:val="HChG"/>
        <w:tabs>
          <w:tab w:val="clear" w:pos="851"/>
        </w:tabs>
        <w:spacing w:before="0" w:after="360" w:line="240" w:lineRule="auto"/>
        <w:ind w:right="1138"/>
        <w:rPr>
          <w:rFonts w:eastAsia="MS Mincho"/>
          <w:bCs/>
          <w:szCs w:val="28"/>
          <w:lang w:val="en-US" w:eastAsia="ja-JP"/>
        </w:rPr>
      </w:pPr>
      <w:r w:rsidRPr="007F14EF">
        <w:rPr>
          <w:rFonts w:eastAsia="MS Mincho"/>
          <w:bCs/>
          <w:szCs w:val="28"/>
          <w:lang w:val="en-US" w:eastAsia="ja-JP"/>
        </w:rPr>
        <w:t xml:space="preserve">Working Group on Explosives (3 - </w:t>
      </w:r>
      <w:r>
        <w:rPr>
          <w:rFonts w:eastAsia="MS Mincho"/>
          <w:bCs/>
          <w:szCs w:val="28"/>
          <w:lang w:val="en-US" w:eastAsia="ja-JP"/>
        </w:rPr>
        <w:t>6</w:t>
      </w:r>
      <w:r w:rsidRPr="007F14EF">
        <w:rPr>
          <w:rFonts w:eastAsia="MS Mincho"/>
          <w:bCs/>
          <w:szCs w:val="28"/>
          <w:lang w:val="en-US" w:eastAsia="ja-JP"/>
        </w:rPr>
        <w:t xml:space="preserve"> July 202</w:t>
      </w:r>
      <w:r>
        <w:rPr>
          <w:rFonts w:eastAsia="MS Mincho"/>
          <w:bCs/>
          <w:szCs w:val="28"/>
          <w:lang w:val="en-US" w:eastAsia="ja-JP"/>
        </w:rPr>
        <w:t>3</w:t>
      </w:r>
      <w:r w:rsidRPr="007F14EF">
        <w:rPr>
          <w:rFonts w:eastAsia="MS Mincho"/>
          <w:bCs/>
          <w:szCs w:val="28"/>
          <w:lang w:val="en-US" w:eastAsia="ja-JP"/>
        </w:rPr>
        <w:t xml:space="preserve">) </w:t>
      </w:r>
    </w:p>
    <w:p w14:paraId="0B0ADBEC" w14:textId="131CA03B" w:rsidR="001C2639" w:rsidRPr="007F14EF" w:rsidRDefault="001C2639" w:rsidP="003C5ADC">
      <w:pPr>
        <w:pStyle w:val="HChG"/>
        <w:tabs>
          <w:tab w:val="clear" w:pos="851"/>
        </w:tabs>
        <w:spacing w:before="0" w:after="360" w:line="240" w:lineRule="auto"/>
        <w:ind w:right="1138"/>
        <w:rPr>
          <w:rFonts w:eastAsia="MS Mincho"/>
          <w:lang w:val="en-US" w:eastAsia="ja-JP"/>
        </w:rPr>
      </w:pPr>
      <w:r w:rsidRPr="007F14EF">
        <w:rPr>
          <w:rFonts w:eastAsia="MS Mincho"/>
          <w:bCs/>
          <w:szCs w:val="28"/>
          <w:lang w:val="en-US" w:eastAsia="ja-JP"/>
        </w:rPr>
        <w:t>List of Participants</w:t>
      </w:r>
      <w:r w:rsidRPr="007F14EF">
        <w:rPr>
          <w:rStyle w:val="FootnoteReference"/>
          <w:rFonts w:eastAsia="MS Mincho"/>
          <w:bCs/>
          <w:szCs w:val="28"/>
          <w:lang w:val="en-US" w:eastAsia="ja-JP"/>
        </w:rPr>
        <w:footnoteReference w:id="3"/>
      </w:r>
    </w:p>
    <w:tbl>
      <w:tblPr>
        <w:tblW w:w="7460" w:type="dxa"/>
        <w:jc w:val="center"/>
        <w:tblLook w:val="04A0" w:firstRow="1" w:lastRow="0" w:firstColumn="1" w:lastColumn="0" w:noHBand="0" w:noVBand="1"/>
      </w:tblPr>
      <w:tblGrid>
        <w:gridCol w:w="4100"/>
        <w:gridCol w:w="3360"/>
      </w:tblGrid>
      <w:tr w:rsidR="001C2639" w:rsidRPr="00E91AD4" w14:paraId="3A1E86BD" w14:textId="77777777" w:rsidTr="00C57B5A">
        <w:trPr>
          <w:trHeight w:val="312"/>
          <w:jc w:val="center"/>
        </w:trPr>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39C77" w14:textId="77777777" w:rsidR="001C2639" w:rsidRPr="00E91AD4" w:rsidRDefault="001C2639" w:rsidP="00C57B5A">
            <w:pPr>
              <w:suppressAutoHyphens w:val="0"/>
              <w:spacing w:line="240" w:lineRule="auto"/>
              <w:jc w:val="center"/>
              <w:rPr>
                <w:rFonts w:ascii="Calibri" w:hAnsi="Calibri" w:cs="Calibri"/>
                <w:b/>
                <w:bCs/>
                <w:lang w:val="en-US"/>
              </w:rPr>
            </w:pPr>
            <w:bookmarkStart w:id="11" w:name="_Hlk56152917"/>
            <w:bookmarkStart w:id="12" w:name="_Hlk56515207"/>
            <w:r w:rsidRPr="00E91AD4">
              <w:rPr>
                <w:rFonts w:ascii="Calibri" w:hAnsi="Calibri" w:cs="Calibri"/>
                <w:b/>
                <w:bCs/>
                <w:lang w:val="en-US"/>
              </w:rPr>
              <w:t>Name</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31B64FC2" w14:textId="77777777" w:rsidR="001C2639" w:rsidRPr="00E91AD4" w:rsidRDefault="001C2639" w:rsidP="00C57B5A">
            <w:pPr>
              <w:suppressAutoHyphens w:val="0"/>
              <w:spacing w:line="240" w:lineRule="auto"/>
              <w:jc w:val="center"/>
              <w:rPr>
                <w:rFonts w:ascii="Calibri" w:hAnsi="Calibri" w:cs="Calibri"/>
                <w:b/>
                <w:bCs/>
                <w:lang w:val="en-US"/>
              </w:rPr>
            </w:pPr>
            <w:r w:rsidRPr="00E91AD4">
              <w:rPr>
                <w:rFonts w:ascii="Calibri" w:hAnsi="Calibri" w:cs="Calibri"/>
                <w:b/>
                <w:bCs/>
                <w:lang w:val="en-US"/>
              </w:rPr>
              <w:t>Representing</w:t>
            </w:r>
          </w:p>
        </w:tc>
      </w:tr>
      <w:tr w:rsidR="001C2639" w:rsidRPr="00E91AD4" w14:paraId="4739DDAD"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4023E284"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Nicolas Alonso</w:t>
            </w:r>
          </w:p>
        </w:tc>
        <w:tc>
          <w:tcPr>
            <w:tcW w:w="3360" w:type="dxa"/>
            <w:tcBorders>
              <w:top w:val="nil"/>
              <w:left w:val="nil"/>
              <w:bottom w:val="single" w:sz="4" w:space="0" w:color="auto"/>
              <w:right w:val="single" w:sz="4" w:space="0" w:color="auto"/>
            </w:tcBorders>
            <w:shd w:val="clear" w:color="000000" w:fill="FFFFFF"/>
            <w:noWrap/>
            <w:vAlign w:val="center"/>
            <w:hideMark/>
          </w:tcPr>
          <w:p w14:paraId="3BB5C456"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Spain</w:t>
            </w:r>
          </w:p>
        </w:tc>
      </w:tr>
      <w:tr w:rsidR="001C2639" w:rsidRPr="00E91AD4" w14:paraId="58C1347E"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11FA05C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Kaylee Baker</w:t>
            </w:r>
          </w:p>
        </w:tc>
        <w:tc>
          <w:tcPr>
            <w:tcW w:w="3360" w:type="dxa"/>
            <w:tcBorders>
              <w:top w:val="nil"/>
              <w:left w:val="nil"/>
              <w:bottom w:val="single" w:sz="4" w:space="0" w:color="auto"/>
              <w:right w:val="single" w:sz="4" w:space="0" w:color="auto"/>
            </w:tcBorders>
            <w:shd w:val="clear" w:color="000000" w:fill="FFFFFF"/>
            <w:noWrap/>
            <w:vAlign w:val="center"/>
            <w:hideMark/>
          </w:tcPr>
          <w:p w14:paraId="3FBD35A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RPMASA</w:t>
            </w:r>
          </w:p>
        </w:tc>
      </w:tr>
      <w:tr w:rsidR="001C2639" w:rsidRPr="00E91AD4" w14:paraId="2A473B4B"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0707AF47"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Jun-Hwa Ban</w:t>
            </w:r>
          </w:p>
        </w:tc>
        <w:tc>
          <w:tcPr>
            <w:tcW w:w="3360" w:type="dxa"/>
            <w:tcBorders>
              <w:top w:val="nil"/>
              <w:left w:val="nil"/>
              <w:bottom w:val="single" w:sz="4" w:space="0" w:color="auto"/>
              <w:right w:val="single" w:sz="4" w:space="0" w:color="auto"/>
            </w:tcBorders>
            <w:shd w:val="clear" w:color="000000" w:fill="FFFFFF"/>
            <w:vAlign w:val="center"/>
            <w:hideMark/>
          </w:tcPr>
          <w:p w14:paraId="4CDBE0A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Korea, Rep. of</w:t>
            </w:r>
          </w:p>
        </w:tc>
      </w:tr>
      <w:tr w:rsidR="001C2639" w:rsidRPr="00E91AD4" w14:paraId="6DD4A4CC"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09BA7C0C"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Ben Barrett</w:t>
            </w:r>
          </w:p>
        </w:tc>
        <w:tc>
          <w:tcPr>
            <w:tcW w:w="3360" w:type="dxa"/>
            <w:tcBorders>
              <w:top w:val="nil"/>
              <w:left w:val="nil"/>
              <w:bottom w:val="single" w:sz="4" w:space="0" w:color="auto"/>
              <w:right w:val="single" w:sz="4" w:space="0" w:color="auto"/>
            </w:tcBorders>
            <w:shd w:val="clear" w:color="000000" w:fill="FFFFFF"/>
            <w:noWrap/>
            <w:vAlign w:val="center"/>
            <w:hideMark/>
          </w:tcPr>
          <w:p w14:paraId="52359CF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2CF4F9A7"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11C30ED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Kyle Barrett</w:t>
            </w:r>
          </w:p>
        </w:tc>
        <w:tc>
          <w:tcPr>
            <w:tcW w:w="3360" w:type="dxa"/>
            <w:tcBorders>
              <w:top w:val="nil"/>
              <w:left w:val="nil"/>
              <w:bottom w:val="single" w:sz="4" w:space="0" w:color="auto"/>
              <w:right w:val="single" w:sz="4" w:space="0" w:color="auto"/>
            </w:tcBorders>
            <w:shd w:val="clear" w:color="DCE6F1" w:fill="FFFFFF"/>
            <w:noWrap/>
            <w:vAlign w:val="center"/>
            <w:hideMark/>
          </w:tcPr>
          <w:p w14:paraId="031DE55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05358664"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4D1A3F7B"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Richard Bilman</w:t>
            </w:r>
          </w:p>
        </w:tc>
        <w:tc>
          <w:tcPr>
            <w:tcW w:w="3360" w:type="dxa"/>
            <w:tcBorders>
              <w:top w:val="nil"/>
              <w:left w:val="nil"/>
              <w:bottom w:val="single" w:sz="4" w:space="0" w:color="auto"/>
              <w:right w:val="single" w:sz="4" w:space="0" w:color="auto"/>
            </w:tcBorders>
            <w:shd w:val="clear" w:color="DCE6F1" w:fill="FFFFFF"/>
            <w:noWrap/>
            <w:vAlign w:val="center"/>
            <w:hideMark/>
          </w:tcPr>
          <w:p w14:paraId="03022AE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AESIG</w:t>
            </w:r>
          </w:p>
        </w:tc>
      </w:tr>
      <w:tr w:rsidR="001C2639" w:rsidRPr="00E91AD4" w14:paraId="06C82282"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717157F6"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Marie-France Dagenais</w:t>
            </w:r>
          </w:p>
        </w:tc>
        <w:tc>
          <w:tcPr>
            <w:tcW w:w="3360" w:type="dxa"/>
            <w:tcBorders>
              <w:top w:val="nil"/>
              <w:left w:val="nil"/>
              <w:bottom w:val="single" w:sz="4" w:space="0" w:color="auto"/>
              <w:right w:val="single" w:sz="4" w:space="0" w:color="auto"/>
            </w:tcBorders>
            <w:shd w:val="clear" w:color="000000" w:fill="FFFFFF"/>
            <w:noWrap/>
            <w:vAlign w:val="center"/>
            <w:hideMark/>
          </w:tcPr>
          <w:p w14:paraId="24485A97"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492C8F80"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46E08BE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Gabriele Dudek</w:t>
            </w:r>
          </w:p>
        </w:tc>
        <w:tc>
          <w:tcPr>
            <w:tcW w:w="3360" w:type="dxa"/>
            <w:tcBorders>
              <w:top w:val="nil"/>
              <w:left w:val="nil"/>
              <w:bottom w:val="single" w:sz="4" w:space="0" w:color="auto"/>
              <w:right w:val="single" w:sz="4" w:space="0" w:color="auto"/>
            </w:tcBorders>
            <w:shd w:val="clear" w:color="DCE6F1" w:fill="FFFFFF"/>
            <w:noWrap/>
            <w:vAlign w:val="center"/>
            <w:hideMark/>
          </w:tcPr>
          <w:p w14:paraId="2F64CD81"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Germany</w:t>
            </w:r>
          </w:p>
        </w:tc>
      </w:tr>
      <w:tr w:rsidR="001C2639" w:rsidRPr="00E91AD4" w14:paraId="2723F0A0"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4D89FFD6"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Bob Ford</w:t>
            </w:r>
          </w:p>
        </w:tc>
        <w:tc>
          <w:tcPr>
            <w:tcW w:w="3360" w:type="dxa"/>
            <w:tcBorders>
              <w:top w:val="nil"/>
              <w:left w:val="nil"/>
              <w:bottom w:val="single" w:sz="4" w:space="0" w:color="auto"/>
              <w:right w:val="single" w:sz="4" w:space="0" w:color="auto"/>
            </w:tcBorders>
            <w:shd w:val="clear" w:color="DCE6F1" w:fill="FFFFFF"/>
            <w:noWrap/>
            <w:vAlign w:val="center"/>
            <w:hideMark/>
          </w:tcPr>
          <w:p w14:paraId="42288285"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5EC736EF"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28D2E878"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Jason Ford</w:t>
            </w:r>
          </w:p>
        </w:tc>
        <w:tc>
          <w:tcPr>
            <w:tcW w:w="3360" w:type="dxa"/>
            <w:tcBorders>
              <w:top w:val="nil"/>
              <w:left w:val="nil"/>
              <w:bottom w:val="single" w:sz="4" w:space="0" w:color="auto"/>
              <w:right w:val="single" w:sz="4" w:space="0" w:color="auto"/>
            </w:tcBorders>
            <w:shd w:val="clear" w:color="000000" w:fill="FFFFFF"/>
            <w:noWrap/>
            <w:vAlign w:val="center"/>
            <w:hideMark/>
          </w:tcPr>
          <w:p w14:paraId="3E2CFBD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3DE81A02"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1B934D0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Dieter Heitkamp</w:t>
            </w:r>
          </w:p>
        </w:tc>
        <w:tc>
          <w:tcPr>
            <w:tcW w:w="3360" w:type="dxa"/>
            <w:tcBorders>
              <w:top w:val="nil"/>
              <w:left w:val="nil"/>
              <w:bottom w:val="single" w:sz="4" w:space="0" w:color="auto"/>
              <w:right w:val="single" w:sz="4" w:space="0" w:color="auto"/>
            </w:tcBorders>
            <w:shd w:val="clear" w:color="DCE6F1" w:fill="FFFFFF"/>
            <w:noWrap/>
            <w:vAlign w:val="center"/>
            <w:hideMark/>
          </w:tcPr>
          <w:p w14:paraId="7CFE2BE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CEFIC</w:t>
            </w:r>
          </w:p>
        </w:tc>
      </w:tr>
      <w:tr w:rsidR="001C2639" w:rsidRPr="00E91AD4" w14:paraId="7110A4D9"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0C3AA2C2"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Josh Hoffman</w:t>
            </w:r>
          </w:p>
        </w:tc>
        <w:tc>
          <w:tcPr>
            <w:tcW w:w="3360" w:type="dxa"/>
            <w:tcBorders>
              <w:top w:val="nil"/>
              <w:left w:val="nil"/>
              <w:bottom w:val="single" w:sz="4" w:space="0" w:color="auto"/>
              <w:right w:val="single" w:sz="4" w:space="0" w:color="auto"/>
            </w:tcBorders>
            <w:shd w:val="clear" w:color="DCE6F1" w:fill="FFFFFF"/>
            <w:noWrap/>
            <w:vAlign w:val="center"/>
            <w:hideMark/>
          </w:tcPr>
          <w:p w14:paraId="4082B2C2"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IME</w:t>
            </w:r>
          </w:p>
        </w:tc>
      </w:tr>
      <w:tr w:rsidR="001C2639" w:rsidRPr="00E91AD4" w14:paraId="31873A85"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26911A0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Noel Hsu</w:t>
            </w:r>
          </w:p>
        </w:tc>
        <w:tc>
          <w:tcPr>
            <w:tcW w:w="3360" w:type="dxa"/>
            <w:tcBorders>
              <w:top w:val="nil"/>
              <w:left w:val="nil"/>
              <w:bottom w:val="single" w:sz="4" w:space="0" w:color="auto"/>
              <w:right w:val="single" w:sz="4" w:space="0" w:color="auto"/>
            </w:tcBorders>
            <w:shd w:val="clear" w:color="000000" w:fill="FFFFFF"/>
            <w:noWrap/>
            <w:vAlign w:val="center"/>
            <w:hideMark/>
          </w:tcPr>
          <w:p w14:paraId="279F9E4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IME</w:t>
            </w:r>
          </w:p>
        </w:tc>
      </w:tr>
      <w:tr w:rsidR="001C2639" w:rsidRPr="00E91AD4" w14:paraId="1A62241F"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2BDCD36A"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Ed de Jong</w:t>
            </w:r>
          </w:p>
        </w:tc>
        <w:tc>
          <w:tcPr>
            <w:tcW w:w="3360" w:type="dxa"/>
            <w:tcBorders>
              <w:top w:val="nil"/>
              <w:left w:val="nil"/>
              <w:bottom w:val="single" w:sz="4" w:space="0" w:color="auto"/>
              <w:right w:val="single" w:sz="4" w:space="0" w:color="auto"/>
            </w:tcBorders>
            <w:shd w:val="clear" w:color="DCE6F1" w:fill="FFFFFF"/>
            <w:noWrap/>
            <w:vAlign w:val="center"/>
            <w:hideMark/>
          </w:tcPr>
          <w:p w14:paraId="51A74DD7"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Netherlands</w:t>
            </w:r>
          </w:p>
        </w:tc>
      </w:tr>
      <w:tr w:rsidR="001C2639" w:rsidRPr="00E91AD4" w14:paraId="2443C675"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42108C22"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Jason Kennedy</w:t>
            </w:r>
          </w:p>
        </w:tc>
        <w:tc>
          <w:tcPr>
            <w:tcW w:w="3360" w:type="dxa"/>
            <w:tcBorders>
              <w:top w:val="nil"/>
              <w:left w:val="nil"/>
              <w:bottom w:val="single" w:sz="4" w:space="0" w:color="auto"/>
              <w:right w:val="single" w:sz="4" w:space="0" w:color="auto"/>
            </w:tcBorders>
            <w:shd w:val="clear" w:color="000000" w:fill="FFFFFF"/>
            <w:noWrap/>
            <w:vAlign w:val="center"/>
            <w:hideMark/>
          </w:tcPr>
          <w:p w14:paraId="0FDCCA26"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CEFIC</w:t>
            </w:r>
          </w:p>
        </w:tc>
      </w:tr>
      <w:tr w:rsidR="001C2639" w:rsidRPr="00E91AD4" w14:paraId="7B40EDC6"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57214840"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Michael Lafleur</w:t>
            </w:r>
          </w:p>
        </w:tc>
        <w:tc>
          <w:tcPr>
            <w:tcW w:w="3360" w:type="dxa"/>
            <w:tcBorders>
              <w:top w:val="nil"/>
              <w:left w:val="nil"/>
              <w:bottom w:val="single" w:sz="4" w:space="0" w:color="auto"/>
              <w:right w:val="single" w:sz="4" w:space="0" w:color="auto"/>
            </w:tcBorders>
            <w:shd w:val="clear" w:color="000000" w:fill="FFFFFF"/>
            <w:noWrap/>
            <w:vAlign w:val="center"/>
            <w:hideMark/>
          </w:tcPr>
          <w:p w14:paraId="32DD9F9C"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Canada</w:t>
            </w:r>
          </w:p>
        </w:tc>
      </w:tr>
      <w:tr w:rsidR="001C2639" w:rsidRPr="00E91AD4" w14:paraId="66DFBC93"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04EEB76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Werner Lange</w:t>
            </w:r>
          </w:p>
        </w:tc>
        <w:tc>
          <w:tcPr>
            <w:tcW w:w="3360" w:type="dxa"/>
            <w:tcBorders>
              <w:top w:val="nil"/>
              <w:left w:val="nil"/>
              <w:bottom w:val="single" w:sz="4" w:space="0" w:color="auto"/>
              <w:right w:val="single" w:sz="4" w:space="0" w:color="auto"/>
            </w:tcBorders>
            <w:shd w:val="clear" w:color="DCE6F1" w:fill="FFFFFF"/>
            <w:noWrap/>
            <w:vAlign w:val="center"/>
            <w:hideMark/>
          </w:tcPr>
          <w:p w14:paraId="54FF72B0"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CEFIC</w:t>
            </w:r>
          </w:p>
        </w:tc>
      </w:tr>
      <w:tr w:rsidR="001C2639" w:rsidRPr="00E91AD4" w14:paraId="252F999B"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3052502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Dave Madsen</w:t>
            </w:r>
          </w:p>
        </w:tc>
        <w:tc>
          <w:tcPr>
            <w:tcW w:w="3360" w:type="dxa"/>
            <w:tcBorders>
              <w:top w:val="nil"/>
              <w:left w:val="nil"/>
              <w:bottom w:val="single" w:sz="4" w:space="0" w:color="auto"/>
              <w:right w:val="single" w:sz="4" w:space="0" w:color="auto"/>
            </w:tcBorders>
            <w:shd w:val="clear" w:color="000000" w:fill="FFFFFF"/>
            <w:noWrap/>
            <w:vAlign w:val="center"/>
            <w:hideMark/>
          </w:tcPr>
          <w:p w14:paraId="60D9F8E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COSTHA</w:t>
            </w:r>
          </w:p>
        </w:tc>
      </w:tr>
      <w:tr w:rsidR="001C2639" w:rsidRPr="00E91AD4" w14:paraId="3AF329CE"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2E248C4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Heike Michael-Schulz</w:t>
            </w:r>
          </w:p>
        </w:tc>
        <w:tc>
          <w:tcPr>
            <w:tcW w:w="3360" w:type="dxa"/>
            <w:tcBorders>
              <w:top w:val="nil"/>
              <w:left w:val="nil"/>
              <w:bottom w:val="single" w:sz="4" w:space="0" w:color="auto"/>
              <w:right w:val="single" w:sz="4" w:space="0" w:color="auto"/>
            </w:tcBorders>
            <w:shd w:val="clear" w:color="000000" w:fill="FFFFFF"/>
            <w:noWrap/>
            <w:vAlign w:val="center"/>
            <w:hideMark/>
          </w:tcPr>
          <w:p w14:paraId="4B273A44"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Germany</w:t>
            </w:r>
          </w:p>
        </w:tc>
      </w:tr>
      <w:tr w:rsidR="001C2639" w:rsidRPr="00E91AD4" w14:paraId="3D8DD635"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1D979B48"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Ken Okada</w:t>
            </w:r>
          </w:p>
        </w:tc>
        <w:tc>
          <w:tcPr>
            <w:tcW w:w="3360" w:type="dxa"/>
            <w:tcBorders>
              <w:top w:val="nil"/>
              <w:left w:val="nil"/>
              <w:bottom w:val="single" w:sz="4" w:space="0" w:color="auto"/>
              <w:right w:val="single" w:sz="4" w:space="0" w:color="auto"/>
            </w:tcBorders>
            <w:shd w:val="clear" w:color="DCE6F1" w:fill="FFFFFF"/>
            <w:noWrap/>
            <w:vAlign w:val="center"/>
            <w:hideMark/>
          </w:tcPr>
          <w:p w14:paraId="5C2CCBA8"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Japan</w:t>
            </w:r>
          </w:p>
        </w:tc>
      </w:tr>
      <w:tr w:rsidR="001C2639" w:rsidRPr="00E91AD4" w14:paraId="26519D29"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055F717F"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Michael O'Lena</w:t>
            </w:r>
          </w:p>
        </w:tc>
        <w:tc>
          <w:tcPr>
            <w:tcW w:w="3360" w:type="dxa"/>
            <w:tcBorders>
              <w:top w:val="nil"/>
              <w:left w:val="nil"/>
              <w:bottom w:val="single" w:sz="4" w:space="0" w:color="auto"/>
              <w:right w:val="single" w:sz="4" w:space="0" w:color="auto"/>
            </w:tcBorders>
            <w:shd w:val="clear" w:color="DCE6F1" w:fill="FFFFFF"/>
            <w:noWrap/>
            <w:vAlign w:val="center"/>
            <w:hideMark/>
          </w:tcPr>
          <w:p w14:paraId="3991B821"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USA</w:t>
            </w:r>
          </w:p>
        </w:tc>
      </w:tr>
      <w:tr w:rsidR="001C2639" w:rsidRPr="00E91AD4" w14:paraId="2FF72CB2"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2406F93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Brian Osowiecki</w:t>
            </w:r>
          </w:p>
        </w:tc>
        <w:tc>
          <w:tcPr>
            <w:tcW w:w="3360" w:type="dxa"/>
            <w:tcBorders>
              <w:top w:val="nil"/>
              <w:left w:val="nil"/>
              <w:bottom w:val="single" w:sz="4" w:space="0" w:color="auto"/>
              <w:right w:val="single" w:sz="4" w:space="0" w:color="auto"/>
            </w:tcBorders>
            <w:shd w:val="clear" w:color="DCE6F1" w:fill="FFFFFF"/>
            <w:noWrap/>
            <w:vAlign w:val="center"/>
            <w:hideMark/>
          </w:tcPr>
          <w:p w14:paraId="3A92E20F"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SAAMI</w:t>
            </w:r>
          </w:p>
        </w:tc>
      </w:tr>
      <w:tr w:rsidR="001C2639" w:rsidRPr="00E91AD4" w14:paraId="01D57A35"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387A7AF0"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Ryan Paquet</w:t>
            </w:r>
          </w:p>
        </w:tc>
        <w:tc>
          <w:tcPr>
            <w:tcW w:w="3360" w:type="dxa"/>
            <w:tcBorders>
              <w:top w:val="nil"/>
              <w:left w:val="nil"/>
              <w:bottom w:val="single" w:sz="4" w:space="0" w:color="auto"/>
              <w:right w:val="single" w:sz="4" w:space="0" w:color="auto"/>
            </w:tcBorders>
            <w:shd w:val="clear" w:color="DCE6F1" w:fill="FFFFFF"/>
            <w:noWrap/>
            <w:vAlign w:val="center"/>
            <w:hideMark/>
          </w:tcPr>
          <w:p w14:paraId="4DCB0D9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COSTHA</w:t>
            </w:r>
          </w:p>
        </w:tc>
      </w:tr>
      <w:tr w:rsidR="001C2639" w:rsidRPr="00E91AD4" w14:paraId="02F333F6"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75BDEBA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Florent Pessina</w:t>
            </w:r>
          </w:p>
        </w:tc>
        <w:tc>
          <w:tcPr>
            <w:tcW w:w="3360" w:type="dxa"/>
            <w:tcBorders>
              <w:top w:val="nil"/>
              <w:left w:val="nil"/>
              <w:bottom w:val="single" w:sz="4" w:space="0" w:color="auto"/>
              <w:right w:val="single" w:sz="4" w:space="0" w:color="auto"/>
            </w:tcBorders>
            <w:shd w:val="clear" w:color="DCE6F1" w:fill="FFFFFF"/>
            <w:noWrap/>
            <w:vAlign w:val="center"/>
            <w:hideMark/>
          </w:tcPr>
          <w:p w14:paraId="1205C8C0"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France</w:t>
            </w:r>
          </w:p>
        </w:tc>
      </w:tr>
      <w:tr w:rsidR="001C2639" w:rsidRPr="00E91AD4" w14:paraId="2A369B6E"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471D1F6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Lucas Petit</w:t>
            </w:r>
          </w:p>
        </w:tc>
        <w:tc>
          <w:tcPr>
            <w:tcW w:w="3360" w:type="dxa"/>
            <w:tcBorders>
              <w:top w:val="nil"/>
              <w:left w:val="nil"/>
              <w:bottom w:val="single" w:sz="4" w:space="0" w:color="auto"/>
              <w:right w:val="single" w:sz="4" w:space="0" w:color="auto"/>
            </w:tcBorders>
            <w:shd w:val="clear" w:color="000000" w:fill="FFFFFF"/>
            <w:noWrap/>
            <w:vAlign w:val="center"/>
            <w:hideMark/>
          </w:tcPr>
          <w:p w14:paraId="434ADE15"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France</w:t>
            </w:r>
          </w:p>
        </w:tc>
      </w:tr>
      <w:tr w:rsidR="001C2639" w:rsidRPr="00E91AD4" w14:paraId="227A3BC6"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0BF58F9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Andre Pie</w:t>
            </w:r>
            <w:r>
              <w:rPr>
                <w:rFonts w:ascii="Calibri" w:hAnsi="Calibri" w:cs="Calibri"/>
                <w:sz w:val="24"/>
                <w:szCs w:val="24"/>
                <w:lang w:val="en-US"/>
              </w:rPr>
              <w:t>n</w:t>
            </w:r>
            <w:r w:rsidRPr="00E91AD4">
              <w:rPr>
                <w:rFonts w:ascii="Calibri" w:hAnsi="Calibri" w:cs="Calibri"/>
                <w:sz w:val="24"/>
                <w:szCs w:val="24"/>
                <w:lang w:val="en-US"/>
              </w:rPr>
              <w:t>aa</w:t>
            </w:r>
            <w:r>
              <w:rPr>
                <w:rFonts w:ascii="Calibri" w:hAnsi="Calibri" w:cs="Calibri"/>
                <w:sz w:val="24"/>
                <w:szCs w:val="24"/>
                <w:lang w:val="en-US"/>
              </w:rPr>
              <w:t>r</w:t>
            </w:r>
          </w:p>
        </w:tc>
        <w:tc>
          <w:tcPr>
            <w:tcW w:w="3360" w:type="dxa"/>
            <w:tcBorders>
              <w:top w:val="nil"/>
              <w:left w:val="nil"/>
              <w:bottom w:val="single" w:sz="4" w:space="0" w:color="auto"/>
              <w:right w:val="single" w:sz="4" w:space="0" w:color="auto"/>
            </w:tcBorders>
            <w:shd w:val="clear" w:color="DCE6F1" w:fill="FFFFFF"/>
            <w:noWrap/>
            <w:vAlign w:val="center"/>
            <w:hideMark/>
          </w:tcPr>
          <w:p w14:paraId="6692A2BE"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RPMASA</w:t>
            </w:r>
          </w:p>
        </w:tc>
      </w:tr>
      <w:tr w:rsidR="001C2639" w:rsidRPr="00E91AD4" w14:paraId="5C161C44"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4653F23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Ken Price</w:t>
            </w:r>
          </w:p>
        </w:tc>
        <w:tc>
          <w:tcPr>
            <w:tcW w:w="3360" w:type="dxa"/>
            <w:tcBorders>
              <w:top w:val="nil"/>
              <w:left w:val="nil"/>
              <w:bottom w:val="single" w:sz="4" w:space="0" w:color="auto"/>
              <w:right w:val="single" w:sz="4" w:space="0" w:color="auto"/>
            </w:tcBorders>
            <w:shd w:val="clear" w:color="000000" w:fill="FFFFFF"/>
            <w:noWrap/>
            <w:vAlign w:val="center"/>
            <w:hideMark/>
          </w:tcPr>
          <w:p w14:paraId="1D803FA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AEISG</w:t>
            </w:r>
          </w:p>
        </w:tc>
      </w:tr>
      <w:tr w:rsidR="001C2639" w:rsidRPr="00E91AD4" w14:paraId="66275890"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5747448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William Schoonover</w:t>
            </w:r>
          </w:p>
        </w:tc>
        <w:tc>
          <w:tcPr>
            <w:tcW w:w="3360" w:type="dxa"/>
            <w:tcBorders>
              <w:top w:val="nil"/>
              <w:left w:val="nil"/>
              <w:bottom w:val="single" w:sz="4" w:space="0" w:color="auto"/>
              <w:right w:val="single" w:sz="4" w:space="0" w:color="auto"/>
            </w:tcBorders>
            <w:shd w:val="clear" w:color="000000" w:fill="FFFFFF"/>
            <w:noWrap/>
            <w:vAlign w:val="center"/>
            <w:hideMark/>
          </w:tcPr>
          <w:p w14:paraId="641DCBFB"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USA</w:t>
            </w:r>
          </w:p>
        </w:tc>
      </w:tr>
      <w:tr w:rsidR="001C2639" w:rsidRPr="00E91AD4" w14:paraId="36846732"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0E7D7A3C"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Peter Schuurman</w:t>
            </w:r>
          </w:p>
        </w:tc>
        <w:tc>
          <w:tcPr>
            <w:tcW w:w="3360" w:type="dxa"/>
            <w:tcBorders>
              <w:top w:val="nil"/>
              <w:left w:val="nil"/>
              <w:bottom w:val="single" w:sz="4" w:space="0" w:color="auto"/>
              <w:right w:val="single" w:sz="4" w:space="0" w:color="auto"/>
            </w:tcBorders>
            <w:shd w:val="clear" w:color="000000" w:fill="FFFFFF"/>
            <w:noWrap/>
            <w:vAlign w:val="center"/>
            <w:hideMark/>
          </w:tcPr>
          <w:p w14:paraId="7EC7152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CEFIC</w:t>
            </w:r>
          </w:p>
        </w:tc>
      </w:tr>
      <w:tr w:rsidR="001C2639" w:rsidRPr="00E91AD4" w14:paraId="6D4E9FED"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1077A8C8"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Xu Sen</w:t>
            </w:r>
          </w:p>
        </w:tc>
        <w:tc>
          <w:tcPr>
            <w:tcW w:w="3360" w:type="dxa"/>
            <w:tcBorders>
              <w:top w:val="nil"/>
              <w:left w:val="nil"/>
              <w:bottom w:val="single" w:sz="4" w:space="0" w:color="auto"/>
              <w:right w:val="single" w:sz="4" w:space="0" w:color="auto"/>
            </w:tcBorders>
            <w:shd w:val="clear" w:color="DCE6F1" w:fill="FFFFFF"/>
            <w:noWrap/>
            <w:vAlign w:val="center"/>
            <w:hideMark/>
          </w:tcPr>
          <w:p w14:paraId="5992BC4C"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China</w:t>
            </w:r>
          </w:p>
        </w:tc>
      </w:tr>
      <w:tr w:rsidR="001C2639" w:rsidRPr="00E91AD4" w14:paraId="5F547F7E"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7C5A2BA6"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Jackson Shaver</w:t>
            </w:r>
          </w:p>
        </w:tc>
        <w:tc>
          <w:tcPr>
            <w:tcW w:w="3360" w:type="dxa"/>
            <w:tcBorders>
              <w:top w:val="nil"/>
              <w:left w:val="nil"/>
              <w:bottom w:val="single" w:sz="4" w:space="0" w:color="auto"/>
              <w:right w:val="single" w:sz="4" w:space="0" w:color="auto"/>
            </w:tcBorders>
            <w:shd w:val="clear" w:color="000000" w:fill="FFFFFF"/>
            <w:noWrap/>
            <w:vAlign w:val="center"/>
            <w:hideMark/>
          </w:tcPr>
          <w:p w14:paraId="2A497684"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COSTHA</w:t>
            </w:r>
          </w:p>
        </w:tc>
      </w:tr>
      <w:tr w:rsidR="001C2639" w:rsidRPr="00E91AD4" w14:paraId="01CA11C2"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47ABE0EF"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Bob Sheridan</w:t>
            </w:r>
          </w:p>
        </w:tc>
        <w:tc>
          <w:tcPr>
            <w:tcW w:w="3360" w:type="dxa"/>
            <w:tcBorders>
              <w:top w:val="nil"/>
              <w:left w:val="nil"/>
              <w:bottom w:val="single" w:sz="4" w:space="0" w:color="auto"/>
              <w:right w:val="single" w:sz="4" w:space="0" w:color="auto"/>
            </w:tcBorders>
            <w:shd w:val="clear" w:color="000000" w:fill="FFFFFF"/>
            <w:noWrap/>
            <w:vAlign w:val="center"/>
            <w:hideMark/>
          </w:tcPr>
          <w:p w14:paraId="27E11AB3"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AESIG</w:t>
            </w:r>
          </w:p>
        </w:tc>
      </w:tr>
      <w:tr w:rsidR="001C2639" w:rsidRPr="00E91AD4" w14:paraId="5F0C8974"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4017F2F4"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Nie Shulin</w:t>
            </w:r>
          </w:p>
        </w:tc>
        <w:tc>
          <w:tcPr>
            <w:tcW w:w="3360" w:type="dxa"/>
            <w:tcBorders>
              <w:top w:val="nil"/>
              <w:left w:val="nil"/>
              <w:bottom w:val="single" w:sz="4" w:space="0" w:color="auto"/>
              <w:right w:val="single" w:sz="4" w:space="0" w:color="auto"/>
            </w:tcBorders>
            <w:shd w:val="clear" w:color="DCE6F1" w:fill="FFFFFF"/>
            <w:noWrap/>
            <w:vAlign w:val="center"/>
            <w:hideMark/>
          </w:tcPr>
          <w:p w14:paraId="71D04C50"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Sweden</w:t>
            </w:r>
          </w:p>
        </w:tc>
      </w:tr>
      <w:tr w:rsidR="001C2639" w:rsidRPr="00E91AD4" w14:paraId="544F3F4B"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7F0212A9"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Martyn Sime</w:t>
            </w:r>
          </w:p>
        </w:tc>
        <w:tc>
          <w:tcPr>
            <w:tcW w:w="3360" w:type="dxa"/>
            <w:tcBorders>
              <w:top w:val="nil"/>
              <w:left w:val="nil"/>
              <w:bottom w:val="single" w:sz="4" w:space="0" w:color="auto"/>
              <w:right w:val="single" w:sz="4" w:space="0" w:color="auto"/>
            </w:tcBorders>
            <w:shd w:val="clear" w:color="000000" w:fill="FFFFFF"/>
            <w:noWrap/>
            <w:vAlign w:val="center"/>
            <w:hideMark/>
          </w:tcPr>
          <w:p w14:paraId="0D92D057"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UK</w:t>
            </w:r>
          </w:p>
        </w:tc>
      </w:tr>
      <w:tr w:rsidR="001C2639" w:rsidRPr="00E91AD4" w14:paraId="15677FC7"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7F3C0818"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Arnaud Vandenbroucke</w:t>
            </w:r>
          </w:p>
        </w:tc>
        <w:tc>
          <w:tcPr>
            <w:tcW w:w="3360" w:type="dxa"/>
            <w:tcBorders>
              <w:top w:val="nil"/>
              <w:left w:val="nil"/>
              <w:bottom w:val="single" w:sz="4" w:space="0" w:color="auto"/>
              <w:right w:val="single" w:sz="4" w:space="0" w:color="auto"/>
            </w:tcBorders>
            <w:shd w:val="clear" w:color="DCE6F1" w:fill="FFFFFF"/>
            <w:noWrap/>
            <w:vAlign w:val="center"/>
            <w:hideMark/>
          </w:tcPr>
          <w:p w14:paraId="3D0F777B"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Belgium</w:t>
            </w:r>
          </w:p>
        </w:tc>
      </w:tr>
      <w:tr w:rsidR="001C2639" w:rsidRPr="00E91AD4" w14:paraId="2A7DD315" w14:textId="77777777" w:rsidTr="00C57B5A">
        <w:trPr>
          <w:trHeight w:val="240"/>
          <w:jc w:val="center"/>
        </w:trPr>
        <w:tc>
          <w:tcPr>
            <w:tcW w:w="4100" w:type="dxa"/>
            <w:tcBorders>
              <w:top w:val="nil"/>
              <w:left w:val="single" w:sz="4" w:space="0" w:color="auto"/>
              <w:bottom w:val="single" w:sz="4" w:space="0" w:color="auto"/>
              <w:right w:val="single" w:sz="4" w:space="0" w:color="auto"/>
            </w:tcBorders>
            <w:shd w:val="clear" w:color="DCE6F1" w:fill="FFFFFF"/>
            <w:noWrap/>
            <w:vAlign w:val="center"/>
            <w:hideMark/>
          </w:tcPr>
          <w:p w14:paraId="3E9DC3D1"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Brian Vos</w:t>
            </w:r>
          </w:p>
        </w:tc>
        <w:tc>
          <w:tcPr>
            <w:tcW w:w="3360" w:type="dxa"/>
            <w:tcBorders>
              <w:top w:val="nil"/>
              <w:left w:val="nil"/>
              <w:bottom w:val="single" w:sz="4" w:space="0" w:color="auto"/>
              <w:right w:val="single" w:sz="4" w:space="0" w:color="auto"/>
            </w:tcBorders>
            <w:shd w:val="clear" w:color="DCE6F1" w:fill="FFFFFF"/>
            <w:noWrap/>
            <w:vAlign w:val="center"/>
            <w:hideMark/>
          </w:tcPr>
          <w:p w14:paraId="456E108D" w14:textId="77777777" w:rsidR="001C2639" w:rsidRPr="00E91AD4" w:rsidRDefault="001C2639" w:rsidP="00C57B5A">
            <w:pPr>
              <w:suppressAutoHyphens w:val="0"/>
              <w:spacing w:line="240" w:lineRule="auto"/>
              <w:rPr>
                <w:rFonts w:ascii="Calibri" w:hAnsi="Calibri" w:cs="Calibri"/>
                <w:sz w:val="24"/>
                <w:szCs w:val="24"/>
                <w:lang w:val="en-US"/>
              </w:rPr>
            </w:pPr>
            <w:r w:rsidRPr="00E91AD4">
              <w:rPr>
                <w:rFonts w:ascii="Calibri" w:hAnsi="Calibri" w:cs="Calibri"/>
                <w:sz w:val="24"/>
                <w:szCs w:val="24"/>
                <w:lang w:val="en-US"/>
              </w:rPr>
              <w:t>USA</w:t>
            </w:r>
          </w:p>
        </w:tc>
      </w:tr>
    </w:tbl>
    <w:p w14:paraId="381788A6" w14:textId="77777777" w:rsidR="001C2639" w:rsidRPr="007F14EF" w:rsidRDefault="001C2639" w:rsidP="001C2639">
      <w:pPr>
        <w:rPr>
          <w:color w:val="FF0000"/>
          <w:lang w:val="en-US"/>
        </w:rPr>
      </w:pPr>
    </w:p>
    <w:p w14:paraId="70855AC0" w14:textId="77777777" w:rsidR="003C5ADC" w:rsidRDefault="00A44651" w:rsidP="00A44651">
      <w:pPr>
        <w:pStyle w:val="HChG"/>
        <w:rPr>
          <w:rFonts w:eastAsia="MS Mincho"/>
          <w:lang w:val="en-US" w:eastAsia="ja-JP"/>
        </w:rPr>
      </w:pPr>
      <w:r>
        <w:rPr>
          <w:rFonts w:eastAsia="MS Mincho"/>
          <w:lang w:val="en-US" w:eastAsia="ja-JP"/>
        </w:rPr>
        <w:lastRenderedPageBreak/>
        <w:tab/>
      </w:r>
      <w:r w:rsidR="001C2639" w:rsidRPr="007F14EF">
        <w:rPr>
          <w:rFonts w:eastAsia="MS Mincho"/>
          <w:lang w:val="en-US" w:eastAsia="ja-JP"/>
        </w:rPr>
        <w:t>Annex 2</w:t>
      </w:r>
    </w:p>
    <w:p w14:paraId="28DC9BB2" w14:textId="77777777" w:rsidR="003C5ADC" w:rsidRDefault="001C2639" w:rsidP="00A44651">
      <w:pPr>
        <w:pStyle w:val="HChG"/>
        <w:rPr>
          <w:rFonts w:eastAsia="MS Mincho"/>
          <w:lang w:val="en-US" w:eastAsia="ja-JP"/>
        </w:rPr>
      </w:pPr>
      <w:r w:rsidRPr="007F14EF">
        <w:rPr>
          <w:rFonts w:eastAsia="MS Mincho"/>
          <w:lang w:val="en-US" w:eastAsia="ja-JP"/>
        </w:rPr>
        <w:t>Working Group on Explosives (3 – 7 July 2023)</w:t>
      </w:r>
    </w:p>
    <w:p w14:paraId="79E20EBC" w14:textId="1AB83BD8" w:rsidR="001C2639" w:rsidRPr="007F14EF" w:rsidRDefault="001C2639" w:rsidP="00A44651">
      <w:pPr>
        <w:pStyle w:val="HChG"/>
        <w:rPr>
          <w:rFonts w:eastAsia="MS Mincho"/>
          <w:lang w:val="en-US" w:eastAsia="ja-JP"/>
        </w:rPr>
      </w:pPr>
      <w:r w:rsidRPr="007F14EF">
        <w:rPr>
          <w:rFonts w:eastAsia="MS Mincho"/>
          <w:lang w:val="en-US" w:eastAsia="ja-JP"/>
        </w:rPr>
        <w:t>Changes for the Model Regulations (22nd Revised Edition)</w:t>
      </w:r>
    </w:p>
    <w:p w14:paraId="705C389B" w14:textId="77777777" w:rsidR="001C2639" w:rsidRPr="007F14EF" w:rsidRDefault="001C2639" w:rsidP="001C2639">
      <w:pPr>
        <w:tabs>
          <w:tab w:val="left" w:pos="720"/>
        </w:tabs>
        <w:spacing w:line="240" w:lineRule="auto"/>
        <w:ind w:right="43"/>
        <w:rPr>
          <w:b/>
          <w:lang w:val="en-US"/>
        </w:rPr>
      </w:pPr>
      <w:bookmarkStart w:id="13" w:name="_Hlk495037913"/>
      <w:r w:rsidRPr="007F14EF">
        <w:rPr>
          <w:rFonts w:eastAsia="MS Mincho"/>
          <w:lang w:val="en-US" w:eastAsia="ja-JP"/>
        </w:rPr>
        <w:t xml:space="preserve">Notes:  Source of proposed change is indicated by </w:t>
      </w:r>
      <w:r w:rsidRPr="007F14EF">
        <w:rPr>
          <w:rFonts w:eastAsia="MS Mincho"/>
          <w:i/>
          <w:lang w:val="en-US" w:eastAsia="ja-JP"/>
        </w:rPr>
        <w:t>italicized text (Source:  XXX)</w:t>
      </w:r>
    </w:p>
    <w:p w14:paraId="1CF48B52" w14:textId="77777777" w:rsidR="001C2639" w:rsidRPr="007F14EF" w:rsidRDefault="001C2639" w:rsidP="001C2639">
      <w:pPr>
        <w:tabs>
          <w:tab w:val="left" w:pos="630"/>
        </w:tabs>
        <w:spacing w:line="240" w:lineRule="auto"/>
        <w:ind w:right="43"/>
        <w:rPr>
          <w:lang w:val="en-US"/>
        </w:rPr>
      </w:pPr>
      <w:r w:rsidRPr="007F14EF">
        <w:rPr>
          <w:lang w:val="en-US"/>
        </w:rPr>
        <w:tab/>
        <w:t xml:space="preserve">Unless otherwise indicated, </w:t>
      </w:r>
      <w:r w:rsidRPr="002D3609">
        <w:rPr>
          <w:strike/>
          <w:color w:val="FF0000"/>
          <w:lang w:val="en-US"/>
        </w:rPr>
        <w:t>Red</w:t>
      </w:r>
      <w:r w:rsidRPr="002D3609">
        <w:rPr>
          <w:color w:val="FF0000"/>
          <w:lang w:val="en-US"/>
        </w:rPr>
        <w:t xml:space="preserve"> </w:t>
      </w:r>
      <w:r w:rsidRPr="007F14EF">
        <w:rPr>
          <w:lang w:val="en-US"/>
        </w:rPr>
        <w:t>indicates deleted text</w:t>
      </w:r>
    </w:p>
    <w:p w14:paraId="6C9189C0" w14:textId="77777777" w:rsidR="001C2639" w:rsidRPr="007F14EF" w:rsidRDefault="001C2639" w:rsidP="001C2639">
      <w:pPr>
        <w:tabs>
          <w:tab w:val="left" w:pos="630"/>
        </w:tabs>
        <w:spacing w:after="120" w:line="240" w:lineRule="auto"/>
        <w:ind w:right="43"/>
        <w:rPr>
          <w:rFonts w:eastAsia="MS Mincho"/>
          <w:lang w:val="en-US" w:eastAsia="ja-JP"/>
        </w:rPr>
      </w:pPr>
      <w:r w:rsidRPr="007F14EF">
        <w:rPr>
          <w:lang w:val="en-US"/>
        </w:rPr>
        <w:tab/>
        <w:t xml:space="preserve">Unless otherwise indicated, </w:t>
      </w:r>
      <w:r w:rsidRPr="00FC4957">
        <w:rPr>
          <w:b/>
          <w:bCs/>
          <w:color w:val="548DD4" w:themeColor="text2" w:themeTint="99"/>
          <w:u w:val="single"/>
          <w:lang w:val="en-US"/>
        </w:rPr>
        <w:t>Blue</w:t>
      </w:r>
      <w:r w:rsidRPr="00FC4957">
        <w:rPr>
          <w:color w:val="548DD4" w:themeColor="text2" w:themeTint="99"/>
          <w:lang w:val="en-US"/>
        </w:rPr>
        <w:t xml:space="preserve"> </w:t>
      </w:r>
      <w:r w:rsidRPr="007F14EF">
        <w:rPr>
          <w:lang w:val="en-US"/>
        </w:rPr>
        <w:t>indicates inserted text</w:t>
      </w:r>
    </w:p>
    <w:p w14:paraId="265E7719" w14:textId="77777777" w:rsidR="001C2639" w:rsidRPr="00477EF6" w:rsidRDefault="001C2639" w:rsidP="001C2639">
      <w:pPr>
        <w:pStyle w:val="SingleTxtG"/>
        <w:keepNext/>
        <w:keepLines/>
        <w:pBdr>
          <w:top w:val="single" w:sz="4" w:space="1" w:color="auto"/>
        </w:pBdr>
        <w:spacing w:before="120" w:line="240" w:lineRule="auto"/>
        <w:ind w:left="0" w:right="43"/>
        <w:rPr>
          <w:b/>
          <w:lang w:val="en-US"/>
        </w:rPr>
      </w:pPr>
      <w:r w:rsidRPr="00477EF6">
        <w:rPr>
          <w:b/>
          <w:lang w:val="en-US"/>
        </w:rPr>
        <w:t>Amendment 1.</w:t>
      </w:r>
    </w:p>
    <w:bookmarkEnd w:id="13"/>
    <w:p w14:paraId="110BC6BD" w14:textId="77777777" w:rsidR="001C2639" w:rsidRPr="00836581" w:rsidRDefault="001C2639" w:rsidP="003C5ADC">
      <w:pPr>
        <w:pStyle w:val="SingleTxtG"/>
        <w:numPr>
          <w:ilvl w:val="0"/>
          <w:numId w:val="17"/>
        </w:numPr>
        <w:autoSpaceDN w:val="0"/>
        <w:ind w:left="0" w:firstLine="0"/>
        <w:rPr>
          <w:lang w:val="en-US"/>
        </w:rPr>
      </w:pPr>
      <w:r w:rsidRPr="00836581">
        <w:rPr>
          <w:lang w:val="en-US"/>
        </w:rPr>
        <w:t xml:space="preserve">Amend the description of </w:t>
      </w:r>
      <w:r w:rsidRPr="00836581">
        <w:rPr>
          <w:rFonts w:hint="eastAsia"/>
          <w:lang w:val="en-US"/>
        </w:rPr>
        <w:t xml:space="preserve">51.4.4.2 (e) </w:t>
      </w:r>
      <w:r w:rsidRPr="00836581">
        <w:rPr>
          <w:lang w:val="en-US"/>
        </w:rPr>
        <w:t>in the Manual of Tests and Criteria as</w:t>
      </w:r>
      <w:r w:rsidRPr="00836581">
        <w:rPr>
          <w:rFonts w:hint="eastAsia"/>
          <w:lang w:val="en-US"/>
        </w:rPr>
        <w:t xml:space="preserve"> follow</w:t>
      </w:r>
      <w:r w:rsidRPr="00836581">
        <w:rPr>
          <w:lang w:val="en-US"/>
        </w:rPr>
        <w:t xml:space="preserve">s: </w:t>
      </w:r>
    </w:p>
    <w:p w14:paraId="0BD3ED2C" w14:textId="77777777" w:rsidR="001C2639" w:rsidRPr="00FC4957" w:rsidRDefault="001C2639" w:rsidP="001C2639">
      <w:pPr>
        <w:pStyle w:val="SingleTxtG"/>
        <w:autoSpaceDN w:val="0"/>
        <w:ind w:left="567"/>
        <w:rPr>
          <w:lang w:val="en-US"/>
        </w:rPr>
      </w:pPr>
      <w:r w:rsidRPr="00FC4957">
        <w:rPr>
          <w:lang w:val="en-US"/>
        </w:rPr>
        <w:t>“</w:t>
      </w:r>
      <w:r>
        <w:rPr>
          <w:lang w:val="en-US"/>
        </w:rPr>
        <w:t>[</w:t>
      </w:r>
      <w:r w:rsidRPr="00FC4957">
        <w:rPr>
          <w:lang w:val="en-US"/>
        </w:rPr>
        <w:t>(e)</w:t>
      </w:r>
      <w:r w:rsidRPr="00FC4957">
        <w:rPr>
          <w:lang w:val="en-US"/>
        </w:rPr>
        <w:tab/>
        <w:t>I</w:t>
      </w:r>
      <w:r w:rsidRPr="002D3609">
        <w:rPr>
          <w:i/>
          <w:iCs/>
          <w:vertAlign w:val="subscript"/>
          <w:lang w:val="en-US"/>
        </w:rPr>
        <w:t>relevant</w:t>
      </w:r>
      <w:r w:rsidRPr="00FC4957">
        <w:rPr>
          <w:vertAlign w:val="subscript"/>
          <w:lang w:val="en-US"/>
        </w:rPr>
        <w:t xml:space="preserve"> </w:t>
      </w:r>
      <w:r w:rsidRPr="00FC4957">
        <w:rPr>
          <w:lang w:val="en-US"/>
        </w:rPr>
        <w:t xml:space="preserve">is obtained from the maximum of the </w:t>
      </w:r>
      <w:r w:rsidRPr="00FC4957">
        <w:rPr>
          <w:b/>
          <w:color w:val="548DD4" w:themeColor="text2" w:themeTint="99"/>
          <w:u w:val="single"/>
          <w:lang w:val="en-US"/>
        </w:rPr>
        <w:t>smoothed and corrected</w:t>
      </w:r>
      <w:r w:rsidRPr="00FC4957">
        <w:rPr>
          <w:color w:val="548DD4" w:themeColor="text2" w:themeTint="99"/>
          <w:lang w:val="en-US"/>
        </w:rPr>
        <w:t xml:space="preserve"> </w:t>
      </w:r>
      <w:r w:rsidRPr="00FC4957">
        <w:rPr>
          <w:lang w:val="en-US"/>
        </w:rPr>
        <w:t>curve</w:t>
      </w:r>
      <w:r w:rsidRPr="00FC4957">
        <w:rPr>
          <w:rFonts w:hint="eastAsia"/>
          <w:lang w:val="en-US"/>
        </w:rPr>
        <w:t xml:space="preserve"> of </w:t>
      </w:r>
      <w:r w:rsidRPr="00FC4957">
        <w:rPr>
          <w:b/>
          <w:bCs/>
          <w:color w:val="548DD4" w:themeColor="text2" w:themeTint="99"/>
          <w:u w:val="single"/>
          <w:lang w:val="en-US"/>
        </w:rPr>
        <w:t xml:space="preserve">the </w:t>
      </w:r>
      <w:r w:rsidRPr="00FC4957">
        <w:rPr>
          <w:b/>
          <w:color w:val="548DD4" w:themeColor="text2" w:themeTint="99"/>
          <w:u w:val="single"/>
          <w:lang w:val="en-US"/>
        </w:rPr>
        <w:t>measured</w:t>
      </w:r>
      <w:r w:rsidRPr="00FC4957">
        <w:rPr>
          <w:b/>
          <w:color w:val="548DD4" w:themeColor="text2" w:themeTint="99"/>
          <w:lang w:val="en-US"/>
        </w:rPr>
        <w:t xml:space="preserve"> </w:t>
      </w:r>
      <w:r w:rsidRPr="00FC4957">
        <w:rPr>
          <w:rFonts w:hint="eastAsia"/>
          <w:lang w:val="en-US"/>
        </w:rPr>
        <w:t>heat radiation</w:t>
      </w:r>
      <w:r w:rsidRPr="00FC4957">
        <w:rPr>
          <w:lang w:val="en-US"/>
        </w:rPr>
        <w:t>.</w:t>
      </w:r>
      <w:r w:rsidRPr="00FC4957">
        <w:rPr>
          <w:rFonts w:hint="eastAsia"/>
          <w:lang w:val="en-US"/>
        </w:rPr>
        <w:t xml:space="preserve"> </w:t>
      </w:r>
      <w:r w:rsidRPr="002D3609">
        <w:rPr>
          <w:b/>
          <w:u w:val="single"/>
          <w:lang w:val="en-US"/>
        </w:rPr>
        <w:t>I</w:t>
      </w:r>
      <w:r w:rsidRPr="002D3609">
        <w:rPr>
          <w:b/>
          <w:i/>
          <w:iCs/>
          <w:u w:val="single"/>
          <w:vertAlign w:val="subscript"/>
          <w:lang w:val="en-US"/>
        </w:rPr>
        <w:t>calculated</w:t>
      </w:r>
      <w:r w:rsidRPr="00FC4957">
        <w:rPr>
          <w:b/>
          <w:lang w:val="en-US"/>
        </w:rPr>
        <w:t xml:space="preserve"> </w:t>
      </w:r>
      <w:r w:rsidRPr="00FC4957">
        <w:rPr>
          <w:b/>
          <w:color w:val="548DD4" w:themeColor="text2" w:themeTint="99"/>
          <w:u w:val="single"/>
          <w:lang w:val="en-US"/>
        </w:rPr>
        <w:t>is</w:t>
      </w:r>
      <w:r w:rsidRPr="00FC4957">
        <w:rPr>
          <w:bCs/>
          <w:color w:val="548DD4" w:themeColor="text2" w:themeTint="99"/>
          <w:lang w:val="en-US"/>
        </w:rPr>
        <w:t xml:space="preserve"> </w:t>
      </w:r>
      <w:r w:rsidRPr="00FC4957">
        <w:rPr>
          <w:bCs/>
          <w:strike/>
          <w:color w:val="FF0000"/>
          <w:lang w:val="en-US"/>
        </w:rPr>
        <w:t>calculated as</w:t>
      </w:r>
      <w:r w:rsidRPr="00FC4957">
        <w:rPr>
          <w:bCs/>
          <w:color w:val="FF0000"/>
          <w:lang w:val="en-US"/>
        </w:rPr>
        <w:t xml:space="preserve"> </w:t>
      </w:r>
      <w:r w:rsidRPr="00FC4957">
        <w:rPr>
          <w:b/>
          <w:color w:val="548DD4" w:themeColor="text2" w:themeTint="99"/>
          <w:u w:val="single"/>
          <w:lang w:val="en-US"/>
        </w:rPr>
        <w:t>the</w:t>
      </w:r>
      <w:r w:rsidRPr="00FC4957">
        <w:rPr>
          <w:bCs/>
          <w:color w:val="548DD4" w:themeColor="text2" w:themeTint="99"/>
          <w:lang w:val="en-US"/>
        </w:rPr>
        <w:t xml:space="preserve"> </w:t>
      </w:r>
      <w:r w:rsidRPr="00FC4957">
        <w:rPr>
          <w:bCs/>
          <w:lang w:val="en-US"/>
        </w:rPr>
        <w:t>average value of the radiation</w:t>
      </w:r>
      <w:r w:rsidRPr="00FC4957">
        <w:rPr>
          <w:b/>
          <w:lang w:val="en-US"/>
        </w:rPr>
        <w:t xml:space="preserve"> </w:t>
      </w:r>
      <w:r w:rsidRPr="00FC4957">
        <w:rPr>
          <w:b/>
          <w:color w:val="548DD4" w:themeColor="text2" w:themeTint="99"/>
          <w:u w:val="single"/>
          <w:lang w:val="en-US"/>
        </w:rPr>
        <w:t>obtained</w:t>
      </w:r>
      <w:r w:rsidRPr="00FC4957">
        <w:rPr>
          <w:color w:val="548DD4" w:themeColor="text2" w:themeTint="99"/>
          <w:lang w:val="en-US"/>
        </w:rPr>
        <w:t xml:space="preserve"> </w:t>
      </w:r>
      <w:r w:rsidRPr="00FC4957">
        <w:rPr>
          <w:lang w:val="en-US"/>
        </w:rPr>
        <w:t>by converting the integrated area in a rectangle</w:t>
      </w:r>
      <w:r w:rsidRPr="00FC4957">
        <w:rPr>
          <w:rFonts w:hint="eastAsia"/>
          <w:lang w:val="en-US"/>
        </w:rPr>
        <w:t xml:space="preserve"> of equal </w:t>
      </w:r>
      <w:r w:rsidRPr="00FC4957">
        <w:rPr>
          <w:strike/>
          <w:color w:val="FF0000"/>
          <w:lang w:val="en-US"/>
        </w:rPr>
        <w:t>size</w:t>
      </w:r>
      <w:r w:rsidRPr="00FC4957">
        <w:rPr>
          <w:color w:val="FF0000"/>
          <w:lang w:val="en-US"/>
        </w:rPr>
        <w:t xml:space="preserve"> </w:t>
      </w:r>
      <w:r w:rsidRPr="00FC4957">
        <w:rPr>
          <w:b/>
          <w:bCs/>
          <w:color w:val="548DD4" w:themeColor="text2" w:themeTint="99"/>
          <w:u w:val="single"/>
          <w:lang w:val="en-US"/>
        </w:rPr>
        <w:t>area</w:t>
      </w:r>
      <w:r w:rsidRPr="00FC4957">
        <w:rPr>
          <w:color w:val="548DD4" w:themeColor="text2" w:themeTint="99"/>
          <w:lang w:val="en-US"/>
        </w:rPr>
        <w:t xml:space="preserve"> </w:t>
      </w:r>
      <w:r w:rsidRPr="00FC4957">
        <w:rPr>
          <w:rFonts w:hint="eastAsia"/>
          <w:lang w:val="en-US"/>
        </w:rPr>
        <w:t xml:space="preserve">during the same </w:t>
      </w:r>
      <w:r w:rsidRPr="00FC4957">
        <w:rPr>
          <w:b/>
          <w:bCs/>
          <w:color w:val="548DD4" w:themeColor="text2" w:themeTint="99"/>
          <w:u w:val="single"/>
          <w:lang w:val="en-US"/>
        </w:rPr>
        <w:t>total burning</w:t>
      </w:r>
      <w:r w:rsidRPr="00FC4957">
        <w:rPr>
          <w:color w:val="548DD4" w:themeColor="text2" w:themeTint="99"/>
          <w:lang w:val="en-US"/>
        </w:rPr>
        <w:t xml:space="preserve"> </w:t>
      </w:r>
      <w:r w:rsidRPr="00FC4957">
        <w:rPr>
          <w:rFonts w:hint="eastAsia"/>
          <w:lang w:val="en-US"/>
        </w:rPr>
        <w:t>time</w:t>
      </w:r>
      <w:r w:rsidRPr="00FC4957">
        <w:rPr>
          <w:lang w:val="en-US"/>
        </w:rPr>
        <w:t xml:space="preserve"> </w:t>
      </w:r>
      <w:r w:rsidRPr="00FC4957">
        <w:rPr>
          <w:rFonts w:hint="eastAsia"/>
          <w:strike/>
          <w:color w:val="FF0000"/>
          <w:lang w:val="en-US"/>
        </w:rPr>
        <w:t>span</w:t>
      </w:r>
      <w:r w:rsidRPr="00FC4957">
        <w:rPr>
          <w:b/>
          <w:bCs/>
          <w:color w:val="548DD4" w:themeColor="text2" w:themeTint="99"/>
          <w:u w:val="single"/>
          <w:lang w:val="en-US"/>
        </w:rPr>
        <w:t>; see Figure 51.4.1</w:t>
      </w:r>
      <w:r w:rsidRPr="00FC4957">
        <w:rPr>
          <w:rFonts w:hint="eastAsia"/>
          <w:lang w:val="en-US"/>
        </w:rPr>
        <w:t>.</w:t>
      </w:r>
      <w:r>
        <w:rPr>
          <w:lang w:val="en-US"/>
        </w:rPr>
        <w:t>]</w:t>
      </w:r>
      <w:r w:rsidRPr="00FC4957">
        <w:rPr>
          <w:lang w:val="en-US"/>
        </w:rPr>
        <w:t>”</w:t>
      </w:r>
    </w:p>
    <w:p w14:paraId="5C3E606A" w14:textId="77777777" w:rsidR="001C2639" w:rsidRPr="007F14EF" w:rsidRDefault="001C2639" w:rsidP="001C2639">
      <w:pPr>
        <w:rPr>
          <w:rFonts w:eastAsia="MS Mincho"/>
          <w:color w:val="FF0000"/>
          <w:lang w:val="en-US" w:eastAsia="ja-JP"/>
        </w:rPr>
      </w:pPr>
    </w:p>
    <w:p w14:paraId="60059B85" w14:textId="77777777" w:rsidR="001C2639" w:rsidRPr="00FC4957" w:rsidRDefault="001C2639" w:rsidP="001C2639">
      <w:pPr>
        <w:pStyle w:val="SingleTxtG"/>
        <w:pBdr>
          <w:bottom w:val="single" w:sz="8" w:space="1" w:color="auto"/>
        </w:pBdr>
        <w:spacing w:after="0" w:line="240" w:lineRule="auto"/>
        <w:ind w:left="0" w:right="43"/>
        <w:rPr>
          <w:i/>
          <w:lang w:val="en-US"/>
        </w:rPr>
      </w:pPr>
      <w:r w:rsidRPr="00FC4957">
        <w:rPr>
          <w:i/>
          <w:lang w:val="en-US"/>
        </w:rPr>
        <w:t>Source: ST/SG/AC.10/C.3/2023/6 para. 4 as amended and para. 9 of this report</w:t>
      </w:r>
      <w:r w:rsidRPr="00FC4957">
        <w:rPr>
          <w:rFonts w:asciiTheme="majorBidi" w:hAnsiTheme="majorBidi" w:cstheme="majorBidi"/>
          <w:lang w:val="en-US"/>
        </w:rPr>
        <w:t>.</w:t>
      </w:r>
    </w:p>
    <w:p w14:paraId="522C356D" w14:textId="77777777" w:rsidR="001C2639" w:rsidRDefault="001C2639" w:rsidP="001C2639">
      <w:pPr>
        <w:rPr>
          <w:rFonts w:eastAsia="MS Mincho"/>
          <w:color w:val="FF0000"/>
          <w:lang w:val="en-US" w:eastAsia="ja-JP"/>
        </w:rPr>
      </w:pPr>
    </w:p>
    <w:p w14:paraId="050A76F6" w14:textId="77777777" w:rsidR="001C2639" w:rsidRPr="00477EF6" w:rsidRDefault="001C2639" w:rsidP="001C2639">
      <w:pPr>
        <w:pStyle w:val="SingleTxtG"/>
        <w:keepNext/>
        <w:keepLines/>
        <w:pBdr>
          <w:top w:val="single" w:sz="4" w:space="1" w:color="auto"/>
        </w:pBdr>
        <w:spacing w:before="120" w:line="240" w:lineRule="auto"/>
        <w:ind w:left="0" w:right="43"/>
        <w:rPr>
          <w:b/>
          <w:lang w:val="en-US"/>
        </w:rPr>
      </w:pPr>
      <w:r w:rsidRPr="00477EF6">
        <w:rPr>
          <w:b/>
          <w:lang w:val="en-US"/>
        </w:rPr>
        <w:t>Amendment 2.</w:t>
      </w:r>
    </w:p>
    <w:p w14:paraId="7D825F1B" w14:textId="77777777" w:rsidR="001C2639" w:rsidRPr="00944B80" w:rsidRDefault="001C2639" w:rsidP="001C2639">
      <w:pPr>
        <w:pStyle w:val="SingleTxtG"/>
        <w:ind w:left="564" w:hanging="564"/>
        <w:rPr>
          <w:lang w:val="en-GB"/>
        </w:rPr>
      </w:pPr>
      <w:r w:rsidRPr="00944B80">
        <w:rPr>
          <w:lang w:val="en-US"/>
        </w:rPr>
        <w:t>A.</w:t>
      </w:r>
      <w:r w:rsidRPr="00944B80">
        <w:rPr>
          <w:lang w:val="en-US"/>
        </w:rPr>
        <w:tab/>
      </w:r>
      <w:r w:rsidRPr="00944B80">
        <w:rPr>
          <w:bCs/>
          <w:lang w:val="en-GB"/>
        </w:rPr>
        <w:t>In the</w:t>
      </w:r>
      <w:r w:rsidRPr="00944B80">
        <w:rPr>
          <w:lang w:val="en-GB"/>
        </w:rPr>
        <w:t xml:space="preserve"> UNMR, amend the definition of “explosive or pyrotechnic effect” in Chapter 2.1 subparagraph 2.1.1.3 (e), as follows:</w:t>
      </w:r>
    </w:p>
    <w:p w14:paraId="0D87814D" w14:textId="77777777" w:rsidR="001C2639" w:rsidRPr="00944B80" w:rsidRDefault="001C2639" w:rsidP="001C2639">
      <w:pPr>
        <w:pStyle w:val="SingleTxtG"/>
        <w:ind w:left="564"/>
        <w:rPr>
          <w:lang w:val="en-US"/>
        </w:rPr>
      </w:pPr>
      <w:r w:rsidRPr="00944B80">
        <w:rPr>
          <w:i/>
          <w:lang w:val="en-GB"/>
        </w:rPr>
        <w:t>“(e)</w:t>
      </w:r>
      <w:r w:rsidRPr="00944B80">
        <w:rPr>
          <w:i/>
          <w:lang w:val="en-GB"/>
        </w:rPr>
        <w:tab/>
        <w:t>Explosive or pyrotechnic effect</w:t>
      </w:r>
      <w:r w:rsidRPr="00944B80">
        <w:rPr>
          <w:lang w:val="en-GB"/>
        </w:rPr>
        <w:t xml:space="preserve"> </w:t>
      </w:r>
      <w:r>
        <w:rPr>
          <w:lang w:val="en-GB"/>
        </w:rPr>
        <w:t>[</w:t>
      </w:r>
      <w:r w:rsidRPr="00944B80">
        <w:rPr>
          <w:b/>
          <w:strike/>
          <w:color w:val="FF0000"/>
          <w:lang w:val="en-GB"/>
        </w:rPr>
        <w:t>in the context of 2.1.1.1 (c)</w:t>
      </w:r>
      <w:r w:rsidRPr="00D43E94">
        <w:rPr>
          <w:bCs/>
          <w:strike/>
          <w:lang w:val="en-GB"/>
        </w:rPr>
        <w:t>]</w:t>
      </w:r>
      <w:r w:rsidRPr="00944B80">
        <w:rPr>
          <w:color w:val="FF0000"/>
          <w:lang w:val="en-GB"/>
        </w:rPr>
        <w:t xml:space="preserve"> </w:t>
      </w:r>
      <w:r w:rsidRPr="00944B80">
        <w:rPr>
          <w:lang w:val="en-GB"/>
        </w:rPr>
        <w:t>means an effect produced by self-sustaining exothermic chemical reactions including shock, blast, fragmentation, projection, heat, light, sound, gas and smoke.”</w:t>
      </w:r>
    </w:p>
    <w:p w14:paraId="22782F6E" w14:textId="77777777" w:rsidR="001C2639" w:rsidRPr="007F14EF" w:rsidRDefault="001C2639" w:rsidP="001C2639">
      <w:pPr>
        <w:rPr>
          <w:color w:val="FF0000"/>
          <w:lang w:val="en-US"/>
        </w:rPr>
      </w:pPr>
    </w:p>
    <w:p w14:paraId="77C05B3C" w14:textId="77777777" w:rsidR="001C2639" w:rsidRPr="00944B80" w:rsidRDefault="001C2639" w:rsidP="001C2639">
      <w:pPr>
        <w:pStyle w:val="SingleTxtG"/>
        <w:pBdr>
          <w:bottom w:val="single" w:sz="8" w:space="1" w:color="auto"/>
        </w:pBdr>
        <w:spacing w:after="0" w:line="240" w:lineRule="auto"/>
        <w:ind w:left="0" w:right="43"/>
        <w:rPr>
          <w:i/>
          <w:lang w:val="en-US"/>
        </w:rPr>
      </w:pPr>
      <w:r w:rsidRPr="00944B80">
        <w:rPr>
          <w:i/>
          <w:lang w:val="en-US"/>
        </w:rPr>
        <w:t>Source: ST/SG/AC.10/C.3/2023/6 para. 11 para. 10 of this report</w:t>
      </w:r>
      <w:r w:rsidRPr="00944B80">
        <w:rPr>
          <w:rFonts w:asciiTheme="majorBidi" w:hAnsiTheme="majorBidi" w:cstheme="majorBidi"/>
          <w:lang w:val="en-US"/>
        </w:rPr>
        <w:t>.</w:t>
      </w:r>
    </w:p>
    <w:p w14:paraId="2979098E" w14:textId="77777777" w:rsidR="001C2639" w:rsidRPr="008C0D27" w:rsidRDefault="001C2639" w:rsidP="001C2639">
      <w:pPr>
        <w:pStyle w:val="SingleTxtG"/>
        <w:keepNext/>
        <w:keepLines/>
        <w:spacing w:line="240" w:lineRule="auto"/>
        <w:ind w:left="0" w:right="43"/>
        <w:rPr>
          <w:b/>
          <w:lang w:val="en-US"/>
        </w:rPr>
      </w:pPr>
      <w:r>
        <w:rPr>
          <w:b/>
          <w:lang w:val="en-US"/>
        </w:rPr>
        <w:t>Amendment 3.</w:t>
      </w:r>
    </w:p>
    <w:p w14:paraId="237050B3" w14:textId="77777777" w:rsidR="001C2639" w:rsidRPr="008C0D27" w:rsidRDefault="001C2639" w:rsidP="003C5ADC">
      <w:pPr>
        <w:pStyle w:val="SingleTxtG"/>
        <w:numPr>
          <w:ilvl w:val="0"/>
          <w:numId w:val="20"/>
        </w:numPr>
        <w:spacing w:line="240" w:lineRule="auto"/>
        <w:ind w:left="540" w:right="43" w:hanging="540"/>
        <w:rPr>
          <w:lang w:val="en-US"/>
        </w:rPr>
      </w:pPr>
      <w:r w:rsidRPr="008C0D27">
        <w:rPr>
          <w:lang w:val="en-US"/>
        </w:rPr>
        <w:t>Chapter 2.17 of the GHS, delete the note to paragraph 2.17.2.3, as follows:</w:t>
      </w:r>
    </w:p>
    <w:p w14:paraId="26D49AC7" w14:textId="77777777" w:rsidR="001C2639" w:rsidRPr="008C0D27" w:rsidRDefault="001C2639" w:rsidP="001C2639">
      <w:pPr>
        <w:pStyle w:val="SingleTxtG"/>
        <w:spacing w:line="240" w:lineRule="auto"/>
        <w:ind w:left="540" w:right="43"/>
        <w:rPr>
          <w:strike/>
          <w:color w:val="FF0000"/>
          <w:lang w:val="en-US"/>
        </w:rPr>
      </w:pPr>
      <w:r w:rsidRPr="008C0D27">
        <w:rPr>
          <w:strike/>
          <w:color w:val="FF0000"/>
          <w:lang w:val="en-US"/>
        </w:rPr>
        <w:t>“NOTE: Nitrocellulose mixtures containing no explosives other than nitrocellulose, do not need to meet the criterion of 2.17.2.2(b)(ii).’’</w:t>
      </w:r>
    </w:p>
    <w:p w14:paraId="45427D2A" w14:textId="77777777" w:rsidR="001C2639" w:rsidRPr="008C0D27" w:rsidRDefault="001C2639" w:rsidP="003C5ADC">
      <w:pPr>
        <w:pStyle w:val="SingleTxtG"/>
        <w:numPr>
          <w:ilvl w:val="0"/>
          <w:numId w:val="20"/>
        </w:numPr>
        <w:spacing w:line="240" w:lineRule="auto"/>
        <w:ind w:left="540" w:right="43" w:hanging="540"/>
        <w:rPr>
          <w:lang w:val="en-US"/>
        </w:rPr>
      </w:pPr>
      <w:r w:rsidRPr="008C0D27">
        <w:rPr>
          <w:lang w:val="en-US"/>
        </w:rPr>
        <w:t xml:space="preserve">In section 51, subparagraph 51.4.1.2 (b) of the MTC, delete “Division 1.1” as follows: </w:t>
      </w:r>
    </w:p>
    <w:p w14:paraId="0239CFAE" w14:textId="75F99E21" w:rsidR="001C2639" w:rsidRPr="00DF0263" w:rsidRDefault="001C2639" w:rsidP="00DF0263">
      <w:pPr>
        <w:pStyle w:val="SingleTxtG"/>
        <w:spacing w:line="240" w:lineRule="auto"/>
        <w:ind w:left="540" w:right="43"/>
        <w:rPr>
          <w:lang w:val="en-US"/>
        </w:rPr>
      </w:pPr>
      <w:r w:rsidRPr="008C0D27">
        <w:rPr>
          <w:lang w:val="en-US"/>
        </w:rPr>
        <w:t>“(b)The substance or mixture, as packed for supply and use, is assigned to the hazard class “Explosives”</w:t>
      </w:r>
      <w:r w:rsidRPr="008C0D27">
        <w:rPr>
          <w:strike/>
          <w:color w:val="FF0000"/>
          <w:lang w:val="en-US"/>
        </w:rPr>
        <w:t>, Division 1.1</w:t>
      </w:r>
      <w:r w:rsidRPr="008C0D27">
        <w:rPr>
          <w:lang w:val="en-US"/>
        </w:rPr>
        <w:t>.”:</w:t>
      </w:r>
    </w:p>
    <w:p w14:paraId="7EE1090B" w14:textId="77777777" w:rsidR="001C2639" w:rsidRPr="006F4363" w:rsidRDefault="001C2639" w:rsidP="001C2639">
      <w:pPr>
        <w:pStyle w:val="SingleTxtG"/>
        <w:pBdr>
          <w:bottom w:val="single" w:sz="8" w:space="1" w:color="auto"/>
        </w:pBdr>
        <w:spacing w:after="0" w:line="240" w:lineRule="auto"/>
        <w:ind w:left="0" w:right="43"/>
        <w:rPr>
          <w:i/>
          <w:lang w:val="en-US"/>
        </w:rPr>
      </w:pPr>
      <w:r w:rsidRPr="006F4363">
        <w:rPr>
          <w:i/>
          <w:lang w:val="en-US"/>
        </w:rPr>
        <w:t>Source: ST/SG/AC.10/C.3/2023/17 paras. 14 and 14 and para. 11 of this report</w:t>
      </w:r>
      <w:r w:rsidRPr="006F4363">
        <w:rPr>
          <w:rFonts w:asciiTheme="majorBidi" w:hAnsiTheme="majorBidi" w:cstheme="majorBidi"/>
          <w:lang w:val="en-US"/>
        </w:rPr>
        <w:t>.</w:t>
      </w:r>
    </w:p>
    <w:p w14:paraId="1A24EC1A" w14:textId="77777777" w:rsidR="001C2639" w:rsidRPr="008C0D27" w:rsidRDefault="001C2639" w:rsidP="001C2639">
      <w:pPr>
        <w:pStyle w:val="SingleTxtG"/>
        <w:keepNext/>
        <w:keepLines/>
        <w:spacing w:line="240" w:lineRule="auto"/>
        <w:ind w:left="0" w:right="43"/>
        <w:rPr>
          <w:b/>
          <w:lang w:val="en-US"/>
        </w:rPr>
      </w:pPr>
      <w:r>
        <w:rPr>
          <w:b/>
          <w:lang w:val="en-US"/>
        </w:rPr>
        <w:t>Amendment 4.</w:t>
      </w:r>
    </w:p>
    <w:p w14:paraId="15826AA7" w14:textId="77777777" w:rsidR="001C2639" w:rsidRPr="00477EF6" w:rsidRDefault="001C2639" w:rsidP="003C5ADC">
      <w:pPr>
        <w:pStyle w:val="SingleTxtG"/>
        <w:numPr>
          <w:ilvl w:val="0"/>
          <w:numId w:val="21"/>
        </w:numPr>
        <w:spacing w:line="240" w:lineRule="auto"/>
        <w:ind w:left="540" w:right="43" w:hanging="540"/>
        <w:rPr>
          <w:lang w:val="en-US"/>
        </w:rPr>
      </w:pPr>
      <w:r w:rsidRPr="00477EF6">
        <w:rPr>
          <w:lang w:val="en-US"/>
        </w:rPr>
        <w:t>The definition for Class 1 explosives as outlined in 2.1.1.1 of the Model Regulations as follows:</w:t>
      </w:r>
    </w:p>
    <w:p w14:paraId="47424DE7" w14:textId="77777777" w:rsidR="001C2639" w:rsidRPr="00477EF6" w:rsidRDefault="001C2639" w:rsidP="001C2639">
      <w:pPr>
        <w:pStyle w:val="SingleTxtG"/>
        <w:spacing w:after="240"/>
        <w:ind w:left="360" w:right="43"/>
        <w:rPr>
          <w:lang w:val="en-US"/>
        </w:rPr>
      </w:pPr>
      <w:r w:rsidRPr="00477EF6">
        <w:rPr>
          <w:lang w:val="en-US"/>
        </w:rPr>
        <w:t>“2.1.1.1</w:t>
      </w:r>
      <w:r w:rsidRPr="00477EF6">
        <w:rPr>
          <w:lang w:val="en-US"/>
        </w:rPr>
        <w:tab/>
        <w:t>Class 1 comprises:</w:t>
      </w:r>
    </w:p>
    <w:p w14:paraId="55B36A76" w14:textId="77777777" w:rsidR="001C2639" w:rsidRPr="00477EF6" w:rsidRDefault="001C2639" w:rsidP="001C2639">
      <w:pPr>
        <w:pStyle w:val="SingleTxtG"/>
        <w:spacing w:after="240"/>
        <w:ind w:left="360" w:right="43"/>
        <w:rPr>
          <w:lang w:val="en-US"/>
        </w:rPr>
      </w:pPr>
      <w:r w:rsidRPr="00477EF6">
        <w:rPr>
          <w:lang w:val="en-US"/>
        </w:rPr>
        <w:t>(a)</w:t>
      </w:r>
      <w:r w:rsidRPr="00477EF6">
        <w:rPr>
          <w:lang w:val="en-US"/>
        </w:rPr>
        <w:tab/>
        <w:t>Explosives substances (a substance which is not itself an explosive but which can form an explosive atmosphere of gas, vapour or dust is not included in Class 1), except those that are too dangerous to transport or those where the predominant hazard is appropriate to another class;</w:t>
      </w:r>
    </w:p>
    <w:p w14:paraId="5F081F03" w14:textId="77777777" w:rsidR="001C2639" w:rsidRPr="00477EF6" w:rsidRDefault="001C2639" w:rsidP="001C2639">
      <w:pPr>
        <w:pStyle w:val="SingleTxtG"/>
        <w:spacing w:after="240"/>
        <w:ind w:left="360" w:right="43"/>
        <w:rPr>
          <w:lang w:val="en-US"/>
        </w:rPr>
      </w:pPr>
      <w:r w:rsidRPr="00477EF6">
        <w:rPr>
          <w:lang w:val="en-US"/>
        </w:rPr>
        <w:t>(b)</w:t>
      </w:r>
      <w:r w:rsidRPr="00477EF6">
        <w:rPr>
          <w:lang w:val="en-US"/>
        </w:rPr>
        <w:tab/>
        <w:t xml:space="preserve">Explosives articles, except </w:t>
      </w:r>
      <w:r w:rsidRPr="00477EF6">
        <w:rPr>
          <w:b/>
          <w:color w:val="548DD4" w:themeColor="text2" w:themeTint="99"/>
          <w:u w:val="single"/>
          <w:lang w:val="en-US"/>
        </w:rPr>
        <w:t>those that are too dangerous to transport or</w:t>
      </w:r>
      <w:r w:rsidRPr="00DF6B09">
        <w:rPr>
          <w:b/>
          <w:color w:val="548DD4" w:themeColor="text2" w:themeTint="99"/>
          <w:lang w:val="en-US"/>
        </w:rPr>
        <w:t xml:space="preserve"> </w:t>
      </w:r>
      <w:r w:rsidRPr="00477EF6">
        <w:rPr>
          <w:lang w:val="en-US"/>
        </w:rPr>
        <w:t>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14:paraId="559A9061" w14:textId="77777777" w:rsidR="001C2639" w:rsidRPr="00477EF6" w:rsidRDefault="001C2639" w:rsidP="001C2639">
      <w:pPr>
        <w:pStyle w:val="SingleTxtG"/>
        <w:spacing w:after="240"/>
        <w:ind w:left="360" w:right="43"/>
        <w:rPr>
          <w:lang w:val="en-US"/>
        </w:rPr>
      </w:pPr>
      <w:r w:rsidRPr="00477EF6">
        <w:rPr>
          <w:lang w:val="en-US"/>
        </w:rPr>
        <w:t>(c)</w:t>
      </w:r>
      <w:r w:rsidRPr="00477EF6">
        <w:rPr>
          <w:lang w:val="en-US"/>
        </w:rPr>
        <w:tab/>
        <w:t>Substances and articles not mentioned under (a) and (b) which are manufactured with a view to producing a practical explosive or pyrotechnic effect.”.</w:t>
      </w:r>
    </w:p>
    <w:bookmarkEnd w:id="10"/>
    <w:bookmarkEnd w:id="11"/>
    <w:bookmarkEnd w:id="12"/>
    <w:p w14:paraId="60B3DD0B" w14:textId="782FB3A8" w:rsidR="00A53982" w:rsidRPr="00DF0263" w:rsidRDefault="001C2639" w:rsidP="00DF0263">
      <w:pPr>
        <w:pStyle w:val="SingleTxtG"/>
        <w:pBdr>
          <w:bottom w:val="single" w:sz="8" w:space="1" w:color="auto"/>
        </w:pBdr>
        <w:spacing w:after="0" w:line="240" w:lineRule="auto"/>
        <w:ind w:left="0" w:right="43"/>
        <w:rPr>
          <w:i/>
          <w:lang w:val="en-US"/>
        </w:rPr>
      </w:pPr>
      <w:r w:rsidRPr="006F4363">
        <w:rPr>
          <w:i/>
          <w:lang w:val="en-US"/>
        </w:rPr>
        <w:lastRenderedPageBreak/>
        <w:t>Source: ST/SG/AC.10/C.3/2023/1</w:t>
      </w:r>
      <w:r>
        <w:rPr>
          <w:i/>
          <w:lang w:val="en-US"/>
        </w:rPr>
        <w:t>8</w:t>
      </w:r>
      <w:r w:rsidRPr="006F4363">
        <w:rPr>
          <w:i/>
          <w:lang w:val="en-US"/>
        </w:rPr>
        <w:t xml:space="preserve"> para. </w:t>
      </w:r>
      <w:r>
        <w:rPr>
          <w:i/>
          <w:lang w:val="en-US"/>
        </w:rPr>
        <w:t>7</w:t>
      </w:r>
      <w:r w:rsidRPr="006F4363">
        <w:rPr>
          <w:i/>
          <w:lang w:val="en-US"/>
        </w:rPr>
        <w:t xml:space="preserve"> and para. 1</w:t>
      </w:r>
      <w:r>
        <w:rPr>
          <w:i/>
          <w:lang w:val="en-US"/>
        </w:rPr>
        <w:t>2</w:t>
      </w:r>
      <w:r w:rsidRPr="006F4363">
        <w:rPr>
          <w:i/>
          <w:lang w:val="en-US"/>
        </w:rPr>
        <w:t xml:space="preserve"> of this report</w:t>
      </w: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23"/>
      <w:headerReference w:type="default" r:id="rId24"/>
      <w:footerReference w:type="even" r:id="rId25"/>
      <w:footerReference w:type="default" r:id="rId26"/>
      <w:headerReference w:type="first" r:id="rId2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FE1D" w14:textId="77777777" w:rsidR="00A90FBD" w:rsidRDefault="00A90FBD"/>
  </w:endnote>
  <w:endnote w:type="continuationSeparator" w:id="0">
    <w:p w14:paraId="551F66FC" w14:textId="77777777" w:rsidR="00A90FBD" w:rsidRDefault="00A90FBD"/>
  </w:endnote>
  <w:endnote w:type="continuationNotice" w:id="1">
    <w:p w14:paraId="1FE10E32" w14:textId="77777777" w:rsidR="00A90FBD" w:rsidRDefault="00A9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334B" w14:textId="77777777" w:rsidR="00A90FBD" w:rsidRPr="000B175B" w:rsidRDefault="00A90FBD" w:rsidP="000B175B">
      <w:pPr>
        <w:tabs>
          <w:tab w:val="right" w:pos="2155"/>
        </w:tabs>
        <w:spacing w:after="80"/>
        <w:ind w:left="680"/>
        <w:rPr>
          <w:u w:val="single"/>
        </w:rPr>
      </w:pPr>
      <w:r>
        <w:rPr>
          <w:u w:val="single"/>
        </w:rPr>
        <w:tab/>
      </w:r>
    </w:p>
  </w:footnote>
  <w:footnote w:type="continuationSeparator" w:id="0">
    <w:p w14:paraId="3D4F9772" w14:textId="77777777" w:rsidR="00A90FBD" w:rsidRPr="00FC68B7" w:rsidRDefault="00A90FBD" w:rsidP="00FC68B7">
      <w:pPr>
        <w:tabs>
          <w:tab w:val="left" w:pos="2155"/>
        </w:tabs>
        <w:spacing w:after="80"/>
        <w:ind w:left="680"/>
        <w:rPr>
          <w:u w:val="single"/>
        </w:rPr>
      </w:pPr>
      <w:r>
        <w:rPr>
          <w:u w:val="single"/>
        </w:rPr>
        <w:tab/>
      </w:r>
    </w:p>
  </w:footnote>
  <w:footnote w:type="continuationNotice" w:id="1">
    <w:p w14:paraId="73272B47" w14:textId="77777777" w:rsidR="00A90FBD" w:rsidRDefault="00A90FBD"/>
  </w:footnote>
  <w:footnote w:id="2">
    <w:p w14:paraId="1F97DC78" w14:textId="77D87723" w:rsidR="001C2639" w:rsidRPr="000F131B" w:rsidRDefault="0046320D" w:rsidP="001C2639">
      <w:pPr>
        <w:pStyle w:val="FootnoteText"/>
        <w:ind w:hanging="954"/>
        <w:rPr>
          <w:lang w:val="fr-CH"/>
        </w:rPr>
      </w:pPr>
      <w:r>
        <w:tab/>
      </w:r>
      <w:r>
        <w:tab/>
      </w:r>
      <w:r w:rsidR="001C2639">
        <w:rPr>
          <w:rStyle w:val="FootnoteReference"/>
        </w:rPr>
        <w:footnoteRef/>
      </w:r>
      <w:r w:rsidR="001C2639">
        <w:t xml:space="preserve"> ST/SG/AC.10/C.3/</w:t>
      </w:r>
      <w:r w:rsidR="001C2639">
        <w:rPr>
          <w:lang w:val="en-US"/>
        </w:rPr>
        <w:t>123</w:t>
      </w:r>
      <w:r w:rsidR="001C2639">
        <w:t>/Add.1</w:t>
      </w:r>
      <w:r w:rsidR="000F131B">
        <w:rPr>
          <w:lang w:val="fr-CH"/>
        </w:rPr>
        <w:t>.</w:t>
      </w:r>
    </w:p>
  </w:footnote>
  <w:footnote w:id="3">
    <w:p w14:paraId="1FF19E38" w14:textId="77777777" w:rsidR="001C2639" w:rsidRDefault="001C2639" w:rsidP="001C2639">
      <w:pPr>
        <w:pStyle w:val="FootnoteText"/>
      </w:pPr>
      <w:r>
        <w:rPr>
          <w:rStyle w:val="FootnoteReference"/>
        </w:rPr>
        <w:footnoteRef/>
      </w:r>
      <w:r>
        <w:t xml:space="preserve"> </w:t>
      </w:r>
      <w:r>
        <w:rPr>
          <w:lang w:val="en-GB"/>
        </w:rPr>
        <w:t>It is recognized that some experts only participated in part(s) of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6F4CC22F"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46320D">
      <w:rPr>
        <w:lang w:val="nl-NL"/>
      </w:rPr>
      <w:t>47</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24290F0C" w:rsidR="00090CBF" w:rsidRPr="000216CC" w:rsidRDefault="00090CBF" w:rsidP="00090CBF">
    <w:pPr>
      <w:pStyle w:val="Header"/>
      <w:jc w:val="right"/>
    </w:pPr>
    <w:r w:rsidRPr="00090CBF">
      <w:t>UN/SCETDG/</w:t>
    </w:r>
    <w:r w:rsidR="0046320D">
      <w:t>62</w:t>
    </w:r>
    <w:r w:rsidRPr="00090CBF">
      <w:t>/INF.</w:t>
    </w:r>
    <w:r w:rsidR="0046320D">
      <w:t>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46ACB"/>
    <w:multiLevelType w:val="hybridMultilevel"/>
    <w:tmpl w:val="64CEB9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AE1498"/>
    <w:multiLevelType w:val="hybridMultilevel"/>
    <w:tmpl w:val="64CEB9C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9B6E3E"/>
    <w:multiLevelType w:val="multilevel"/>
    <w:tmpl w:val="1D40A1BA"/>
    <w:lvl w:ilvl="0">
      <w:start w:val="1"/>
      <w:numFmt w:val="upperLetter"/>
      <w:lvlText w:val="%1."/>
      <w:lvlJc w:val="left"/>
      <w:pPr>
        <w:ind w:left="-774" w:hanging="360"/>
      </w:pPr>
    </w:lvl>
    <w:lvl w:ilvl="1">
      <w:start w:val="1"/>
      <w:numFmt w:val="decimal"/>
      <w:lvlText w:val="%1.%2."/>
      <w:lvlJc w:val="left"/>
      <w:pPr>
        <w:ind w:left="-342" w:hanging="432"/>
      </w:pPr>
    </w:lvl>
    <w:lvl w:ilvl="2">
      <w:start w:val="1"/>
      <w:numFmt w:val="decimal"/>
      <w:lvlText w:val="%1.%2.%3."/>
      <w:lvlJc w:val="left"/>
      <w:pPr>
        <w:ind w:left="90" w:hanging="504"/>
      </w:pPr>
    </w:lvl>
    <w:lvl w:ilvl="3">
      <w:start w:val="1"/>
      <w:numFmt w:val="decimal"/>
      <w:lvlText w:val="%1.%2.%3.%4."/>
      <w:lvlJc w:val="left"/>
      <w:pPr>
        <w:ind w:left="594" w:hanging="648"/>
      </w:pPr>
    </w:lvl>
    <w:lvl w:ilvl="4">
      <w:start w:val="1"/>
      <w:numFmt w:val="decimal"/>
      <w:lvlText w:val="%1.%2.%3.%4.%5."/>
      <w:lvlJc w:val="left"/>
      <w:pPr>
        <w:ind w:left="1098" w:hanging="792"/>
      </w:pPr>
    </w:lvl>
    <w:lvl w:ilvl="5">
      <w:start w:val="1"/>
      <w:numFmt w:val="decimal"/>
      <w:lvlText w:val="%1.%2.%3.%4.%5.%6."/>
      <w:lvlJc w:val="left"/>
      <w:pPr>
        <w:ind w:left="1602" w:hanging="936"/>
      </w:pPr>
    </w:lvl>
    <w:lvl w:ilvl="6">
      <w:start w:val="1"/>
      <w:numFmt w:val="decimal"/>
      <w:lvlText w:val="%1.%2.%3.%4.%5.%6.%7."/>
      <w:lvlJc w:val="left"/>
      <w:pPr>
        <w:ind w:left="2106" w:hanging="1080"/>
      </w:pPr>
    </w:lvl>
    <w:lvl w:ilvl="7">
      <w:start w:val="1"/>
      <w:numFmt w:val="decimal"/>
      <w:lvlText w:val="%1.%2.%3.%4.%5.%6.%7.%8."/>
      <w:lvlJc w:val="left"/>
      <w:pPr>
        <w:ind w:left="2610" w:hanging="1224"/>
      </w:pPr>
    </w:lvl>
    <w:lvl w:ilvl="8">
      <w:start w:val="1"/>
      <w:numFmt w:val="decimal"/>
      <w:lvlText w:val="%1.%2.%3.%4.%5.%6.%7.%8.%9."/>
      <w:lvlJc w:val="left"/>
      <w:pPr>
        <w:ind w:left="3186" w:hanging="1440"/>
      </w:pPr>
    </w:lvl>
  </w:abstractNum>
  <w:abstractNum w:abstractNumId="16"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7"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131B"/>
    <w:rsid w:val="000F2EE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2639"/>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3B13"/>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5ADC"/>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320D"/>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553B"/>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44651"/>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4FF9"/>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263"/>
    <w:rsid w:val="00DF0A4D"/>
    <w:rsid w:val="00DF2A83"/>
    <w:rsid w:val="00DF3039"/>
    <w:rsid w:val="00DF3A04"/>
    <w:rsid w:val="00DF4518"/>
    <w:rsid w:val="00DF69A6"/>
    <w:rsid w:val="00E130AB"/>
    <w:rsid w:val="00E15B37"/>
    <w:rsid w:val="00E15F93"/>
    <w:rsid w:val="00E1679E"/>
    <w:rsid w:val="00E239A0"/>
    <w:rsid w:val="00E3141C"/>
    <w:rsid w:val="00E345E4"/>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1C2639"/>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1C2639"/>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1C263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639"/>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1C2639"/>
    <w:rPr>
      <w:color w:val="605E5C"/>
      <w:shd w:val="clear" w:color="auto" w:fill="E1DFDD"/>
    </w:rPr>
  </w:style>
  <w:style w:type="character" w:customStyle="1" w:styleId="SingleTxtGZchnZchn">
    <w:name w:val="_ Single Txt_G Zchn Zchn"/>
    <w:locked/>
    <w:rsid w:val="001C2639"/>
  </w:style>
  <w:style w:type="character" w:customStyle="1" w:styleId="MBodyTxtChar">
    <w:name w:val="MBodyTxt Char"/>
    <w:basedOn w:val="DefaultParagraphFont"/>
    <w:link w:val="MBodyTxt"/>
    <w:locked/>
    <w:rsid w:val="001C2639"/>
    <w:rPr>
      <w:sz w:val="22"/>
      <w:szCs w:val="22"/>
      <w:lang w:val="en-GB" w:eastAsia="fr-FR"/>
    </w:rPr>
  </w:style>
  <w:style w:type="paragraph" w:customStyle="1" w:styleId="MBodyTxt">
    <w:name w:val="MBodyTxt"/>
    <w:basedOn w:val="Normal"/>
    <w:link w:val="MBodyTxtChar"/>
    <w:qFormat/>
    <w:rsid w:val="001C2639"/>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normaltextrun">
    <w:name w:val="normaltextrun"/>
    <w:basedOn w:val="DefaultParagraphFont"/>
    <w:rsid w:val="001C2639"/>
  </w:style>
  <w:style w:type="character" w:customStyle="1" w:styleId="field-content">
    <w:name w:val="field-content"/>
    <w:basedOn w:val="DefaultParagraphFont"/>
    <w:rsid w:val="001C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3/06/informal-documents/new-special-provision-and-special-packing-provision" TargetMode="External"/><Relationship Id="rId18" Type="http://schemas.openxmlformats.org/officeDocument/2006/relationships/hyperlink" Target="https://unece.org/documents/2023/06/informal-documents/explosive-working-group-koenen-tube-round-robin-initial-tes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ece.org/documents/2023/06/informal-documents/explosive-working-group-koenen-tube-round-robin-initial-test" TargetMode="External"/><Relationship Id="rId7" Type="http://schemas.openxmlformats.org/officeDocument/2006/relationships/settings" Target="settings.xml"/><Relationship Id="rId12" Type="http://schemas.openxmlformats.org/officeDocument/2006/relationships/hyperlink" Target="https://unece.org/transport/documents/2023/05/informal-documents/report-intersessional-correspondence-group-fireworks" TargetMode="External"/><Relationship Id="rId17" Type="http://schemas.openxmlformats.org/officeDocument/2006/relationships/hyperlink" Target="https://unece.org/transport/documents/2022/05/informal-documents/manual-tests-and-criteria-sections-12143-and-202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ece.org/transport/documents/2023/06/informal-documents/further-validation-test-series-8-applicability-test" TargetMode="External"/><Relationship Id="rId20" Type="http://schemas.openxmlformats.org/officeDocument/2006/relationships/hyperlink" Target="https://unece.org/transport/documents/2023/05/informal-documents/report-intersessional-correspondence-group-firewor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3/04/working-documents/proposal-remove-requirement-test-series-8d-assess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C:/Users/Berthet/AppData/Local/Microsoft/Windows/INetCache/Content.Outlook/C0P6ATNC/UN-SCETDG-58-INFXXe%20(FINAL).doc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ece.org/transport/documents/2023/04/working-documents/proposal-remove-requirement-test-series-8d-asses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erthet/AppData/Local/Microsoft/Windows/INetCache/Content.Outlook/C0P6ATNC/UN-SCETDG-58-INFXXe%20(FINAL).docx" TargetMode="External"/><Relationship Id="rId22" Type="http://schemas.openxmlformats.org/officeDocument/2006/relationships/hyperlink" Target="https://unece.org/documents/2023/06/informal-documents/explosive-working-group-koenen-tube-round-robin-initial-test"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18</Pages>
  <Words>8623</Words>
  <Characters>47427</Characters>
  <Application>Microsoft Office Word</Application>
  <DocSecurity>0</DocSecurity>
  <Lines>395</Lines>
  <Paragraphs>111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Alicia Dorca Garcia</cp:lastModifiedBy>
  <cp:revision>12</cp:revision>
  <cp:lastPrinted>2020-09-24T07:01:00Z</cp:lastPrinted>
  <dcterms:created xsi:type="dcterms:W3CDTF">2023-07-06T12:59:00Z</dcterms:created>
  <dcterms:modified xsi:type="dcterms:W3CDTF">2023-07-06T13:09:00Z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