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9E075E1" w14:textId="77777777" w:rsidTr="00F01738">
        <w:trPr>
          <w:trHeight w:hRule="exact" w:val="851"/>
        </w:trPr>
        <w:tc>
          <w:tcPr>
            <w:tcW w:w="1276" w:type="dxa"/>
            <w:tcBorders>
              <w:bottom w:val="single" w:sz="4" w:space="0" w:color="auto"/>
            </w:tcBorders>
          </w:tcPr>
          <w:p w14:paraId="1347258A" w14:textId="77777777" w:rsidR="00132EA9" w:rsidRPr="00DB58B5" w:rsidRDefault="00132EA9" w:rsidP="00F01738"/>
        </w:tc>
        <w:tc>
          <w:tcPr>
            <w:tcW w:w="2268" w:type="dxa"/>
            <w:tcBorders>
              <w:bottom w:val="single" w:sz="4" w:space="0" w:color="auto"/>
            </w:tcBorders>
            <w:vAlign w:val="bottom"/>
          </w:tcPr>
          <w:p w14:paraId="2B77E41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753E36" w14:textId="21BA32FB" w:rsidR="00132EA9" w:rsidRPr="000401B0" w:rsidRDefault="000401B0" w:rsidP="000401B0">
            <w:pPr>
              <w:jc w:val="right"/>
            </w:pPr>
            <w:r w:rsidRPr="000401B0">
              <w:rPr>
                <w:sz w:val="40"/>
              </w:rPr>
              <w:t>ST</w:t>
            </w:r>
            <w:r>
              <w:t>/SG/AC.10/C.3/124/Add.1</w:t>
            </w:r>
          </w:p>
        </w:tc>
      </w:tr>
      <w:tr w:rsidR="00132EA9" w:rsidRPr="00DB58B5" w14:paraId="35D9E845" w14:textId="77777777" w:rsidTr="00F01738">
        <w:trPr>
          <w:trHeight w:hRule="exact" w:val="2835"/>
        </w:trPr>
        <w:tc>
          <w:tcPr>
            <w:tcW w:w="1276" w:type="dxa"/>
            <w:tcBorders>
              <w:top w:val="single" w:sz="4" w:space="0" w:color="auto"/>
              <w:bottom w:val="single" w:sz="12" w:space="0" w:color="auto"/>
            </w:tcBorders>
          </w:tcPr>
          <w:p w14:paraId="331737E5" w14:textId="77777777" w:rsidR="00132EA9" w:rsidRPr="00DB58B5" w:rsidRDefault="00132EA9" w:rsidP="00F01738">
            <w:pPr>
              <w:spacing w:before="120"/>
              <w:jc w:val="center"/>
            </w:pPr>
            <w:r>
              <w:rPr>
                <w:noProof/>
                <w:lang w:eastAsia="fr-CH"/>
              </w:rPr>
              <w:drawing>
                <wp:inline distT="0" distB="0" distL="0" distR="0" wp14:anchorId="22802073" wp14:editId="28699CA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C8091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1124480" w14:textId="77777777" w:rsidR="00132EA9" w:rsidRDefault="00F21A9C" w:rsidP="00F21A9C">
            <w:pPr>
              <w:spacing w:before="240" w:line="240" w:lineRule="exact"/>
            </w:pPr>
            <w:r>
              <w:t>Distr. générale</w:t>
            </w:r>
          </w:p>
          <w:p w14:paraId="74DAA75B" w14:textId="207A7B99" w:rsidR="00F21A9C" w:rsidRDefault="00737732" w:rsidP="00F21A9C">
            <w:pPr>
              <w:spacing w:line="240" w:lineRule="exact"/>
            </w:pPr>
            <w:r>
              <w:t>21 juillet 2023</w:t>
            </w:r>
          </w:p>
          <w:p w14:paraId="76EDD26E" w14:textId="77777777" w:rsidR="00737732" w:rsidRDefault="00737732" w:rsidP="00F21A9C">
            <w:pPr>
              <w:spacing w:line="240" w:lineRule="exact"/>
            </w:pPr>
          </w:p>
          <w:p w14:paraId="03534B7E" w14:textId="224B834D" w:rsidR="00F21A9C" w:rsidRDefault="00D92AA6" w:rsidP="00F21A9C">
            <w:pPr>
              <w:spacing w:line="240" w:lineRule="exact"/>
            </w:pPr>
            <w:r>
              <w:t>Français</w:t>
            </w:r>
          </w:p>
          <w:p w14:paraId="2D83D6F3" w14:textId="77D6BAF3" w:rsidR="00F21A9C" w:rsidRPr="00DB58B5" w:rsidRDefault="00F21A9C" w:rsidP="00F21A9C">
            <w:pPr>
              <w:spacing w:line="240" w:lineRule="exact"/>
            </w:pPr>
            <w:r>
              <w:t xml:space="preserve">Original : </w:t>
            </w:r>
            <w:r w:rsidR="00134CD9">
              <w:t xml:space="preserve">anglais et </w:t>
            </w:r>
            <w:r>
              <w:t>français</w:t>
            </w:r>
          </w:p>
        </w:tc>
      </w:tr>
    </w:tbl>
    <w:p w14:paraId="297C61B8" w14:textId="77777777" w:rsidR="00B25367" w:rsidRPr="00CA0680" w:rsidRDefault="00B25367" w:rsidP="00B25367">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23BD98E7" w14:textId="77777777" w:rsidR="00B25367" w:rsidRPr="00CA0680" w:rsidRDefault="00B25367" w:rsidP="00B25367">
      <w:pPr>
        <w:spacing w:before="120"/>
        <w:rPr>
          <w:b/>
        </w:rPr>
      </w:pPr>
      <w:r w:rsidRPr="00CA0680">
        <w:rPr>
          <w:b/>
        </w:rPr>
        <w:t>Sous</w:t>
      </w:r>
      <w:r>
        <w:rPr>
          <w:b/>
        </w:rPr>
        <w:t>-</w:t>
      </w:r>
      <w:r w:rsidRPr="00CA0680">
        <w:rPr>
          <w:b/>
        </w:rPr>
        <w:t>Comité d’experts du transport des marchandises dangereuses</w:t>
      </w:r>
    </w:p>
    <w:p w14:paraId="3B9F8D37" w14:textId="77777777" w:rsidR="00B25367" w:rsidRPr="006500BA" w:rsidRDefault="00B25367" w:rsidP="00B25367">
      <w:pPr>
        <w:spacing w:before="120"/>
        <w:rPr>
          <w:b/>
        </w:rPr>
      </w:pPr>
      <w:r>
        <w:rPr>
          <w:b/>
        </w:rPr>
        <w:t>Soixante-deuxième session</w:t>
      </w:r>
    </w:p>
    <w:p w14:paraId="72F952C4" w14:textId="77777777" w:rsidR="00B25367" w:rsidRDefault="00B25367" w:rsidP="00B25367">
      <w:r>
        <w:t>Genève, 3-7 juillet 2023</w:t>
      </w:r>
      <w:r>
        <w:br/>
        <w:t>Point 17 de l’ordre du jour</w:t>
      </w:r>
    </w:p>
    <w:p w14:paraId="61E91699" w14:textId="77777777" w:rsidR="00B25367" w:rsidRPr="003338FD" w:rsidRDefault="00B25367" w:rsidP="00B25367">
      <w:pPr>
        <w:rPr>
          <w:rFonts w:eastAsiaTheme="minorHAnsi"/>
          <w:lang w:val="fr-FR" w:eastAsia="en-US"/>
        </w:rPr>
      </w:pPr>
      <w:r w:rsidRPr="003338FD">
        <w:rPr>
          <w:rFonts w:eastAsiaTheme="minorHAnsi"/>
          <w:b/>
          <w:lang w:val="fr-FR" w:eastAsia="en-US"/>
        </w:rPr>
        <w:t>Adoption du rapport</w:t>
      </w:r>
    </w:p>
    <w:p w14:paraId="4614CCEA" w14:textId="05989009" w:rsidR="00B25367" w:rsidRPr="003338FD" w:rsidRDefault="00B25367" w:rsidP="00B25367">
      <w:pPr>
        <w:keepNext/>
        <w:keepLines/>
        <w:tabs>
          <w:tab w:val="right" w:pos="851"/>
        </w:tabs>
        <w:spacing w:before="360" w:after="240" w:line="300" w:lineRule="exact"/>
        <w:ind w:left="1134" w:right="1134" w:hanging="1134"/>
        <w:rPr>
          <w:b/>
          <w:bCs/>
          <w:sz w:val="28"/>
          <w:lang w:val="fr-FR" w:eastAsia="en-US"/>
        </w:rPr>
      </w:pPr>
      <w:r w:rsidRPr="003338FD">
        <w:rPr>
          <w:b/>
          <w:sz w:val="28"/>
          <w:lang w:val="fr-FR" w:eastAsia="en-US"/>
        </w:rPr>
        <w:tab/>
      </w:r>
      <w:r w:rsidRPr="003338FD">
        <w:rPr>
          <w:b/>
          <w:sz w:val="28"/>
          <w:lang w:val="fr-FR" w:eastAsia="en-US"/>
        </w:rPr>
        <w:tab/>
      </w:r>
      <w:r>
        <w:rPr>
          <w:b/>
          <w:sz w:val="28"/>
          <w:lang w:val="fr-FR" w:eastAsia="en-US"/>
        </w:rPr>
        <w:t xml:space="preserve">Rapport </w:t>
      </w:r>
      <w:r w:rsidR="006C1633">
        <w:rPr>
          <w:b/>
          <w:sz w:val="28"/>
          <w:lang w:val="fr-FR" w:eastAsia="en-US"/>
        </w:rPr>
        <w:t xml:space="preserve">du </w:t>
      </w:r>
      <w:r w:rsidR="009E33A0" w:rsidRPr="009E33A0">
        <w:rPr>
          <w:b/>
          <w:sz w:val="28"/>
          <w:lang w:val="fr-FR" w:eastAsia="en-US"/>
        </w:rPr>
        <w:t>Sous-Comité d’experts du transport des marchandises dangereuses</w:t>
      </w:r>
    </w:p>
    <w:p w14:paraId="222F41D1" w14:textId="59D370F2" w:rsidR="009E33A0" w:rsidRPr="00B2505C" w:rsidRDefault="00617FEE" w:rsidP="006E5DE0">
      <w:pPr>
        <w:spacing w:after="120"/>
        <w:ind w:left="2268" w:right="1134" w:hanging="1134"/>
        <w:jc w:val="both"/>
        <w:rPr>
          <w:rFonts w:eastAsiaTheme="minorHAnsi"/>
          <w:lang w:val="fr-FR" w:eastAsia="en-US"/>
        </w:rPr>
      </w:pPr>
      <w:r>
        <w:rPr>
          <w:rFonts w:eastAsiaTheme="minorHAnsi"/>
          <w:lang w:val="fr-FR" w:eastAsia="en-US"/>
        </w:rPr>
        <w:t>t</w:t>
      </w:r>
      <w:r w:rsidR="00B2505C">
        <w:rPr>
          <w:rFonts w:eastAsiaTheme="minorHAnsi"/>
          <w:lang w:val="fr-FR" w:eastAsia="en-US"/>
        </w:rPr>
        <w:t xml:space="preserve">enue </w:t>
      </w:r>
      <w:r>
        <w:rPr>
          <w:rFonts w:eastAsiaTheme="minorHAnsi"/>
          <w:lang w:val="fr-FR" w:eastAsia="en-US"/>
        </w:rPr>
        <w:t xml:space="preserve">à Genève du 3 juillet </w:t>
      </w:r>
      <w:r w:rsidR="00917474">
        <w:rPr>
          <w:rFonts w:eastAsiaTheme="minorHAnsi"/>
          <w:lang w:val="fr-FR" w:eastAsia="en-US"/>
        </w:rPr>
        <w:t>au 7 juillet 2023</w:t>
      </w:r>
    </w:p>
    <w:p w14:paraId="2CF9A7BD" w14:textId="3AFC7518" w:rsidR="00B25367" w:rsidRPr="002F534B" w:rsidRDefault="00B25367" w:rsidP="002F534B">
      <w:pPr>
        <w:keepNext/>
        <w:keepLines/>
        <w:tabs>
          <w:tab w:val="right" w:pos="851"/>
        </w:tabs>
        <w:spacing w:before="360" w:after="240" w:line="270" w:lineRule="exact"/>
        <w:ind w:left="1134" w:right="1134" w:hanging="1134"/>
        <w:rPr>
          <w:b/>
          <w:sz w:val="24"/>
          <w:lang w:val="fr-FR" w:eastAsia="en-US"/>
        </w:rPr>
      </w:pPr>
      <w:r w:rsidRPr="003338FD">
        <w:rPr>
          <w:b/>
          <w:sz w:val="24"/>
          <w:lang w:val="fr-FR" w:eastAsia="en-US"/>
        </w:rPr>
        <w:tab/>
      </w:r>
      <w:r w:rsidRPr="003338FD">
        <w:rPr>
          <w:b/>
          <w:sz w:val="24"/>
          <w:lang w:val="fr-FR" w:eastAsia="en-US"/>
        </w:rPr>
        <w:tab/>
        <w:t>A</w:t>
      </w:r>
      <w:r w:rsidR="00442C71">
        <w:rPr>
          <w:b/>
          <w:sz w:val="24"/>
          <w:lang w:val="fr-FR" w:eastAsia="en-US"/>
        </w:rPr>
        <w:t>ddi</w:t>
      </w:r>
      <w:r w:rsidR="000E2451">
        <w:rPr>
          <w:b/>
          <w:sz w:val="24"/>
          <w:lang w:val="fr-FR" w:eastAsia="en-US"/>
        </w:rPr>
        <w:t>tif</w:t>
      </w:r>
    </w:p>
    <w:p w14:paraId="646A0918" w14:textId="77777777" w:rsidR="00BC00D7" w:rsidRPr="00692350" w:rsidRDefault="00BC00D7" w:rsidP="00BC00D7">
      <w:pPr>
        <w:spacing w:after="120"/>
        <w:rPr>
          <w:sz w:val="28"/>
          <w:lang w:val="fr-FR"/>
        </w:rPr>
      </w:pPr>
      <w:r w:rsidRPr="00692350">
        <w:rPr>
          <w:sz w:val="28"/>
          <w:lang w:val="fr-FR"/>
        </w:rPr>
        <w:t>Table des matières</w:t>
      </w:r>
    </w:p>
    <w:p w14:paraId="52EBD5E7" w14:textId="77777777" w:rsidR="00BC00D7" w:rsidRPr="00692350" w:rsidRDefault="00BC00D7" w:rsidP="00BC00D7">
      <w:pPr>
        <w:tabs>
          <w:tab w:val="right" w:pos="9638"/>
        </w:tabs>
        <w:spacing w:after="120"/>
        <w:ind w:left="283"/>
        <w:rPr>
          <w:sz w:val="18"/>
          <w:lang w:val="fr-FR"/>
        </w:rPr>
      </w:pPr>
      <w:r w:rsidRPr="00692350">
        <w:rPr>
          <w:i/>
          <w:sz w:val="18"/>
          <w:lang w:val="fr-FR"/>
        </w:rPr>
        <w:tab/>
        <w:t>Page</w:t>
      </w:r>
    </w:p>
    <w:p w14:paraId="3C79E63F" w14:textId="77777777" w:rsidR="00BC00D7" w:rsidRPr="00692350" w:rsidRDefault="00BC00D7" w:rsidP="00BC00D7">
      <w:pPr>
        <w:pStyle w:val="SingleTxtG"/>
        <w:spacing w:after="60"/>
        <w:ind w:left="0"/>
        <w:rPr>
          <w:sz w:val="24"/>
          <w:szCs w:val="24"/>
          <w:lang w:val="fr-FR"/>
        </w:rPr>
      </w:pPr>
      <w:r w:rsidRPr="00692350">
        <w:rPr>
          <w:sz w:val="24"/>
          <w:szCs w:val="24"/>
          <w:lang w:val="fr-FR"/>
        </w:rPr>
        <w:t>Annexes</w:t>
      </w:r>
    </w:p>
    <w:p w14:paraId="2B82C4DF" w14:textId="2641FE60" w:rsidR="00BC00D7" w:rsidRDefault="00C5041C" w:rsidP="00BC00D7">
      <w:pPr>
        <w:pStyle w:val="SingleTxtG"/>
        <w:numPr>
          <w:ilvl w:val="0"/>
          <w:numId w:val="17"/>
        </w:numPr>
        <w:tabs>
          <w:tab w:val="clear" w:pos="1701"/>
          <w:tab w:val="clear" w:pos="2268"/>
          <w:tab w:val="clear" w:pos="2835"/>
          <w:tab w:val="left" w:pos="1134"/>
          <w:tab w:val="left" w:leader="dot" w:pos="7655"/>
          <w:tab w:val="right" w:pos="8930"/>
          <w:tab w:val="left" w:pos="9356"/>
          <w:tab w:val="right" w:pos="9639"/>
        </w:tabs>
        <w:suppressAutoHyphens/>
        <w:kinsoku w:val="0"/>
        <w:overflowPunct w:val="0"/>
        <w:autoSpaceDE w:val="0"/>
        <w:autoSpaceDN w:val="0"/>
        <w:adjustRightInd w:val="0"/>
        <w:snapToGrid w:val="0"/>
        <w:spacing w:before="120"/>
        <w:ind w:left="1134" w:right="282" w:hanging="567"/>
        <w:jc w:val="left"/>
        <w:rPr>
          <w:lang w:val="fr-FR"/>
        </w:rPr>
      </w:pPr>
      <w:r w:rsidRPr="003338FD">
        <w:rPr>
          <w:lang w:val="fr-FR"/>
        </w:rPr>
        <w:t>Projet d'amendements à la vingt-</w:t>
      </w:r>
      <w:r>
        <w:rPr>
          <w:lang w:val="fr-FR"/>
        </w:rPr>
        <w:t>troisième</w:t>
      </w:r>
      <w:r w:rsidRPr="003338FD">
        <w:rPr>
          <w:lang w:val="fr-FR"/>
        </w:rPr>
        <w:t xml:space="preserve"> édition révisée des Recommandations relatives au transport des marchandises dangereuses, Règlement type (ST/SG/AC.10/1/Rev.2</w:t>
      </w:r>
      <w:r>
        <w:rPr>
          <w:lang w:val="fr-FR"/>
        </w:rPr>
        <w:t>3</w:t>
      </w:r>
      <w:r w:rsidRPr="003338FD">
        <w:rPr>
          <w:lang w:val="fr-FR"/>
        </w:rPr>
        <w:t>)</w:t>
      </w:r>
      <w:r w:rsidR="00BC00D7">
        <w:rPr>
          <w:lang w:val="fr-FR"/>
        </w:rPr>
        <w:t>…………………………………………………….</w:t>
      </w:r>
      <w:r w:rsidR="00BC00D7">
        <w:rPr>
          <w:lang w:val="fr-FR"/>
        </w:rPr>
        <w:tab/>
      </w:r>
      <w:r w:rsidR="00BC00D7">
        <w:rPr>
          <w:lang w:val="fr-FR"/>
        </w:rPr>
        <w:tab/>
        <w:t>2</w:t>
      </w:r>
    </w:p>
    <w:p w14:paraId="176C35E7" w14:textId="3F27E215" w:rsidR="0010178E" w:rsidRDefault="00C5041C" w:rsidP="00BC00D7">
      <w:pPr>
        <w:pStyle w:val="SingleTxtG"/>
        <w:numPr>
          <w:ilvl w:val="0"/>
          <w:numId w:val="17"/>
        </w:numPr>
        <w:tabs>
          <w:tab w:val="clear" w:pos="1701"/>
          <w:tab w:val="clear" w:pos="2268"/>
          <w:tab w:val="clear" w:pos="2835"/>
          <w:tab w:val="left" w:pos="1134"/>
          <w:tab w:val="left" w:leader="dot" w:pos="7655"/>
          <w:tab w:val="right" w:pos="8930"/>
          <w:tab w:val="left" w:pos="9356"/>
          <w:tab w:val="right" w:pos="9639"/>
        </w:tabs>
        <w:suppressAutoHyphens/>
        <w:kinsoku w:val="0"/>
        <w:overflowPunct w:val="0"/>
        <w:autoSpaceDE w:val="0"/>
        <w:autoSpaceDN w:val="0"/>
        <w:adjustRightInd w:val="0"/>
        <w:snapToGrid w:val="0"/>
        <w:spacing w:before="120"/>
        <w:ind w:left="1134" w:right="282" w:hanging="567"/>
        <w:jc w:val="left"/>
        <w:rPr>
          <w:lang w:val="fr-FR"/>
        </w:rPr>
      </w:pPr>
      <w:r w:rsidRPr="00402A63">
        <w:rPr>
          <w:lang w:val="fr-FR"/>
        </w:rPr>
        <w:t>Projet d’amendements à la huitième édition révisée du Manuel d’épreuves et de critères (ST/SG/AC.10/11/Rev.8)</w:t>
      </w:r>
      <w:r w:rsidR="000B676A" w:rsidRPr="000B676A">
        <w:rPr>
          <w:lang w:val="fr-FR"/>
        </w:rPr>
        <w:t xml:space="preserve"> </w:t>
      </w:r>
      <w:r w:rsidR="000B676A">
        <w:rPr>
          <w:lang w:val="fr-FR"/>
        </w:rPr>
        <w:t>……………………………………………….</w:t>
      </w:r>
      <w:r w:rsidR="000B676A">
        <w:rPr>
          <w:lang w:val="fr-FR"/>
        </w:rPr>
        <w:tab/>
      </w:r>
      <w:r w:rsidR="000B676A">
        <w:rPr>
          <w:lang w:val="fr-FR"/>
        </w:rPr>
        <w:tab/>
      </w:r>
      <w:r w:rsidR="00BF1AE3">
        <w:rPr>
          <w:lang w:val="fr-FR"/>
        </w:rPr>
        <w:t>8</w:t>
      </w:r>
    </w:p>
    <w:p w14:paraId="39F045EC" w14:textId="51B7529D" w:rsidR="006D074C" w:rsidRDefault="006D074C">
      <w:pPr>
        <w:rPr>
          <w:lang w:val="fr-FR"/>
        </w:rPr>
      </w:pPr>
      <w:r>
        <w:rPr>
          <w:lang w:val="fr-FR"/>
        </w:rPr>
        <w:br w:type="page"/>
      </w:r>
    </w:p>
    <w:p w14:paraId="00E92FC0" w14:textId="205B6FF5" w:rsidR="006D074C" w:rsidRPr="003338FD" w:rsidRDefault="002F534B" w:rsidP="00625AD1">
      <w:pPr>
        <w:keepNext/>
        <w:keepLines/>
        <w:tabs>
          <w:tab w:val="right" w:pos="851"/>
        </w:tabs>
        <w:spacing w:before="360" w:after="240" w:line="300" w:lineRule="exact"/>
        <w:ind w:left="1134" w:right="1134" w:hanging="1134"/>
        <w:rPr>
          <w:b/>
          <w:sz w:val="28"/>
          <w:lang w:val="fr-FR" w:eastAsia="en-US"/>
        </w:rPr>
      </w:pPr>
      <w:r>
        <w:rPr>
          <w:b/>
          <w:sz w:val="28"/>
          <w:lang w:val="fr-FR" w:eastAsia="en-US"/>
        </w:rPr>
        <w:lastRenderedPageBreak/>
        <w:tab/>
      </w:r>
    </w:p>
    <w:p w14:paraId="00A4CAFE" w14:textId="77777777" w:rsidR="00B25367" w:rsidRDefault="00B25367" w:rsidP="00B25367">
      <w:pPr>
        <w:pStyle w:val="HChG"/>
        <w:rPr>
          <w:lang w:val="fr-FR"/>
        </w:rPr>
      </w:pPr>
      <w:r w:rsidRPr="003338FD">
        <w:rPr>
          <w:lang w:val="fr-FR"/>
        </w:rPr>
        <w:tab/>
        <w:t>I.</w:t>
      </w:r>
      <w:r w:rsidRPr="003338FD">
        <w:rPr>
          <w:lang w:val="fr-FR"/>
        </w:rPr>
        <w:tab/>
        <w:t>Projet d'amendements à la vingt-</w:t>
      </w:r>
      <w:r>
        <w:rPr>
          <w:lang w:val="fr-FR"/>
        </w:rPr>
        <w:t>troisième</w:t>
      </w:r>
      <w:r w:rsidRPr="003338FD">
        <w:rPr>
          <w:lang w:val="fr-FR"/>
        </w:rPr>
        <w:t xml:space="preserve"> édition révisée des Recommandations relatives au transport des marchandises dangereuses, Règlement type (ST/SG/AC.10/1/Rev.2</w:t>
      </w:r>
      <w:r>
        <w:rPr>
          <w:lang w:val="fr-FR"/>
        </w:rPr>
        <w:t>3</w:t>
      </w:r>
      <w:r w:rsidRPr="003338FD">
        <w:rPr>
          <w:lang w:val="fr-FR"/>
        </w:rPr>
        <w:t>)</w:t>
      </w:r>
    </w:p>
    <w:p w14:paraId="4D0C10C5" w14:textId="77777777" w:rsidR="00B25367" w:rsidRPr="00304358" w:rsidRDefault="00B25367" w:rsidP="00B2536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 xml:space="preserve">Chapitre </w:t>
      </w:r>
      <w:r>
        <w:rPr>
          <w:rFonts w:eastAsiaTheme="minorHAnsi"/>
          <w:b/>
          <w:sz w:val="24"/>
          <w:lang w:val="fr-FR" w:eastAsia="en-US"/>
        </w:rPr>
        <w:t>1.2</w:t>
      </w:r>
    </w:p>
    <w:p w14:paraId="62EC2CA2" w14:textId="77777777" w:rsidR="00B25367" w:rsidRDefault="00B25367" w:rsidP="00B25367">
      <w:pPr>
        <w:spacing w:after="120"/>
        <w:ind w:left="2268" w:right="1134" w:hanging="1134"/>
        <w:jc w:val="both"/>
        <w:rPr>
          <w:rFonts w:eastAsiaTheme="minorHAnsi"/>
          <w:lang w:val="fr-FR" w:eastAsia="en-US"/>
        </w:rPr>
      </w:pPr>
      <w:r>
        <w:rPr>
          <w:rFonts w:eastAsiaTheme="minorHAnsi"/>
          <w:lang w:val="fr-FR" w:eastAsia="en-US"/>
        </w:rPr>
        <w:t>[1.2.1</w:t>
      </w:r>
      <w:r>
        <w:rPr>
          <w:rFonts w:eastAsiaTheme="minorHAnsi"/>
          <w:lang w:val="fr-FR" w:eastAsia="en-US"/>
        </w:rPr>
        <w:tab/>
        <w:t xml:space="preserve">Dans la définition de </w:t>
      </w:r>
      <w:r>
        <w:rPr>
          <w:rFonts w:eastAsiaTheme="minorHAnsi"/>
          <w:i/>
          <w:iCs/>
          <w:lang w:val="fr-FR" w:eastAsia="en-US"/>
        </w:rPr>
        <w:t>Bouteille</w:t>
      </w:r>
      <w:r>
        <w:rPr>
          <w:rFonts w:eastAsiaTheme="minorHAnsi"/>
          <w:lang w:val="fr-FR" w:eastAsia="en-US"/>
        </w:rPr>
        <w:t xml:space="preserve">, à la fin, après « 150 </w:t>
      </w:r>
      <w:r w:rsidRPr="000E5C6D">
        <w:rPr>
          <w:rFonts w:eastAsiaTheme="minorHAnsi"/>
          <w:i/>
          <w:iCs/>
          <w:lang w:val="fr-FR" w:eastAsia="en-US"/>
        </w:rPr>
        <w:t>l</w:t>
      </w:r>
      <w:r>
        <w:rPr>
          <w:rFonts w:eastAsiaTheme="minorHAnsi"/>
          <w:lang w:val="fr-FR" w:eastAsia="en-US"/>
        </w:rPr>
        <w:t xml:space="preserve"> », ajouter « , </w:t>
      </w:r>
      <w:r w:rsidRPr="00D0598A">
        <w:rPr>
          <w:rFonts w:eastAsiaTheme="minorHAnsi"/>
          <w:lang w:val="fr-FR" w:eastAsia="en-US"/>
        </w:rPr>
        <w:t>dont le produit pression volume d’épreuve ne dépasse pas 1,5 million de bar litres</w:t>
      </w:r>
      <w:r>
        <w:rPr>
          <w:rFonts w:eastAsiaTheme="minorHAnsi"/>
          <w:lang w:val="fr-FR" w:eastAsia="en-US"/>
        </w:rPr>
        <w:t> ».</w:t>
      </w:r>
    </w:p>
    <w:p w14:paraId="19792AB4" w14:textId="77777777" w:rsidR="00B25367" w:rsidRDefault="00B25367" w:rsidP="00B25367">
      <w:pPr>
        <w:spacing w:after="120"/>
        <w:ind w:left="2268" w:right="1134"/>
        <w:jc w:val="both"/>
        <w:rPr>
          <w:rFonts w:eastAsiaTheme="minorHAnsi"/>
          <w:lang w:val="fr-FR" w:eastAsia="en-US"/>
        </w:rPr>
      </w:pPr>
      <w:r>
        <w:rPr>
          <w:rFonts w:eastAsiaTheme="minorHAnsi"/>
          <w:lang w:val="fr-FR" w:eastAsia="en-US"/>
        </w:rPr>
        <w:t xml:space="preserve">Dans la définition de </w:t>
      </w:r>
      <w:r>
        <w:rPr>
          <w:rFonts w:eastAsiaTheme="minorHAnsi"/>
          <w:i/>
          <w:iCs/>
          <w:lang w:val="fr-FR" w:eastAsia="en-US"/>
        </w:rPr>
        <w:t>Tube</w:t>
      </w:r>
      <w:r>
        <w:rPr>
          <w:rFonts w:eastAsiaTheme="minorHAnsi"/>
          <w:lang w:val="fr-FR" w:eastAsia="en-US"/>
        </w:rPr>
        <w:t xml:space="preserve">, à la fin, après « 3000 </w:t>
      </w:r>
      <w:r w:rsidRPr="000E5C6D">
        <w:rPr>
          <w:rFonts w:eastAsiaTheme="minorHAnsi"/>
          <w:i/>
          <w:iCs/>
          <w:lang w:val="fr-FR" w:eastAsia="en-US"/>
        </w:rPr>
        <w:t>l</w:t>
      </w:r>
      <w:r>
        <w:rPr>
          <w:rFonts w:eastAsiaTheme="minorHAnsi"/>
          <w:lang w:val="fr-FR" w:eastAsia="en-US"/>
        </w:rPr>
        <w:t xml:space="preserve"> »,ajouter « , </w:t>
      </w:r>
      <w:r w:rsidRPr="00D0598A">
        <w:rPr>
          <w:rFonts w:eastAsiaTheme="minorHAnsi"/>
          <w:lang w:val="fr-FR" w:eastAsia="en-US"/>
        </w:rPr>
        <w:t>dont le produit pression volume d’épreuve ne dépasse pas 1,5 million de bar litres</w:t>
      </w:r>
      <w:r>
        <w:rPr>
          <w:rFonts w:eastAsiaTheme="minorHAnsi"/>
          <w:lang w:val="fr-FR" w:eastAsia="en-US"/>
        </w:rPr>
        <w:t> ».</w:t>
      </w:r>
    </w:p>
    <w:p w14:paraId="58680BCA" w14:textId="77777777" w:rsidR="00B25367" w:rsidRDefault="00B25367" w:rsidP="00B25367">
      <w:pPr>
        <w:spacing w:after="120"/>
        <w:ind w:left="2268" w:right="1134"/>
        <w:jc w:val="both"/>
        <w:rPr>
          <w:rFonts w:eastAsiaTheme="minorHAnsi"/>
          <w:lang w:val="fr-FR" w:eastAsia="en-US"/>
        </w:rPr>
      </w:pPr>
      <w:r>
        <w:rPr>
          <w:rFonts w:eastAsiaTheme="minorHAnsi"/>
          <w:lang w:val="fr-FR" w:eastAsia="en-US"/>
        </w:rPr>
        <w:t xml:space="preserve">Dans la définition de </w:t>
      </w:r>
      <w:r>
        <w:rPr>
          <w:rFonts w:eastAsiaTheme="minorHAnsi"/>
          <w:i/>
          <w:iCs/>
          <w:lang w:val="fr-FR" w:eastAsia="en-US"/>
        </w:rPr>
        <w:t>Cadre de bouteilles</w:t>
      </w:r>
      <w:r>
        <w:rPr>
          <w:rFonts w:eastAsiaTheme="minorHAnsi"/>
          <w:lang w:val="fr-FR" w:eastAsia="en-US"/>
        </w:rPr>
        <w:t>, à la fin, après le point-virgule, ajouter « </w:t>
      </w:r>
      <w:r w:rsidRPr="00457D83">
        <w:rPr>
          <w:rFonts w:eastAsiaTheme="minorHAnsi"/>
          <w:lang w:val="fr-FR" w:eastAsia="en-US"/>
        </w:rPr>
        <w:t>le produit de la pression d’épreuve et de la contenance totale en eau ne doit pas dépasser 1,5 million de bar litres</w:t>
      </w:r>
      <w:r>
        <w:rPr>
          <w:rFonts w:eastAsiaTheme="minorHAnsi"/>
          <w:lang w:val="fr-FR" w:eastAsia="en-US"/>
        </w:rPr>
        <w:t> </w:t>
      </w:r>
      <w:r w:rsidRPr="00457D83">
        <w:rPr>
          <w:rFonts w:eastAsiaTheme="minorHAnsi"/>
          <w:lang w:val="fr-FR" w:eastAsia="en-US"/>
        </w:rPr>
        <w:t>;</w:t>
      </w:r>
      <w:r>
        <w:rPr>
          <w:rFonts w:eastAsiaTheme="minorHAnsi"/>
          <w:lang w:val="fr-FR" w:eastAsia="en-US"/>
        </w:rPr>
        <w:t> ».</w:t>
      </w:r>
    </w:p>
    <w:p w14:paraId="2A991A67" w14:textId="77777777" w:rsidR="00B25367" w:rsidRPr="009B0D24" w:rsidRDefault="00B25367" w:rsidP="00B25367">
      <w:pPr>
        <w:spacing w:after="120"/>
        <w:ind w:left="2268" w:right="1134"/>
        <w:jc w:val="both"/>
        <w:rPr>
          <w:rFonts w:eastAsiaTheme="minorHAnsi"/>
          <w:lang w:val="fr-FR" w:eastAsia="en-US"/>
        </w:rPr>
      </w:pPr>
      <w:r>
        <w:rPr>
          <w:rFonts w:eastAsiaTheme="minorHAnsi"/>
          <w:lang w:val="fr-FR" w:eastAsia="en-US"/>
        </w:rPr>
        <w:t xml:space="preserve">Dans la définition de </w:t>
      </w:r>
      <w:r>
        <w:rPr>
          <w:i/>
          <w:iCs/>
          <w:lang w:val="fr-FR"/>
        </w:rPr>
        <w:t>Récipient à pression de secours</w:t>
      </w:r>
      <w:r>
        <w:rPr>
          <w:lang w:val="fr-FR"/>
        </w:rPr>
        <w:t>, supprimer « </w:t>
      </w:r>
      <w:r w:rsidRPr="000E5C6D">
        <w:rPr>
          <w:lang w:val="fr-FR"/>
        </w:rPr>
        <w:t xml:space="preserve">d’une contenance en eau ne dépassant pas 3 000 </w:t>
      </w:r>
      <w:r w:rsidRPr="000E5C6D">
        <w:rPr>
          <w:i/>
          <w:iCs/>
          <w:lang w:val="fr-FR"/>
        </w:rPr>
        <w:t>l</w:t>
      </w:r>
      <w:r>
        <w:rPr>
          <w:lang w:val="fr-FR"/>
        </w:rPr>
        <w:t> » et, après « </w:t>
      </w:r>
      <w:r w:rsidRPr="002138A6">
        <w:rPr>
          <w:lang w:val="fr-FR"/>
        </w:rPr>
        <w:t>ou non conformes</w:t>
      </w:r>
      <w:r>
        <w:rPr>
          <w:lang w:val="fr-FR"/>
        </w:rPr>
        <w:t> », ajouter « </w:t>
      </w:r>
      <w:r w:rsidRPr="00F830B7">
        <w:rPr>
          <w:lang w:val="fr-FR"/>
        </w:rPr>
        <w:t>, et dont le produit pression volume d’épreuve total ne dépasse pas 1,5 million de bar litres,</w:t>
      </w:r>
      <w:r>
        <w:rPr>
          <w:lang w:val="fr-FR"/>
        </w:rPr>
        <w:t> ».]</w:t>
      </w:r>
    </w:p>
    <w:p w14:paraId="4E96A8F9" w14:textId="77777777" w:rsidR="00B25367" w:rsidRDefault="00B25367" w:rsidP="00B25367">
      <w:pPr>
        <w:spacing w:after="120"/>
        <w:ind w:left="1134" w:right="1134"/>
        <w:jc w:val="both"/>
        <w:rPr>
          <w:i/>
          <w:iCs/>
          <w:lang w:val="fr-FR" w:eastAsia="en-US"/>
        </w:rPr>
      </w:pPr>
      <w:bookmarkStart w:id="0" w:name="_Hlk139486323"/>
      <w:r w:rsidRPr="003338FD">
        <w:rPr>
          <w:i/>
          <w:iCs/>
          <w:lang w:val="fr-FR" w:eastAsia="en-US"/>
        </w:rPr>
        <w:t>(Document de référence</w:t>
      </w:r>
      <w:r>
        <w:rPr>
          <w:i/>
          <w:iCs/>
          <w:lang w:val="fr-FR" w:eastAsia="en-US"/>
        </w:rPr>
        <w:t> </w:t>
      </w:r>
      <w:r w:rsidRPr="003338FD">
        <w:rPr>
          <w:i/>
          <w:iCs/>
          <w:lang w:val="fr-FR" w:eastAsia="en-US"/>
        </w:rPr>
        <w:t>: ST/SG/AC.10/C.3/202</w:t>
      </w:r>
      <w:r>
        <w:rPr>
          <w:i/>
          <w:iCs/>
          <w:lang w:val="fr-FR" w:eastAsia="en-US"/>
        </w:rPr>
        <w:t>3</w:t>
      </w:r>
      <w:r w:rsidRPr="003338FD">
        <w:rPr>
          <w:i/>
          <w:iCs/>
          <w:lang w:val="fr-FR" w:eastAsia="en-US"/>
        </w:rPr>
        <w:t>/</w:t>
      </w:r>
      <w:r>
        <w:rPr>
          <w:i/>
          <w:iCs/>
          <w:lang w:val="fr-FR" w:eastAsia="en-US"/>
        </w:rPr>
        <w:t>1</w:t>
      </w:r>
      <w:r w:rsidRPr="003338FD">
        <w:rPr>
          <w:i/>
          <w:iCs/>
          <w:lang w:val="fr-FR" w:eastAsia="en-US"/>
        </w:rPr>
        <w:t>)</w:t>
      </w:r>
    </w:p>
    <w:p w14:paraId="04DD4435" w14:textId="77777777" w:rsidR="00B25367" w:rsidRDefault="00B25367" w:rsidP="00B25367">
      <w:pPr>
        <w:pStyle w:val="SingleTxtG"/>
        <w:tabs>
          <w:tab w:val="clear" w:pos="1701"/>
          <w:tab w:val="clear" w:pos="2268"/>
        </w:tabs>
        <w:ind w:left="2268" w:hanging="1134"/>
        <w:rPr>
          <w:lang w:val="fr-FR"/>
        </w:rPr>
      </w:pPr>
      <w:r>
        <w:rPr>
          <w:lang w:val="fr-FR"/>
        </w:rPr>
        <w:tab/>
      </w:r>
      <w:r w:rsidRPr="004B0E4C">
        <w:rPr>
          <w:lang w:val="fr-FR"/>
        </w:rPr>
        <w:t xml:space="preserve">Dans la définition de </w:t>
      </w:r>
      <w:r w:rsidRPr="004B0E4C">
        <w:rPr>
          <w:i/>
          <w:iCs/>
          <w:lang w:val="fr-FR"/>
        </w:rPr>
        <w:t>Taux de remplissage</w:t>
      </w:r>
      <w:r w:rsidRPr="004B0E4C">
        <w:rPr>
          <w:lang w:val="fr-FR"/>
        </w:rPr>
        <w:t>, remplacer « un récipient à pression » par « le moyen de rétention ».</w:t>
      </w:r>
    </w:p>
    <w:p w14:paraId="378E6060"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bookmarkEnd w:id="0"/>
    <w:p w14:paraId="6C140269" w14:textId="77777777" w:rsidR="00B25367" w:rsidRDefault="00B25367" w:rsidP="00B25367">
      <w:pPr>
        <w:tabs>
          <w:tab w:val="left" w:pos="2268"/>
        </w:tabs>
        <w:spacing w:after="120"/>
        <w:ind w:left="1134" w:right="1134"/>
        <w:jc w:val="both"/>
        <w:rPr>
          <w:lang w:val="fr-FR" w:eastAsia="en-US"/>
        </w:rPr>
      </w:pPr>
      <w:r>
        <w:rPr>
          <w:lang w:val="fr-FR" w:eastAsia="en-US"/>
        </w:rPr>
        <w:t>1.2.2.1</w:t>
      </w:r>
      <w:r>
        <w:rPr>
          <w:lang w:val="fr-FR" w:eastAsia="en-US"/>
        </w:rPr>
        <w:tab/>
        <w:t xml:space="preserve">Dans la note </w:t>
      </w:r>
      <w:r w:rsidRPr="00B5392A">
        <w:rPr>
          <w:vertAlign w:val="superscript"/>
          <w:lang w:val="fr-FR" w:eastAsia="en-US"/>
        </w:rPr>
        <w:t>a</w:t>
      </w:r>
      <w:r>
        <w:rPr>
          <w:lang w:val="fr-FR" w:eastAsia="en-US"/>
        </w:rPr>
        <w:t xml:space="preserve"> </w:t>
      </w:r>
      <w:r w:rsidRPr="00C372F0">
        <w:rPr>
          <w:lang w:val="fr-FR" w:eastAsia="en-US"/>
        </w:rPr>
        <w:t>relative au 1.2.2.1</w:t>
      </w:r>
      <w:r>
        <w:rPr>
          <w:lang w:val="fr-FR" w:eastAsia="en-US"/>
        </w:rPr>
        <w:t> :</w:t>
      </w:r>
    </w:p>
    <w:p w14:paraId="56AD778B" w14:textId="77777777" w:rsidR="00B25367" w:rsidRDefault="00B25367" w:rsidP="00B25367">
      <w:pPr>
        <w:pStyle w:val="Bullet1G"/>
        <w:numPr>
          <w:ilvl w:val="0"/>
          <w:numId w:val="1"/>
        </w:numPr>
        <w:tabs>
          <w:tab w:val="clear" w:pos="1701"/>
          <w:tab w:val="num" w:pos="2438"/>
        </w:tabs>
        <w:ind w:left="2438"/>
        <w:rPr>
          <w:lang w:val="fr-FR" w:eastAsia="en-US"/>
        </w:rPr>
      </w:pPr>
      <w:r>
        <w:rPr>
          <w:lang w:val="fr-FR" w:eastAsia="en-US"/>
        </w:rPr>
        <w:t>Supprimer les sections pour « Force » et « Contrainte » ;</w:t>
      </w:r>
    </w:p>
    <w:p w14:paraId="57D00402" w14:textId="77777777" w:rsidR="00B25367" w:rsidRDefault="00B25367" w:rsidP="00B25367">
      <w:pPr>
        <w:pStyle w:val="Bullet1G"/>
        <w:numPr>
          <w:ilvl w:val="0"/>
          <w:numId w:val="1"/>
        </w:numPr>
        <w:tabs>
          <w:tab w:val="clear" w:pos="1701"/>
          <w:tab w:val="num" w:pos="2438"/>
        </w:tabs>
        <w:ind w:left="2438"/>
        <w:rPr>
          <w:lang w:val="fr-FR" w:eastAsia="en-US"/>
        </w:rPr>
      </w:pPr>
      <w:r>
        <w:rPr>
          <w:lang w:val="fr-FR" w:eastAsia="en-US"/>
        </w:rPr>
        <w:t>Dans la section pour « Pression » :</w:t>
      </w:r>
    </w:p>
    <w:p w14:paraId="6236ABDF" w14:textId="77777777" w:rsidR="00B25367" w:rsidRDefault="00B25367" w:rsidP="00B25367">
      <w:pPr>
        <w:pStyle w:val="Bullet1G"/>
        <w:numPr>
          <w:ilvl w:val="0"/>
          <w:numId w:val="1"/>
        </w:numPr>
        <w:tabs>
          <w:tab w:val="clear" w:pos="1701"/>
          <w:tab w:val="num" w:pos="2835"/>
        </w:tabs>
        <w:ind w:left="2835"/>
        <w:rPr>
          <w:lang w:val="fr-FR" w:eastAsia="en-US"/>
        </w:rPr>
      </w:pPr>
      <w:r>
        <w:rPr>
          <w:lang w:val="fr-FR" w:eastAsia="en-US"/>
        </w:rPr>
        <w:t xml:space="preserve">Pour « 1 Pa », supprimer « = </w:t>
      </w:r>
      <w:r w:rsidRPr="00042993">
        <w:rPr>
          <w:i/>
          <w:iCs/>
          <w:lang w:val="en-US"/>
        </w:rPr>
        <w:t xml:space="preserve">1,02 </w:t>
      </w:r>
      <w:r w:rsidRPr="00042993">
        <w:rPr>
          <w:rFonts w:ascii="Symbol" w:eastAsia="Symbol" w:hAnsi="Symbol" w:cs="Symbol"/>
          <w:i/>
          <w:iCs/>
        </w:rPr>
        <w:sym w:font="Symbol" w:char="F0B4"/>
      </w:r>
      <w:r w:rsidRPr="00042993">
        <w:rPr>
          <w:i/>
          <w:iCs/>
          <w:lang w:val="en-US"/>
        </w:rPr>
        <w:t xml:space="preserve"> 10</w:t>
      </w:r>
      <w:r>
        <w:t>⁻</w:t>
      </w:r>
      <w:r w:rsidRPr="00CD533A">
        <w:rPr>
          <w:i/>
          <w:iCs/>
          <w:lang w:val="en-US"/>
        </w:rPr>
        <w:t xml:space="preserve">⁵ </w:t>
      </w:r>
      <w:r w:rsidRPr="00042993">
        <w:rPr>
          <w:i/>
          <w:iCs/>
          <w:lang w:val="en-US"/>
        </w:rPr>
        <w:t>kg/cm</w:t>
      </w:r>
      <w:r w:rsidRPr="00B47AE5">
        <w:rPr>
          <w:i/>
          <w:iCs/>
        </w:rPr>
        <w:t>²</w:t>
      </w:r>
      <w:r>
        <w:t> </w:t>
      </w:r>
      <w:r>
        <w:rPr>
          <w:lang w:val="fr-FR" w:eastAsia="en-US"/>
        </w:rPr>
        <w:t xml:space="preserve">= </w:t>
      </w:r>
      <w:r w:rsidRPr="00042993">
        <w:rPr>
          <w:i/>
          <w:iCs/>
          <w:lang w:val="en-US"/>
        </w:rPr>
        <w:t xml:space="preserve">0,75 </w:t>
      </w:r>
      <w:r w:rsidRPr="00042993">
        <w:rPr>
          <w:rFonts w:ascii="Symbol" w:eastAsia="Symbol" w:hAnsi="Symbol" w:cs="Symbol"/>
          <w:i/>
          <w:iCs/>
        </w:rPr>
        <w:sym w:font="Symbol" w:char="F0B4"/>
      </w:r>
      <w:r w:rsidRPr="00042993">
        <w:rPr>
          <w:i/>
          <w:iCs/>
          <w:lang w:val="en-US"/>
        </w:rPr>
        <w:t xml:space="preserve"> 10</w:t>
      </w:r>
      <w:r>
        <w:t>⁻</w:t>
      </w:r>
      <w:r w:rsidRPr="00B47AE5">
        <w:rPr>
          <w:i/>
          <w:iCs/>
        </w:rPr>
        <w:t>²</w:t>
      </w:r>
      <w:r w:rsidRPr="00042993">
        <w:rPr>
          <w:i/>
          <w:iCs/>
          <w:lang w:val="en-US"/>
        </w:rPr>
        <w:t xml:space="preserve"> torr</w:t>
      </w:r>
      <w:r>
        <w:rPr>
          <w:i/>
          <w:iCs/>
        </w:rPr>
        <w:t> </w:t>
      </w:r>
      <w:r>
        <w:t>» ;</w:t>
      </w:r>
    </w:p>
    <w:p w14:paraId="666C8079" w14:textId="77777777" w:rsidR="00B25367" w:rsidRPr="0014619C" w:rsidRDefault="00B25367" w:rsidP="00B25367">
      <w:pPr>
        <w:pStyle w:val="Bullet1G"/>
        <w:numPr>
          <w:ilvl w:val="0"/>
          <w:numId w:val="1"/>
        </w:numPr>
        <w:tabs>
          <w:tab w:val="clear" w:pos="1701"/>
          <w:tab w:val="num" w:pos="2835"/>
        </w:tabs>
        <w:ind w:left="2835"/>
        <w:rPr>
          <w:lang w:val="fr-FR" w:eastAsia="en-US"/>
        </w:rPr>
      </w:pPr>
      <w:r>
        <w:rPr>
          <w:lang w:val="fr-FR" w:eastAsia="en-US"/>
        </w:rPr>
        <w:t xml:space="preserve">Pour « 1 Bar », supprimer « = </w:t>
      </w:r>
      <w:r w:rsidRPr="00042993">
        <w:rPr>
          <w:i/>
          <w:iCs/>
        </w:rPr>
        <w:t>1,02 kg/cm</w:t>
      </w:r>
      <w:r w:rsidRPr="00B47AE5">
        <w:rPr>
          <w:i/>
          <w:iCs/>
        </w:rPr>
        <w:t>²</w:t>
      </w:r>
      <w:r>
        <w:rPr>
          <w:i/>
          <w:iCs/>
        </w:rPr>
        <w:t xml:space="preserve"> </w:t>
      </w:r>
      <w:r>
        <w:rPr>
          <w:lang w:val="fr-FR" w:eastAsia="en-US"/>
        </w:rPr>
        <w:t xml:space="preserve">= </w:t>
      </w:r>
      <w:r w:rsidRPr="00042993">
        <w:rPr>
          <w:i/>
          <w:iCs/>
        </w:rPr>
        <w:t>750 torr</w:t>
      </w:r>
      <w:r>
        <w:t> » ;</w:t>
      </w:r>
    </w:p>
    <w:p w14:paraId="6B898276" w14:textId="77777777" w:rsidR="00B25367" w:rsidRPr="00376FA8" w:rsidRDefault="00B25367" w:rsidP="00B25367">
      <w:pPr>
        <w:pStyle w:val="Bullet1G"/>
        <w:numPr>
          <w:ilvl w:val="0"/>
          <w:numId w:val="1"/>
        </w:numPr>
        <w:tabs>
          <w:tab w:val="clear" w:pos="1701"/>
          <w:tab w:val="num" w:pos="2835"/>
        </w:tabs>
        <w:ind w:left="2835"/>
        <w:rPr>
          <w:lang w:val="fr-FR" w:eastAsia="en-US"/>
        </w:rPr>
      </w:pPr>
      <w:r>
        <w:t>Supprimer les lignes pour « </w:t>
      </w:r>
      <w:r w:rsidRPr="00042993">
        <w:rPr>
          <w:i/>
          <w:iCs/>
        </w:rPr>
        <w:t>1 kg/cm</w:t>
      </w:r>
      <w:r w:rsidRPr="00890FCC">
        <w:rPr>
          <w:i/>
          <w:iCs/>
        </w:rPr>
        <w:t>²</w:t>
      </w:r>
      <w:r>
        <w:t> » et pour « </w:t>
      </w:r>
      <w:r w:rsidRPr="00042993">
        <w:rPr>
          <w:i/>
          <w:iCs/>
        </w:rPr>
        <w:t xml:space="preserve">1 </w:t>
      </w:r>
      <w:r>
        <w:rPr>
          <w:i/>
          <w:iCs/>
        </w:rPr>
        <w:t>torr</w:t>
      </w:r>
      <w:r>
        <w:t> » ;</w:t>
      </w:r>
    </w:p>
    <w:p w14:paraId="155EE746" w14:textId="77777777" w:rsidR="00B25367" w:rsidRDefault="00B25367" w:rsidP="00B25367">
      <w:pPr>
        <w:pStyle w:val="Bullet1G"/>
        <w:numPr>
          <w:ilvl w:val="0"/>
          <w:numId w:val="1"/>
        </w:numPr>
        <w:tabs>
          <w:tab w:val="clear" w:pos="1701"/>
          <w:tab w:val="num" w:pos="2438"/>
        </w:tabs>
        <w:ind w:left="2438"/>
        <w:rPr>
          <w:lang w:val="fr-FR" w:eastAsia="en-US"/>
        </w:rPr>
      </w:pPr>
      <w:r>
        <w:rPr>
          <w:lang w:val="fr-FR" w:eastAsia="en-US"/>
        </w:rPr>
        <w:t>Dans la section pour « </w:t>
      </w:r>
      <w:r w:rsidRPr="006905D1">
        <w:rPr>
          <w:lang w:val="fr-FR" w:eastAsia="en-US"/>
        </w:rPr>
        <w:t>Travail, Énergie, Quantité de chaleur</w:t>
      </w:r>
      <w:r>
        <w:rPr>
          <w:lang w:val="fr-FR" w:eastAsia="en-US"/>
        </w:rPr>
        <w:t> » :</w:t>
      </w:r>
    </w:p>
    <w:p w14:paraId="74DB2C63" w14:textId="77777777" w:rsidR="00B25367" w:rsidRDefault="00B25367" w:rsidP="00B25367">
      <w:pPr>
        <w:pStyle w:val="Bullet1G"/>
        <w:numPr>
          <w:ilvl w:val="0"/>
          <w:numId w:val="1"/>
        </w:numPr>
        <w:tabs>
          <w:tab w:val="clear" w:pos="1701"/>
          <w:tab w:val="num" w:pos="2835"/>
        </w:tabs>
        <w:ind w:left="2835"/>
        <w:rPr>
          <w:lang w:val="fr-FR" w:eastAsia="en-US"/>
        </w:rPr>
      </w:pPr>
      <w:r>
        <w:rPr>
          <w:lang w:val="fr-FR" w:eastAsia="en-US"/>
        </w:rPr>
        <w:t>Pour « </w:t>
      </w:r>
      <w:r w:rsidRPr="003D3D4D">
        <w:rPr>
          <w:lang w:val="fr-FR" w:eastAsia="en-US"/>
        </w:rPr>
        <w:t>1 J</w:t>
      </w:r>
      <w:r>
        <w:rPr>
          <w:lang w:val="fr-FR" w:eastAsia="en-US"/>
        </w:rPr>
        <w:t xml:space="preserve"> », supprimer « = </w:t>
      </w:r>
      <w:r w:rsidRPr="00042993">
        <w:rPr>
          <w:i/>
          <w:iCs/>
        </w:rPr>
        <w:t>0,102 kgm</w:t>
      </w:r>
      <w:r>
        <w:rPr>
          <w:i/>
          <w:iCs/>
        </w:rPr>
        <w:t> </w:t>
      </w:r>
      <w:r>
        <w:t>» ;</w:t>
      </w:r>
    </w:p>
    <w:p w14:paraId="1742C881" w14:textId="77777777" w:rsidR="00B25367" w:rsidRDefault="00B25367" w:rsidP="00B25367">
      <w:pPr>
        <w:pStyle w:val="Bullet1G"/>
        <w:numPr>
          <w:ilvl w:val="0"/>
          <w:numId w:val="1"/>
        </w:numPr>
        <w:tabs>
          <w:tab w:val="clear" w:pos="1701"/>
          <w:tab w:val="num" w:pos="2835"/>
        </w:tabs>
        <w:ind w:left="2835"/>
        <w:rPr>
          <w:lang w:val="fr-FR" w:eastAsia="en-US"/>
        </w:rPr>
      </w:pPr>
      <w:r>
        <w:rPr>
          <w:lang w:val="fr-FR" w:eastAsia="en-US"/>
        </w:rPr>
        <w:t>Pour « </w:t>
      </w:r>
      <w:r w:rsidRPr="003A6CD6">
        <w:rPr>
          <w:lang w:val="fr-FR" w:eastAsia="en-US"/>
        </w:rPr>
        <w:t>1 kWh</w:t>
      </w:r>
      <w:r>
        <w:rPr>
          <w:lang w:val="fr-FR" w:eastAsia="en-US"/>
        </w:rPr>
        <w:t xml:space="preserve"> », supprimer « = </w:t>
      </w:r>
      <w:r w:rsidRPr="00042993">
        <w:rPr>
          <w:i/>
          <w:iCs/>
        </w:rPr>
        <w:t xml:space="preserve">367 </w:t>
      </w:r>
      <w:r w:rsidRPr="00042993">
        <w:rPr>
          <w:rFonts w:ascii="Symbol" w:eastAsia="Symbol" w:hAnsi="Symbol" w:cs="Symbol"/>
          <w:i/>
          <w:iCs/>
        </w:rPr>
        <w:sym w:font="Symbol" w:char="F0B4"/>
      </w:r>
      <w:r w:rsidRPr="00042993">
        <w:rPr>
          <w:i/>
          <w:iCs/>
        </w:rPr>
        <w:t xml:space="preserve"> 10</w:t>
      </w:r>
      <w:r w:rsidRPr="00B47AE5">
        <w:rPr>
          <w:i/>
          <w:iCs/>
        </w:rPr>
        <w:t>³</w:t>
      </w:r>
      <w:r w:rsidRPr="00042993">
        <w:rPr>
          <w:i/>
          <w:iCs/>
        </w:rPr>
        <w:t xml:space="preserve"> kgm</w:t>
      </w:r>
      <w:r>
        <w:rPr>
          <w:i/>
          <w:iCs/>
        </w:rPr>
        <w:t> </w:t>
      </w:r>
      <w:r>
        <w:t>» ;</w:t>
      </w:r>
    </w:p>
    <w:p w14:paraId="7812BE1F" w14:textId="77777777" w:rsidR="00B25367" w:rsidRPr="00E84FAA" w:rsidRDefault="00B25367" w:rsidP="00B25367">
      <w:pPr>
        <w:pStyle w:val="Bullet1G"/>
        <w:numPr>
          <w:ilvl w:val="0"/>
          <w:numId w:val="1"/>
        </w:numPr>
        <w:tabs>
          <w:tab w:val="clear" w:pos="1701"/>
          <w:tab w:val="num" w:pos="2835"/>
        </w:tabs>
        <w:ind w:left="2835"/>
        <w:rPr>
          <w:lang w:val="fr-FR" w:eastAsia="en-US"/>
        </w:rPr>
      </w:pPr>
      <w:r>
        <w:t>Supprimer la ligne pour « </w:t>
      </w:r>
      <w:r w:rsidRPr="00042993">
        <w:rPr>
          <w:i/>
          <w:iCs/>
        </w:rPr>
        <w:t>1 kgm</w:t>
      </w:r>
      <w:r>
        <w:t> » ;</w:t>
      </w:r>
    </w:p>
    <w:p w14:paraId="0214B37C" w14:textId="77777777" w:rsidR="00B25367" w:rsidRPr="00902AB2" w:rsidRDefault="00B25367" w:rsidP="00B25367">
      <w:pPr>
        <w:pStyle w:val="Bullet1G"/>
        <w:numPr>
          <w:ilvl w:val="0"/>
          <w:numId w:val="1"/>
        </w:numPr>
        <w:tabs>
          <w:tab w:val="clear" w:pos="1701"/>
          <w:tab w:val="num" w:pos="2835"/>
        </w:tabs>
        <w:ind w:left="2835"/>
        <w:rPr>
          <w:lang w:val="fr-FR" w:eastAsia="en-US"/>
        </w:rPr>
      </w:pPr>
      <w:r>
        <w:t xml:space="preserve">Pour « 1 </w:t>
      </w:r>
      <w:r w:rsidRPr="00E50A9D">
        <w:t>kcal</w:t>
      </w:r>
      <w:r>
        <w:t xml:space="preserve"> », supprimer « = </w:t>
      </w:r>
      <w:r w:rsidRPr="006D64B0">
        <w:rPr>
          <w:i/>
          <w:iCs/>
        </w:rPr>
        <w:t>427 kgm</w:t>
      </w:r>
      <w:r>
        <w:t> » ;</w:t>
      </w:r>
    </w:p>
    <w:p w14:paraId="6F365836" w14:textId="77777777" w:rsidR="00B25367" w:rsidRDefault="00B25367" w:rsidP="00B25367">
      <w:pPr>
        <w:pStyle w:val="Bullet1G"/>
        <w:numPr>
          <w:ilvl w:val="0"/>
          <w:numId w:val="1"/>
        </w:numPr>
        <w:tabs>
          <w:tab w:val="clear" w:pos="1701"/>
          <w:tab w:val="num" w:pos="2438"/>
        </w:tabs>
        <w:ind w:left="2438"/>
        <w:rPr>
          <w:lang w:val="fr-FR" w:eastAsia="en-US"/>
        </w:rPr>
      </w:pPr>
      <w:r>
        <w:rPr>
          <w:lang w:val="fr-FR" w:eastAsia="en-US"/>
        </w:rPr>
        <w:t>Dans la section pour « Puissance » :</w:t>
      </w:r>
    </w:p>
    <w:p w14:paraId="12E30A5B" w14:textId="77777777" w:rsidR="00B25367" w:rsidRDefault="00B25367" w:rsidP="00B25367">
      <w:pPr>
        <w:pStyle w:val="Bullet1G"/>
        <w:numPr>
          <w:ilvl w:val="0"/>
          <w:numId w:val="1"/>
        </w:numPr>
        <w:tabs>
          <w:tab w:val="clear" w:pos="1701"/>
          <w:tab w:val="num" w:pos="2835"/>
        </w:tabs>
        <w:ind w:left="2835"/>
        <w:rPr>
          <w:lang w:val="fr-FR" w:eastAsia="en-US"/>
        </w:rPr>
      </w:pPr>
      <w:r>
        <w:rPr>
          <w:lang w:val="fr-FR" w:eastAsia="en-US"/>
        </w:rPr>
        <w:t>Pour « </w:t>
      </w:r>
      <w:r w:rsidRPr="003D3D4D">
        <w:rPr>
          <w:lang w:val="fr-FR" w:eastAsia="en-US"/>
        </w:rPr>
        <w:t xml:space="preserve">1 </w:t>
      </w:r>
      <w:r>
        <w:rPr>
          <w:lang w:val="fr-FR" w:eastAsia="en-US"/>
        </w:rPr>
        <w:t xml:space="preserve">W », supprimer « = </w:t>
      </w:r>
      <w:r w:rsidRPr="00A54C2D">
        <w:rPr>
          <w:i/>
          <w:iCs/>
        </w:rPr>
        <w:t>0,102 kgm/s</w:t>
      </w:r>
      <w:r>
        <w:rPr>
          <w:i/>
          <w:iCs/>
        </w:rPr>
        <w:t> </w:t>
      </w:r>
      <w:r>
        <w:t>» ;</w:t>
      </w:r>
    </w:p>
    <w:p w14:paraId="2B10FD7B" w14:textId="77777777" w:rsidR="00B25367" w:rsidRPr="00E84FAA" w:rsidRDefault="00B25367" w:rsidP="00B25367">
      <w:pPr>
        <w:pStyle w:val="Bullet1G"/>
        <w:numPr>
          <w:ilvl w:val="0"/>
          <w:numId w:val="1"/>
        </w:numPr>
        <w:tabs>
          <w:tab w:val="clear" w:pos="1701"/>
          <w:tab w:val="num" w:pos="2835"/>
        </w:tabs>
        <w:ind w:left="2835"/>
        <w:rPr>
          <w:lang w:val="fr-FR" w:eastAsia="en-US"/>
        </w:rPr>
      </w:pPr>
      <w:r>
        <w:t>Supprimer la ligne pour « </w:t>
      </w:r>
      <w:r w:rsidRPr="00042993">
        <w:rPr>
          <w:i/>
          <w:iCs/>
        </w:rPr>
        <w:t>1 kgm</w:t>
      </w:r>
      <w:r>
        <w:rPr>
          <w:i/>
          <w:iCs/>
        </w:rPr>
        <w:t>/s</w:t>
      </w:r>
      <w:r>
        <w:t> » ;</w:t>
      </w:r>
    </w:p>
    <w:p w14:paraId="45D928E8" w14:textId="77777777" w:rsidR="00B25367" w:rsidRDefault="00B25367" w:rsidP="00B25367">
      <w:pPr>
        <w:pStyle w:val="Bullet1G"/>
        <w:numPr>
          <w:ilvl w:val="0"/>
          <w:numId w:val="1"/>
        </w:numPr>
        <w:tabs>
          <w:tab w:val="clear" w:pos="1701"/>
          <w:tab w:val="num" w:pos="2835"/>
        </w:tabs>
        <w:ind w:left="2835"/>
        <w:rPr>
          <w:lang w:val="fr-FR" w:eastAsia="en-US"/>
        </w:rPr>
      </w:pPr>
      <w:r>
        <w:rPr>
          <w:lang w:val="fr-FR" w:eastAsia="en-US"/>
        </w:rPr>
        <w:t>Pour « </w:t>
      </w:r>
      <w:r w:rsidRPr="003A6CD6">
        <w:rPr>
          <w:lang w:val="fr-FR" w:eastAsia="en-US"/>
        </w:rPr>
        <w:t xml:space="preserve">1 </w:t>
      </w:r>
      <w:r w:rsidRPr="00F14834">
        <w:rPr>
          <w:lang w:val="fr-FR" w:eastAsia="en-US"/>
        </w:rPr>
        <w:t>kcal/h</w:t>
      </w:r>
      <w:r>
        <w:rPr>
          <w:lang w:val="fr-FR" w:eastAsia="en-US"/>
        </w:rPr>
        <w:t xml:space="preserve"> », supprimer « = </w:t>
      </w:r>
      <w:r w:rsidRPr="005E744D">
        <w:rPr>
          <w:i/>
          <w:iCs/>
        </w:rPr>
        <w:t>0,119 kgm/s</w:t>
      </w:r>
      <w:r>
        <w:rPr>
          <w:i/>
          <w:iCs/>
        </w:rPr>
        <w:t> </w:t>
      </w:r>
      <w:r>
        <w:t>» ;</w:t>
      </w:r>
    </w:p>
    <w:p w14:paraId="3703223A" w14:textId="77777777" w:rsidR="00B25367" w:rsidRDefault="00B25367" w:rsidP="00B25367">
      <w:pPr>
        <w:pStyle w:val="Bullet1G"/>
        <w:numPr>
          <w:ilvl w:val="0"/>
          <w:numId w:val="1"/>
        </w:numPr>
        <w:tabs>
          <w:tab w:val="clear" w:pos="1701"/>
          <w:tab w:val="num" w:pos="2438"/>
        </w:tabs>
        <w:ind w:left="2438"/>
        <w:rPr>
          <w:lang w:val="fr-FR" w:eastAsia="en-US"/>
        </w:rPr>
      </w:pPr>
      <w:r>
        <w:rPr>
          <w:lang w:val="fr-FR" w:eastAsia="en-US"/>
        </w:rPr>
        <w:t>Dans la section pour « </w:t>
      </w:r>
      <w:r w:rsidRPr="00C91464">
        <w:rPr>
          <w:lang w:val="fr-FR" w:eastAsia="en-US"/>
        </w:rPr>
        <w:t>Viscosité dynamique</w:t>
      </w:r>
      <w:r>
        <w:rPr>
          <w:lang w:val="fr-FR" w:eastAsia="en-US"/>
        </w:rPr>
        <w:t> » :</w:t>
      </w:r>
    </w:p>
    <w:p w14:paraId="0E44CBA9" w14:textId="77777777" w:rsidR="00B25367" w:rsidRDefault="00B25367" w:rsidP="00B25367">
      <w:pPr>
        <w:pStyle w:val="Bullet1G"/>
        <w:numPr>
          <w:ilvl w:val="0"/>
          <w:numId w:val="1"/>
        </w:numPr>
        <w:tabs>
          <w:tab w:val="clear" w:pos="1701"/>
          <w:tab w:val="num" w:pos="2835"/>
        </w:tabs>
        <w:ind w:left="2835"/>
        <w:rPr>
          <w:lang w:val="fr-FR" w:eastAsia="en-US"/>
        </w:rPr>
      </w:pPr>
      <w:r>
        <w:rPr>
          <w:lang w:val="fr-FR" w:eastAsia="en-US"/>
        </w:rPr>
        <w:t>Pour « </w:t>
      </w:r>
      <w:r w:rsidRPr="003D3D4D">
        <w:rPr>
          <w:lang w:val="fr-FR" w:eastAsia="en-US"/>
        </w:rPr>
        <w:t xml:space="preserve">1 </w:t>
      </w:r>
      <w:r w:rsidRPr="00BA64C8">
        <w:rPr>
          <w:lang w:val="fr-FR" w:eastAsia="en-US"/>
        </w:rPr>
        <w:t>Pa s</w:t>
      </w:r>
      <w:r>
        <w:rPr>
          <w:lang w:val="fr-FR" w:eastAsia="en-US"/>
        </w:rPr>
        <w:t xml:space="preserve"> », supprimer « = </w:t>
      </w:r>
      <w:r w:rsidRPr="00E15E0C">
        <w:rPr>
          <w:i/>
          <w:iCs/>
        </w:rPr>
        <w:t>0,102 kg/m</w:t>
      </w:r>
      <w:r w:rsidRPr="00B47AE5">
        <w:rPr>
          <w:i/>
          <w:iCs/>
        </w:rPr>
        <w:t>²</w:t>
      </w:r>
      <w:r>
        <w:rPr>
          <w:i/>
          <w:iCs/>
        </w:rPr>
        <w:t> </w:t>
      </w:r>
      <w:r>
        <w:t>» ;</w:t>
      </w:r>
    </w:p>
    <w:p w14:paraId="0045DBE7" w14:textId="77777777" w:rsidR="00B25367" w:rsidRDefault="00B25367" w:rsidP="00B25367">
      <w:pPr>
        <w:pStyle w:val="Bullet1G"/>
        <w:numPr>
          <w:ilvl w:val="0"/>
          <w:numId w:val="1"/>
        </w:numPr>
        <w:tabs>
          <w:tab w:val="clear" w:pos="1701"/>
          <w:tab w:val="num" w:pos="2835"/>
        </w:tabs>
        <w:ind w:left="2835"/>
        <w:rPr>
          <w:lang w:val="fr-FR" w:eastAsia="en-US"/>
        </w:rPr>
      </w:pPr>
      <w:r>
        <w:rPr>
          <w:lang w:val="fr-FR" w:eastAsia="en-US"/>
        </w:rPr>
        <w:t>Pour « </w:t>
      </w:r>
      <w:r w:rsidRPr="003A6CD6">
        <w:rPr>
          <w:lang w:val="fr-FR" w:eastAsia="en-US"/>
        </w:rPr>
        <w:t xml:space="preserve">1 </w:t>
      </w:r>
      <w:r>
        <w:rPr>
          <w:lang w:val="fr-FR" w:eastAsia="en-US"/>
        </w:rPr>
        <w:t xml:space="preserve">P », supprimer « = </w:t>
      </w:r>
      <w:r w:rsidRPr="00042993">
        <w:rPr>
          <w:i/>
        </w:rPr>
        <w:t xml:space="preserve">1,02 </w:t>
      </w:r>
      <w:r w:rsidRPr="00042993">
        <w:rPr>
          <w:rFonts w:ascii="Symbol" w:eastAsia="Symbol" w:hAnsi="Symbol" w:cs="Symbol"/>
          <w:i/>
        </w:rPr>
        <w:sym w:font="Symbol" w:char="F0B4"/>
      </w:r>
      <w:r w:rsidRPr="00042993">
        <w:rPr>
          <w:i/>
        </w:rPr>
        <w:t xml:space="preserve"> 10</w:t>
      </w:r>
      <w:r>
        <w:t>⁻</w:t>
      </w:r>
      <w:r w:rsidRPr="00B47AE5">
        <w:rPr>
          <w:i/>
          <w:iCs/>
        </w:rPr>
        <w:t>²</w:t>
      </w:r>
      <w:r w:rsidRPr="00042993">
        <w:rPr>
          <w:i/>
        </w:rPr>
        <w:t xml:space="preserve"> </w:t>
      </w:r>
      <w:proofErr w:type="spellStart"/>
      <w:r w:rsidRPr="00042993">
        <w:rPr>
          <w:i/>
        </w:rPr>
        <w:t>kgs</w:t>
      </w:r>
      <w:proofErr w:type="spellEnd"/>
      <w:r w:rsidRPr="00042993">
        <w:rPr>
          <w:i/>
        </w:rPr>
        <w:t>/m</w:t>
      </w:r>
      <w:r w:rsidRPr="00B47AE5">
        <w:rPr>
          <w:i/>
          <w:iCs/>
        </w:rPr>
        <w:t>²</w:t>
      </w:r>
      <w:r>
        <w:rPr>
          <w:i/>
          <w:iCs/>
        </w:rPr>
        <w:t> </w:t>
      </w:r>
      <w:r>
        <w:t>» ;</w:t>
      </w:r>
    </w:p>
    <w:p w14:paraId="1311E7AA" w14:textId="77777777" w:rsidR="00B25367" w:rsidRPr="00E84FAA" w:rsidRDefault="00B25367" w:rsidP="00B25367">
      <w:pPr>
        <w:pStyle w:val="Bullet1G"/>
        <w:numPr>
          <w:ilvl w:val="0"/>
          <w:numId w:val="1"/>
        </w:numPr>
        <w:tabs>
          <w:tab w:val="clear" w:pos="1701"/>
          <w:tab w:val="num" w:pos="2835"/>
        </w:tabs>
        <w:ind w:left="2835"/>
        <w:rPr>
          <w:lang w:val="fr-FR" w:eastAsia="en-US"/>
        </w:rPr>
      </w:pPr>
      <w:r>
        <w:t>Supprimer la ligne pour « </w:t>
      </w:r>
      <w:r w:rsidRPr="00042993">
        <w:rPr>
          <w:i/>
          <w:iCs/>
        </w:rPr>
        <w:t xml:space="preserve">1 </w:t>
      </w:r>
      <w:proofErr w:type="spellStart"/>
      <w:r w:rsidRPr="00042993">
        <w:rPr>
          <w:i/>
        </w:rPr>
        <w:t>kgs</w:t>
      </w:r>
      <w:proofErr w:type="spellEnd"/>
      <w:r w:rsidRPr="00042993">
        <w:rPr>
          <w:i/>
        </w:rPr>
        <w:t>/m</w:t>
      </w:r>
      <w:r w:rsidRPr="00B47AE5">
        <w:rPr>
          <w:i/>
          <w:iCs/>
        </w:rPr>
        <w:t>²</w:t>
      </w:r>
      <w:r>
        <w:t> » ;</w:t>
      </w:r>
    </w:p>
    <w:p w14:paraId="30F127D2" w14:textId="77777777" w:rsidR="00B25367"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ST/SG/AC.10/C.3/202</w:t>
      </w:r>
      <w:r>
        <w:rPr>
          <w:i/>
          <w:iCs/>
          <w:lang w:val="fr-FR" w:eastAsia="en-US"/>
        </w:rPr>
        <w:t>3</w:t>
      </w:r>
      <w:r w:rsidRPr="003338FD">
        <w:rPr>
          <w:i/>
          <w:iCs/>
          <w:lang w:val="fr-FR" w:eastAsia="en-US"/>
        </w:rPr>
        <w:t>/</w:t>
      </w:r>
      <w:r>
        <w:rPr>
          <w:i/>
          <w:iCs/>
          <w:lang w:val="fr-FR" w:eastAsia="en-US"/>
        </w:rPr>
        <w:t>2</w:t>
      </w:r>
      <w:r w:rsidRPr="003338FD">
        <w:rPr>
          <w:i/>
          <w:iCs/>
          <w:lang w:val="fr-FR" w:eastAsia="en-US"/>
        </w:rPr>
        <w:t xml:space="preserve">, </w:t>
      </w:r>
      <w:r>
        <w:rPr>
          <w:i/>
          <w:iCs/>
          <w:lang w:val="fr-FR" w:eastAsia="en-US"/>
        </w:rPr>
        <w:t>propositions 1 et 2</w:t>
      </w:r>
      <w:r w:rsidRPr="003338FD">
        <w:rPr>
          <w:i/>
          <w:iCs/>
          <w:lang w:val="fr-FR" w:eastAsia="en-US"/>
        </w:rPr>
        <w:t>)</w:t>
      </w:r>
    </w:p>
    <w:p w14:paraId="2E917AF0" w14:textId="77777777" w:rsidR="00B25367" w:rsidRDefault="00B25367" w:rsidP="00B2536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lastRenderedPageBreak/>
        <w:tab/>
      </w:r>
      <w:r w:rsidRPr="00304358">
        <w:rPr>
          <w:rFonts w:eastAsiaTheme="minorHAnsi"/>
          <w:b/>
          <w:sz w:val="24"/>
          <w:lang w:val="fr-FR" w:eastAsia="en-US"/>
        </w:rPr>
        <w:tab/>
        <w:t xml:space="preserve">Chapitre </w:t>
      </w:r>
      <w:r>
        <w:rPr>
          <w:rFonts w:eastAsiaTheme="minorHAnsi"/>
          <w:b/>
          <w:sz w:val="24"/>
          <w:lang w:val="fr-FR" w:eastAsia="en-US"/>
        </w:rPr>
        <w:t>2.0</w:t>
      </w:r>
    </w:p>
    <w:p w14:paraId="1E261877" w14:textId="77777777" w:rsidR="00B25367" w:rsidRDefault="00B25367" w:rsidP="00B25367">
      <w:pPr>
        <w:pStyle w:val="SingleTxtG"/>
        <w:tabs>
          <w:tab w:val="clear" w:pos="1701"/>
          <w:tab w:val="clear" w:pos="2268"/>
        </w:tabs>
        <w:ind w:left="2268" w:hanging="1134"/>
        <w:rPr>
          <w:lang w:val="fr-FR"/>
        </w:rPr>
      </w:pPr>
      <w:r>
        <w:rPr>
          <w:lang w:val="fr-FR"/>
        </w:rPr>
        <w:t>2.0.3.1</w:t>
      </w:r>
      <w:r w:rsidRPr="00CD2534">
        <w:rPr>
          <w:lang w:val="fr-FR"/>
        </w:rPr>
        <w:tab/>
        <w:t xml:space="preserve">Dans la note </w:t>
      </w:r>
      <w:r>
        <w:rPr>
          <w:lang w:val="fr-FR"/>
        </w:rPr>
        <w:t>de bas de page 3, supprimer « ou les préparations » ; remplacer « </w:t>
      </w:r>
      <w:r w:rsidRPr="00040718">
        <w:rPr>
          <w:lang w:val="fr-FR"/>
        </w:rPr>
        <w:t>ou à l'absorption cutanée</w:t>
      </w:r>
      <w:r>
        <w:rPr>
          <w:lang w:val="fr-FR"/>
        </w:rPr>
        <w:t xml:space="preserve"> seulement » par « et </w:t>
      </w:r>
      <w:r w:rsidRPr="00040718">
        <w:rPr>
          <w:lang w:val="fr-FR"/>
        </w:rPr>
        <w:t>à l'absorption cutanée</w:t>
      </w:r>
      <w:r>
        <w:rPr>
          <w:lang w:val="fr-FR"/>
        </w:rPr>
        <w:t xml:space="preserve"> » ; à la </w:t>
      </w:r>
      <w:r w:rsidRPr="003E51A0">
        <w:rPr>
          <w:lang w:val="fr-FR"/>
        </w:rPr>
        <w:t>fin, ajouter « </w:t>
      </w:r>
      <w:r>
        <w:rPr>
          <w:lang w:val="fr-FR"/>
        </w:rPr>
        <w:t>(</w:t>
      </w:r>
      <w:r w:rsidRPr="003E51A0">
        <w:rPr>
          <w:lang w:val="fr-FR"/>
        </w:rPr>
        <w:t>voir le nota sous 2.6.2.2.4.1 et le 2.8.2.4</w:t>
      </w:r>
      <w:r>
        <w:rPr>
          <w:lang w:val="fr-FR"/>
        </w:rPr>
        <w:t>)</w:t>
      </w:r>
      <w:r w:rsidRPr="003E51A0">
        <w:rPr>
          <w:lang w:val="fr-FR"/>
        </w:rPr>
        <w:t> »</w:t>
      </w:r>
      <w:r>
        <w:rPr>
          <w:lang w:val="fr-FR"/>
        </w:rPr>
        <w:t>.</w:t>
      </w:r>
    </w:p>
    <w:p w14:paraId="36854773"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INF.41</w:t>
      </w:r>
      <w:r w:rsidRPr="003338FD">
        <w:rPr>
          <w:i/>
          <w:iCs/>
          <w:lang w:val="fr-FR" w:eastAsia="en-US"/>
        </w:rPr>
        <w:t>)</w:t>
      </w:r>
    </w:p>
    <w:p w14:paraId="3212E5CA" w14:textId="77777777" w:rsidR="00B25367" w:rsidRDefault="00B25367" w:rsidP="00B2536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 xml:space="preserve">Chapitre </w:t>
      </w:r>
      <w:r>
        <w:rPr>
          <w:rFonts w:eastAsiaTheme="minorHAnsi"/>
          <w:b/>
          <w:sz w:val="24"/>
          <w:lang w:val="fr-FR" w:eastAsia="en-US"/>
        </w:rPr>
        <w:t>2.1</w:t>
      </w:r>
    </w:p>
    <w:p w14:paraId="1A063626" w14:textId="77777777" w:rsidR="00B25367" w:rsidRPr="00826CC6" w:rsidRDefault="00B25367" w:rsidP="00B25367">
      <w:pPr>
        <w:pStyle w:val="SingleTxtG"/>
        <w:tabs>
          <w:tab w:val="clear" w:pos="1701"/>
          <w:tab w:val="clear" w:pos="2268"/>
        </w:tabs>
        <w:ind w:left="2268" w:hanging="1134"/>
        <w:rPr>
          <w:lang w:val="fr-FR"/>
        </w:rPr>
      </w:pPr>
      <w:r w:rsidRPr="00826CC6">
        <w:rPr>
          <w:lang w:val="fr-FR"/>
        </w:rPr>
        <w:t>2.1.1.1</w:t>
      </w:r>
      <w:r>
        <w:rPr>
          <w:lang w:val="fr-FR"/>
        </w:rPr>
        <w:tab/>
        <w:t xml:space="preserve">À l’alinéa </w:t>
      </w:r>
      <w:r w:rsidRPr="00826CC6">
        <w:rPr>
          <w:lang w:val="fr-FR"/>
        </w:rPr>
        <w:t>b)</w:t>
      </w:r>
      <w:r>
        <w:rPr>
          <w:lang w:val="fr-FR"/>
        </w:rPr>
        <w:t>, a</w:t>
      </w:r>
      <w:r w:rsidRPr="00826CC6">
        <w:rPr>
          <w:lang w:val="fr-FR"/>
        </w:rPr>
        <w:t>près, « à l’exception » ajouter « de ceux qui sont trop dangereux pour être transportés ou ».</w:t>
      </w:r>
    </w:p>
    <w:p w14:paraId="7B581962" w14:textId="77777777" w:rsidR="00B25367" w:rsidRDefault="00B25367" w:rsidP="00B25367">
      <w:pPr>
        <w:spacing w:after="120"/>
        <w:ind w:left="1134" w:right="1134"/>
        <w:jc w:val="both"/>
        <w:rPr>
          <w:i/>
          <w:iCs/>
          <w:lang w:val="fr-FR" w:eastAsia="en-US"/>
        </w:rPr>
      </w:pPr>
      <w:r w:rsidRPr="00826CC6">
        <w:rPr>
          <w:i/>
          <w:iCs/>
          <w:lang w:val="fr-FR" w:eastAsia="en-US"/>
        </w:rPr>
        <w:t>(Document de référence : document informel INF.47, amendement 4)</w:t>
      </w:r>
    </w:p>
    <w:p w14:paraId="7DD2ACAC" w14:textId="77777777" w:rsidR="00B25367" w:rsidRPr="005343EF" w:rsidRDefault="00B25367" w:rsidP="00B25367">
      <w:pPr>
        <w:pStyle w:val="SingleTxtG"/>
        <w:tabs>
          <w:tab w:val="clear" w:pos="1701"/>
          <w:tab w:val="clear" w:pos="2268"/>
        </w:tabs>
        <w:ind w:left="2268" w:hanging="1134"/>
        <w:rPr>
          <w:lang w:val="fr-FR"/>
        </w:rPr>
      </w:pPr>
      <w:r>
        <w:rPr>
          <w:lang w:val="fr-FR"/>
        </w:rPr>
        <w:t>[</w:t>
      </w:r>
      <w:r w:rsidRPr="005343EF">
        <w:rPr>
          <w:lang w:val="fr-FR"/>
        </w:rPr>
        <w:t>2.1.1.3</w:t>
      </w:r>
      <w:r>
        <w:rPr>
          <w:lang w:val="fr-FR"/>
        </w:rPr>
        <w:tab/>
        <w:t xml:space="preserve">À l’alinéa </w:t>
      </w:r>
      <w:r w:rsidRPr="005343EF">
        <w:rPr>
          <w:lang w:val="fr-FR"/>
        </w:rPr>
        <w:t>e)</w:t>
      </w:r>
      <w:r>
        <w:rPr>
          <w:lang w:val="fr-FR"/>
        </w:rPr>
        <w:t>, s</w:t>
      </w:r>
      <w:r w:rsidRPr="005343EF">
        <w:rPr>
          <w:lang w:val="fr-FR"/>
        </w:rPr>
        <w:t>upprimer « </w:t>
      </w:r>
      <w:r w:rsidRPr="005343EF">
        <w:t>au sens du 2.1.1.1 c) ».</w:t>
      </w:r>
      <w:r>
        <w:t>]</w:t>
      </w:r>
    </w:p>
    <w:p w14:paraId="16374E3B" w14:textId="77777777" w:rsidR="00B25367" w:rsidRDefault="00B25367" w:rsidP="00B25367">
      <w:pPr>
        <w:spacing w:after="120"/>
        <w:ind w:left="1134" w:right="1134"/>
        <w:jc w:val="both"/>
        <w:rPr>
          <w:i/>
          <w:iCs/>
          <w:lang w:val="fr-FR" w:eastAsia="en-US"/>
        </w:rPr>
      </w:pPr>
      <w:r w:rsidRPr="005343EF">
        <w:rPr>
          <w:i/>
          <w:iCs/>
          <w:lang w:val="fr-FR" w:eastAsia="en-US"/>
        </w:rPr>
        <w:t>(Document de référence : document informel INF.47, amendement 2)</w:t>
      </w:r>
    </w:p>
    <w:p w14:paraId="62C0D7C4" w14:textId="77777777" w:rsidR="00B25367" w:rsidRPr="00304358" w:rsidRDefault="00B25367" w:rsidP="00B2536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 xml:space="preserve">Chapitre </w:t>
      </w:r>
      <w:r>
        <w:rPr>
          <w:rFonts w:eastAsiaTheme="minorHAnsi"/>
          <w:b/>
          <w:sz w:val="24"/>
          <w:lang w:val="fr-FR" w:eastAsia="en-US"/>
        </w:rPr>
        <w:t>2.5</w:t>
      </w:r>
    </w:p>
    <w:p w14:paraId="1B226C19" w14:textId="77777777" w:rsidR="00B25367" w:rsidRDefault="00B25367" w:rsidP="00B25367">
      <w:pPr>
        <w:pStyle w:val="SingleTxtG"/>
        <w:tabs>
          <w:tab w:val="clear" w:pos="1701"/>
          <w:tab w:val="clear" w:pos="2268"/>
        </w:tabs>
        <w:ind w:left="2268" w:hanging="1134"/>
        <w:rPr>
          <w:lang w:val="fr-FR"/>
        </w:rPr>
      </w:pPr>
      <w:r w:rsidRPr="00CD2534">
        <w:rPr>
          <w:lang w:val="fr-FR"/>
        </w:rPr>
        <w:t>2.5.3.2.4</w:t>
      </w:r>
      <w:r w:rsidRPr="00CD2534">
        <w:rPr>
          <w:lang w:val="fr-FR"/>
        </w:rPr>
        <w:tab/>
        <w:t>Dans la note 34) après le</w:t>
      </w:r>
      <w:r>
        <w:rPr>
          <w:lang w:val="fr-FR"/>
        </w:rPr>
        <w:t xml:space="preserve"> tableau, avant « </w:t>
      </w:r>
      <w:r w:rsidRPr="00BD045D">
        <w:rPr>
          <w:i/>
          <w:iCs/>
          <w:lang w:val="fr-FR"/>
        </w:rPr>
        <w:t>≥ 55 %</w:t>
      </w:r>
      <w:r>
        <w:rPr>
          <w:lang w:val="fr-FR"/>
        </w:rPr>
        <w:t> », supprimer « </w:t>
      </w:r>
      <w:r w:rsidRPr="00BD045D">
        <w:rPr>
          <w:i/>
          <w:iCs/>
          <w:lang w:val="fr-FR"/>
        </w:rPr>
        <w:t>au moins</w:t>
      </w:r>
      <w:r>
        <w:rPr>
          <w:lang w:val="fr-FR"/>
        </w:rPr>
        <w:t> ».</w:t>
      </w:r>
    </w:p>
    <w:p w14:paraId="1299B228" w14:textId="77777777" w:rsidR="00B25367"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2D546F6A" w14:textId="77777777" w:rsidR="00B25367" w:rsidRPr="00304358" w:rsidRDefault="00B25367" w:rsidP="00B2536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 xml:space="preserve">Chapitre </w:t>
      </w:r>
      <w:r>
        <w:rPr>
          <w:rFonts w:eastAsiaTheme="minorHAnsi"/>
          <w:b/>
          <w:sz w:val="24"/>
          <w:lang w:val="fr-FR" w:eastAsia="en-US"/>
        </w:rPr>
        <w:t>2.6</w:t>
      </w:r>
    </w:p>
    <w:p w14:paraId="1B4308E8" w14:textId="77777777" w:rsidR="00B25367" w:rsidRDefault="00B25367" w:rsidP="00B25367">
      <w:pPr>
        <w:pStyle w:val="SingleTxtG"/>
        <w:tabs>
          <w:tab w:val="clear" w:pos="1701"/>
          <w:tab w:val="clear" w:pos="2268"/>
        </w:tabs>
        <w:ind w:left="2268" w:hanging="1134"/>
        <w:rPr>
          <w:lang w:val="fr-FR"/>
        </w:rPr>
      </w:pPr>
      <w:r>
        <w:rPr>
          <w:lang w:val="fr-FR"/>
        </w:rPr>
        <w:t>2.6.2.2.4.1</w:t>
      </w:r>
      <w:r w:rsidRPr="00CD2534">
        <w:rPr>
          <w:lang w:val="fr-FR"/>
        </w:rPr>
        <w:tab/>
        <w:t xml:space="preserve">Dans </w:t>
      </w:r>
      <w:r>
        <w:rPr>
          <w:lang w:val="fr-FR"/>
        </w:rPr>
        <w:t>le nota, à la fin, remplacer « (voir 2.8.2.4) » par « (voir la note de bas de page 3 du 2.0.3.1 et le 2.8.2.4) »</w:t>
      </w:r>
    </w:p>
    <w:p w14:paraId="75B9661F"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INF.41</w:t>
      </w:r>
      <w:r w:rsidRPr="003338FD">
        <w:rPr>
          <w:i/>
          <w:iCs/>
          <w:lang w:val="fr-FR" w:eastAsia="en-US"/>
        </w:rPr>
        <w:t>)</w:t>
      </w:r>
    </w:p>
    <w:p w14:paraId="648FBC27" w14:textId="77777777" w:rsidR="00B25367" w:rsidRPr="00304358" w:rsidRDefault="00B25367" w:rsidP="00B2536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 xml:space="preserve">Chapitre </w:t>
      </w:r>
      <w:r>
        <w:rPr>
          <w:rFonts w:eastAsiaTheme="minorHAnsi"/>
          <w:b/>
          <w:sz w:val="24"/>
          <w:lang w:val="fr-FR" w:eastAsia="en-US"/>
        </w:rPr>
        <w:t>2.8</w:t>
      </w:r>
    </w:p>
    <w:p w14:paraId="79321EF9" w14:textId="77777777" w:rsidR="00B25367" w:rsidRDefault="00B25367" w:rsidP="00B25367">
      <w:pPr>
        <w:pStyle w:val="SingleTxtG"/>
        <w:tabs>
          <w:tab w:val="clear" w:pos="1701"/>
          <w:tab w:val="clear" w:pos="2268"/>
        </w:tabs>
        <w:ind w:left="2268" w:hanging="1134"/>
      </w:pPr>
      <w:r>
        <w:rPr>
          <w:lang w:val="fr-FR"/>
        </w:rPr>
        <w:t>2.8.2.4</w:t>
      </w:r>
      <w:r w:rsidRPr="00CD2534">
        <w:rPr>
          <w:lang w:val="fr-FR"/>
        </w:rPr>
        <w:tab/>
      </w:r>
      <w:r>
        <w:rPr>
          <w:lang w:val="fr-FR"/>
        </w:rPr>
        <w:t>Remplacer « Une matière » par « Les matières » et accorder le verbe en conséquence. La deuxième modification ne s’applique pas au texte français. À la fin, remplacer « </w:t>
      </w:r>
      <w:r w:rsidRPr="00CA7BCC">
        <w:t>(voir Nota au 2.6.2.2.4.1)</w:t>
      </w:r>
      <w:r>
        <w:t> » par « </w:t>
      </w:r>
      <w:r w:rsidRPr="00CA7BCC">
        <w:t>(voir</w:t>
      </w:r>
      <w:r>
        <w:t xml:space="preserve"> </w:t>
      </w:r>
      <w:r>
        <w:rPr>
          <w:lang w:val="fr-FR"/>
        </w:rPr>
        <w:t>la note de bas de page 3 du 2.0.3.1 et</w:t>
      </w:r>
      <w:r>
        <w:t xml:space="preserve"> le n</w:t>
      </w:r>
      <w:r w:rsidRPr="00CA7BCC">
        <w:t xml:space="preserve">ota </w:t>
      </w:r>
      <w:r>
        <w:t>sous</w:t>
      </w:r>
      <w:r w:rsidRPr="00CA7BCC">
        <w:t xml:space="preserve"> 2.6.2.2.4.1)</w:t>
      </w:r>
      <w:r>
        <w:t> ».</w:t>
      </w:r>
    </w:p>
    <w:p w14:paraId="12DB2B80"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INF.41</w:t>
      </w:r>
      <w:r w:rsidRPr="003338FD">
        <w:rPr>
          <w:i/>
          <w:iCs/>
          <w:lang w:val="fr-FR" w:eastAsia="en-US"/>
        </w:rPr>
        <w:t>)</w:t>
      </w:r>
    </w:p>
    <w:p w14:paraId="7D20767B" w14:textId="77777777" w:rsidR="00B25367" w:rsidRPr="00304358" w:rsidRDefault="00B25367" w:rsidP="00B2536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 xml:space="preserve">Chapitre </w:t>
      </w:r>
      <w:r>
        <w:rPr>
          <w:rFonts w:eastAsiaTheme="minorHAnsi"/>
          <w:b/>
          <w:sz w:val="24"/>
          <w:lang w:val="fr-FR" w:eastAsia="en-US"/>
        </w:rPr>
        <w:t>2.9</w:t>
      </w:r>
    </w:p>
    <w:p w14:paraId="616E5A99" w14:textId="77777777" w:rsidR="00B25367" w:rsidRDefault="00B25367" w:rsidP="00B25367">
      <w:pPr>
        <w:pStyle w:val="SingleTxtG"/>
        <w:tabs>
          <w:tab w:val="clear" w:pos="1701"/>
          <w:tab w:val="clear" w:pos="2268"/>
        </w:tabs>
        <w:ind w:left="2268" w:hanging="1134"/>
        <w:rPr>
          <w:lang w:val="fr-FR"/>
        </w:rPr>
      </w:pPr>
      <w:r>
        <w:rPr>
          <w:lang w:val="fr-FR"/>
        </w:rPr>
        <w:t>2.9.4</w:t>
      </w:r>
      <w:r>
        <w:rPr>
          <w:lang w:val="fr-FR"/>
        </w:rPr>
        <w:tab/>
        <w:t>À l’alinéa g), dans le nota, supprimer « </w:t>
      </w:r>
      <w:r w:rsidRPr="0060742C">
        <w:rPr>
          <w:i/>
          <w:iCs/>
          <w:lang w:val="fr-FR"/>
        </w:rPr>
        <w:t>pour les piles ou batteries au lithium ou les équipements avec des piles ou batteries au lithium installées</w:t>
      </w:r>
      <w:r>
        <w:rPr>
          <w:lang w:val="fr-FR"/>
        </w:rPr>
        <w:t> ».</w:t>
      </w:r>
    </w:p>
    <w:p w14:paraId="61967A9E"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64EAF3D6" w14:textId="77777777" w:rsidR="00B25367" w:rsidRDefault="00B25367" w:rsidP="00B25367">
      <w:pPr>
        <w:pStyle w:val="SingleTxtG"/>
        <w:tabs>
          <w:tab w:val="clear" w:pos="1701"/>
          <w:tab w:val="clear" w:pos="2268"/>
        </w:tabs>
        <w:ind w:left="2268" w:hanging="1134"/>
        <w:rPr>
          <w:lang w:val="fr-FR"/>
        </w:rPr>
      </w:pPr>
      <w:r>
        <w:rPr>
          <w:lang w:val="fr-FR"/>
        </w:rPr>
        <w:t>2.9.5</w:t>
      </w:r>
      <w:r>
        <w:rPr>
          <w:lang w:val="fr-FR"/>
        </w:rPr>
        <w:tab/>
      </w:r>
      <w:r w:rsidRPr="00E6388C">
        <w:rPr>
          <w:lang w:val="fr-FR"/>
        </w:rPr>
        <w:t xml:space="preserve">À l’alinéa </w:t>
      </w:r>
      <w:r>
        <w:rPr>
          <w:lang w:val="fr-FR"/>
        </w:rPr>
        <w:t>a</w:t>
      </w:r>
      <w:r w:rsidRPr="00E6388C">
        <w:rPr>
          <w:lang w:val="fr-FR"/>
        </w:rPr>
        <w:t>),</w:t>
      </w:r>
      <w:r>
        <w:rPr>
          <w:lang w:val="fr-FR"/>
        </w:rPr>
        <w:t xml:space="preserve"> à la fin, ajouter le nouveau nota suivant :</w:t>
      </w:r>
    </w:p>
    <w:p w14:paraId="24993CEC" w14:textId="77777777" w:rsidR="00B25367" w:rsidRDefault="00B25367" w:rsidP="00B25367">
      <w:pPr>
        <w:pStyle w:val="SingleTxtG"/>
        <w:tabs>
          <w:tab w:val="clear" w:pos="1701"/>
          <w:tab w:val="clear" w:pos="2268"/>
        </w:tabs>
        <w:ind w:left="2268" w:hanging="1134"/>
        <w:rPr>
          <w:lang w:val="fr-FR"/>
        </w:rPr>
      </w:pPr>
      <w:r>
        <w:rPr>
          <w:lang w:val="fr-FR"/>
        </w:rPr>
        <w:t>« </w:t>
      </w:r>
      <w:r w:rsidRPr="00791E9C">
        <w:rPr>
          <w:b/>
          <w:bCs/>
          <w:i/>
          <w:iCs/>
          <w:lang w:val="fr-FR"/>
        </w:rPr>
        <w:t>NOTA :</w:t>
      </w:r>
      <w:r w:rsidRPr="00791E9C">
        <w:rPr>
          <w:i/>
          <w:iCs/>
          <w:lang w:val="fr-FR"/>
        </w:rPr>
        <w:tab/>
        <w:t>Les batteries doivent être conformes à un type ayant satisfait aux prescriptions des épreuves de la sous-section 38.3 de la troisième partie du Manuel d'épreuves et de critères, que les piles dont elles sont composées soient conformes à un type éprouvé ou non.</w:t>
      </w:r>
      <w:r>
        <w:rPr>
          <w:lang w:val="fr-FR"/>
        </w:rPr>
        <w:t> »</w:t>
      </w:r>
    </w:p>
    <w:p w14:paraId="25C2FDF5" w14:textId="77777777" w:rsidR="00B25367" w:rsidRDefault="00B25367" w:rsidP="00B25367">
      <w:pPr>
        <w:pStyle w:val="SingleTxtG"/>
        <w:tabs>
          <w:tab w:val="clear" w:pos="1701"/>
          <w:tab w:val="clear" w:pos="2268"/>
        </w:tabs>
        <w:ind w:left="2268" w:hanging="1134"/>
        <w:rPr>
          <w:lang w:val="fr-FR"/>
        </w:rPr>
      </w:pPr>
      <w:r>
        <w:rPr>
          <w:lang w:val="fr-FR"/>
        </w:rPr>
        <w:tab/>
      </w:r>
      <w:r w:rsidRPr="00E6388C">
        <w:rPr>
          <w:lang w:val="fr-FR"/>
        </w:rPr>
        <w:t xml:space="preserve">À l’alinéa </w:t>
      </w:r>
      <w:r>
        <w:rPr>
          <w:lang w:val="fr-FR"/>
        </w:rPr>
        <w:t>f</w:t>
      </w:r>
      <w:r w:rsidRPr="00E6388C">
        <w:rPr>
          <w:lang w:val="fr-FR"/>
        </w:rPr>
        <w:t>),</w:t>
      </w:r>
      <w:r>
        <w:rPr>
          <w:lang w:val="fr-FR"/>
        </w:rPr>
        <w:t xml:space="preserve"> à la fin, ajouter le nouveau nota suivant :</w:t>
      </w:r>
    </w:p>
    <w:p w14:paraId="449559C6" w14:textId="77777777" w:rsidR="00B25367" w:rsidRDefault="00B25367" w:rsidP="00B25367">
      <w:pPr>
        <w:pStyle w:val="SingleTxtG"/>
        <w:tabs>
          <w:tab w:val="clear" w:pos="1701"/>
          <w:tab w:val="clear" w:pos="2268"/>
        </w:tabs>
        <w:ind w:left="2268" w:hanging="1134"/>
        <w:rPr>
          <w:lang w:val="fr-FR"/>
        </w:rPr>
      </w:pPr>
      <w:r>
        <w:rPr>
          <w:lang w:val="fr-FR"/>
        </w:rPr>
        <w:t>« </w:t>
      </w:r>
      <w:r w:rsidRPr="00791E9C">
        <w:rPr>
          <w:b/>
          <w:bCs/>
          <w:i/>
          <w:iCs/>
          <w:lang w:val="fr-FR"/>
        </w:rPr>
        <w:t>NOTA :</w:t>
      </w:r>
      <w:r w:rsidRPr="00791E9C">
        <w:rPr>
          <w:i/>
          <w:iCs/>
          <w:lang w:val="fr-FR"/>
        </w:rPr>
        <w:tab/>
        <w:t>Le terme « mettre à disposition » signifie que les fabricants et les distributeurs ultérieurs assurent que le résumé du procès-verbal d’épreuve soit accessible afin que l'expéditeur ou d'autres personnes de la chaîne d'approvisionnement puissent confirmer la conformité.</w:t>
      </w:r>
      <w:r>
        <w:rPr>
          <w:lang w:val="fr-FR"/>
        </w:rPr>
        <w:t> »</w:t>
      </w:r>
    </w:p>
    <w:p w14:paraId="30A1DC7E" w14:textId="77777777" w:rsidR="00B25367" w:rsidRPr="003338FD" w:rsidRDefault="00B25367" w:rsidP="00B25367">
      <w:pPr>
        <w:spacing w:after="120"/>
        <w:ind w:left="1134" w:right="1134"/>
        <w:jc w:val="both"/>
        <w:rPr>
          <w:i/>
          <w:iCs/>
          <w:lang w:val="fr-FR" w:eastAsia="en-US"/>
        </w:rPr>
      </w:pPr>
      <w:r w:rsidRPr="003338FD">
        <w:rPr>
          <w:i/>
          <w:iCs/>
          <w:lang w:val="fr-FR" w:eastAsia="en-US"/>
        </w:rPr>
        <w:lastRenderedPageBreak/>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4C94A643" w14:textId="77777777" w:rsidR="00B25367" w:rsidRPr="00304358" w:rsidRDefault="00B25367" w:rsidP="00B2536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3.</w:t>
      </w:r>
      <w:r>
        <w:rPr>
          <w:rFonts w:eastAsiaTheme="minorHAnsi"/>
          <w:b/>
          <w:sz w:val="24"/>
          <w:lang w:val="fr-FR" w:eastAsia="en-US"/>
        </w:rPr>
        <w:t>3</w:t>
      </w:r>
    </w:p>
    <w:p w14:paraId="7DBB4608" w14:textId="77777777" w:rsidR="00B25367" w:rsidRDefault="00B25367" w:rsidP="00B25367">
      <w:pPr>
        <w:spacing w:after="120"/>
        <w:ind w:left="2268" w:right="1134" w:hanging="1134"/>
        <w:jc w:val="both"/>
        <w:rPr>
          <w:rFonts w:eastAsiaTheme="minorHAnsi"/>
          <w:lang w:val="fr-FR" w:eastAsia="en-US"/>
        </w:rPr>
      </w:pPr>
      <w:r w:rsidRPr="00041E3B">
        <w:rPr>
          <w:rFonts w:eastAsiaTheme="minorHAnsi"/>
          <w:lang w:val="fr-FR" w:eastAsia="en-US"/>
        </w:rPr>
        <w:t>DS 145</w:t>
      </w:r>
      <w:r w:rsidRPr="00041E3B">
        <w:rPr>
          <w:rFonts w:eastAsiaTheme="minorHAnsi"/>
          <w:lang w:val="fr-FR" w:eastAsia="en-US"/>
        </w:rPr>
        <w:tab/>
        <w:t>Remplacer « du groupe d’emballage III » par « avec 24 % à 70 % d’alcool en volume ».</w:t>
      </w:r>
    </w:p>
    <w:p w14:paraId="147A9E1D"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ST/SG/AC.10/C.3/202</w:t>
      </w:r>
      <w:r>
        <w:rPr>
          <w:i/>
          <w:iCs/>
          <w:lang w:val="fr-FR" w:eastAsia="en-US"/>
        </w:rPr>
        <w:t>3</w:t>
      </w:r>
      <w:r w:rsidRPr="003338FD">
        <w:rPr>
          <w:i/>
          <w:iCs/>
          <w:lang w:val="fr-FR" w:eastAsia="en-US"/>
        </w:rPr>
        <w:t>/</w:t>
      </w:r>
      <w:r>
        <w:rPr>
          <w:i/>
          <w:iCs/>
          <w:lang w:val="fr-FR" w:eastAsia="en-US"/>
        </w:rPr>
        <w:t>7</w:t>
      </w:r>
      <w:r w:rsidRPr="003338FD">
        <w:rPr>
          <w:i/>
          <w:iCs/>
          <w:lang w:val="fr-FR" w:eastAsia="en-US"/>
        </w:rPr>
        <w:t xml:space="preserve">, </w:t>
      </w:r>
      <w:r>
        <w:rPr>
          <w:i/>
          <w:iCs/>
          <w:lang w:val="fr-FR" w:eastAsia="en-US"/>
        </w:rPr>
        <w:t>tel que modifié</w:t>
      </w:r>
      <w:r w:rsidRPr="003338FD">
        <w:rPr>
          <w:i/>
          <w:iCs/>
          <w:lang w:val="fr-FR" w:eastAsia="en-US"/>
        </w:rPr>
        <w:t>)</w:t>
      </w:r>
    </w:p>
    <w:p w14:paraId="3F108618" w14:textId="77777777" w:rsidR="00B25367" w:rsidRPr="00041E3B" w:rsidRDefault="00B25367" w:rsidP="00B25367">
      <w:pPr>
        <w:spacing w:after="120"/>
        <w:ind w:left="2268" w:right="1134" w:hanging="1134"/>
        <w:jc w:val="both"/>
        <w:rPr>
          <w:rFonts w:eastAsiaTheme="minorHAnsi"/>
          <w:lang w:val="fr-FR" w:eastAsia="en-US"/>
        </w:rPr>
      </w:pPr>
      <w:r>
        <w:rPr>
          <w:rFonts w:eastAsiaTheme="minorHAnsi"/>
          <w:lang w:val="fr-FR" w:eastAsia="en-US"/>
        </w:rPr>
        <w:t>DS 146</w:t>
      </w:r>
      <w:r>
        <w:rPr>
          <w:rFonts w:eastAsiaTheme="minorHAnsi"/>
          <w:lang w:val="fr-FR" w:eastAsia="en-US"/>
        </w:rPr>
        <w:tab/>
        <w:t xml:space="preserve">Remplacer </w:t>
      </w:r>
      <w:r w:rsidRPr="00041E3B">
        <w:rPr>
          <w:rFonts w:eastAsiaTheme="minorHAnsi"/>
          <w:lang w:val="fr-FR" w:eastAsia="en-US"/>
        </w:rPr>
        <w:t xml:space="preserve">« du groupe d’emballage II » </w:t>
      </w:r>
      <w:r>
        <w:rPr>
          <w:rFonts w:eastAsiaTheme="minorHAnsi"/>
          <w:lang w:val="fr-FR" w:eastAsia="en-US"/>
        </w:rPr>
        <w:t xml:space="preserve">par « avec </w:t>
      </w:r>
      <w:r w:rsidRPr="00DC1978">
        <w:rPr>
          <w:rFonts w:eastAsiaTheme="minorHAnsi"/>
          <w:lang w:val="fr-FR" w:eastAsia="en-US"/>
        </w:rPr>
        <w:t>plus de 70 % d’alcool en volume</w:t>
      </w:r>
      <w:r>
        <w:rPr>
          <w:rFonts w:eastAsiaTheme="minorHAnsi"/>
          <w:lang w:val="fr-FR" w:eastAsia="en-US"/>
        </w:rPr>
        <w:t> ».</w:t>
      </w:r>
    </w:p>
    <w:p w14:paraId="77F50C19"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ST/SG/AC.10/C.3/202</w:t>
      </w:r>
      <w:r>
        <w:rPr>
          <w:i/>
          <w:iCs/>
          <w:lang w:val="fr-FR" w:eastAsia="en-US"/>
        </w:rPr>
        <w:t>3</w:t>
      </w:r>
      <w:r w:rsidRPr="003338FD">
        <w:rPr>
          <w:i/>
          <w:iCs/>
          <w:lang w:val="fr-FR" w:eastAsia="en-US"/>
        </w:rPr>
        <w:t>/</w:t>
      </w:r>
      <w:r>
        <w:rPr>
          <w:i/>
          <w:iCs/>
          <w:lang w:val="fr-FR" w:eastAsia="en-US"/>
        </w:rPr>
        <w:t>7</w:t>
      </w:r>
      <w:r w:rsidRPr="003338FD">
        <w:rPr>
          <w:i/>
          <w:iCs/>
          <w:lang w:val="fr-FR" w:eastAsia="en-US"/>
        </w:rPr>
        <w:t xml:space="preserve">, </w:t>
      </w:r>
      <w:r>
        <w:rPr>
          <w:i/>
          <w:iCs/>
          <w:lang w:val="fr-FR" w:eastAsia="en-US"/>
        </w:rPr>
        <w:t>tel que modifié</w:t>
      </w:r>
      <w:r w:rsidRPr="003338FD">
        <w:rPr>
          <w:i/>
          <w:iCs/>
          <w:lang w:val="fr-FR" w:eastAsia="en-US"/>
        </w:rPr>
        <w:t>)</w:t>
      </w:r>
    </w:p>
    <w:p w14:paraId="0EDE22EE" w14:textId="77777777" w:rsidR="00B25367" w:rsidRDefault="00B25367" w:rsidP="00B25367">
      <w:pPr>
        <w:pStyle w:val="SingleTxtG"/>
        <w:tabs>
          <w:tab w:val="clear" w:pos="1701"/>
          <w:tab w:val="clear" w:pos="2268"/>
        </w:tabs>
        <w:ind w:left="2268" w:hanging="1134"/>
        <w:rPr>
          <w:rFonts w:asciiTheme="majorBidi" w:eastAsia="SimSun" w:hAnsiTheme="majorBidi" w:cstheme="majorBidi"/>
          <w:lang w:val="fr-FR"/>
        </w:rPr>
      </w:pP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188</w:t>
      </w:r>
      <w:r>
        <w:rPr>
          <w:rFonts w:asciiTheme="majorBidi" w:eastAsia="SimSun" w:hAnsiTheme="majorBidi" w:cstheme="majorBidi"/>
          <w:lang w:val="fr-FR"/>
        </w:rPr>
        <w:tab/>
      </w:r>
      <w:r w:rsidRPr="00C6111E">
        <w:rPr>
          <w:rFonts w:asciiTheme="majorBidi" w:eastAsia="SimSun" w:hAnsiTheme="majorBidi" w:cstheme="majorBidi"/>
          <w:lang w:val="fr-FR"/>
        </w:rPr>
        <w:t>À l’alinéa f)</w:t>
      </w:r>
      <w:r>
        <w:rPr>
          <w:rFonts w:asciiTheme="majorBidi" w:eastAsia="SimSun" w:hAnsiTheme="majorBidi" w:cstheme="majorBidi"/>
          <w:lang w:val="fr-FR"/>
        </w:rPr>
        <w:t> :</w:t>
      </w:r>
    </w:p>
    <w:p w14:paraId="7AEEC412" w14:textId="77777777" w:rsidR="00B25367" w:rsidRDefault="00B25367" w:rsidP="00B25367">
      <w:pPr>
        <w:pStyle w:val="SingleTxtG"/>
        <w:tabs>
          <w:tab w:val="clear" w:pos="1701"/>
          <w:tab w:val="clear" w:pos="2268"/>
        </w:tabs>
        <w:ind w:left="2268" w:hanging="1134"/>
        <w:rPr>
          <w:rFonts w:asciiTheme="majorBidi" w:eastAsia="SimSun" w:hAnsiTheme="majorBidi" w:cstheme="majorBidi"/>
          <w:lang w:val="fr-FR"/>
        </w:rPr>
      </w:pPr>
      <w:r>
        <w:rPr>
          <w:rFonts w:asciiTheme="majorBidi" w:eastAsia="SimSun" w:hAnsiTheme="majorBidi" w:cstheme="majorBidi"/>
          <w:lang w:val="fr-FR"/>
        </w:rPr>
        <w:tab/>
        <w:t>- À la première phrase</w:t>
      </w:r>
      <w:r w:rsidRPr="00C6111E">
        <w:rPr>
          <w:rFonts w:asciiTheme="majorBidi" w:eastAsia="SimSun" w:hAnsiTheme="majorBidi" w:cstheme="majorBidi"/>
          <w:lang w:val="fr-FR"/>
        </w:rPr>
        <w:t>, remplacer « la marque de batterie au lithium ou au sodium ionique » par « la marque</w:t>
      </w:r>
      <w:r>
        <w:rPr>
          <w:rFonts w:asciiTheme="majorBidi" w:eastAsia="SimSun" w:hAnsiTheme="majorBidi" w:cstheme="majorBidi"/>
          <w:lang w:val="fr-FR"/>
        </w:rPr>
        <w:t xml:space="preserve"> pour</w:t>
      </w:r>
      <w:r w:rsidRPr="00C6111E">
        <w:rPr>
          <w:rFonts w:asciiTheme="majorBidi" w:eastAsia="SimSun" w:hAnsiTheme="majorBidi" w:cstheme="majorBidi"/>
          <w:lang w:val="fr-FR"/>
        </w:rPr>
        <w:t xml:space="preserve"> </w:t>
      </w:r>
      <w:r>
        <w:rPr>
          <w:rFonts w:asciiTheme="majorBidi" w:eastAsia="SimSun" w:hAnsiTheme="majorBidi" w:cstheme="majorBidi"/>
          <w:lang w:val="fr-FR"/>
        </w:rPr>
        <w:t>les</w:t>
      </w:r>
      <w:r w:rsidRPr="00C6111E">
        <w:rPr>
          <w:rFonts w:asciiTheme="majorBidi" w:eastAsia="SimSun" w:hAnsiTheme="majorBidi" w:cstheme="majorBidi"/>
          <w:lang w:val="fr-FR"/>
        </w:rPr>
        <w:t xml:space="preserve"> batterie</w:t>
      </w:r>
      <w:r>
        <w:rPr>
          <w:rFonts w:asciiTheme="majorBidi" w:eastAsia="SimSun" w:hAnsiTheme="majorBidi" w:cstheme="majorBidi"/>
          <w:lang w:val="fr-FR"/>
        </w:rPr>
        <w:t>s</w:t>
      </w:r>
      <w:r w:rsidRPr="00C6111E">
        <w:rPr>
          <w:rFonts w:asciiTheme="majorBidi" w:eastAsia="SimSun" w:hAnsiTheme="majorBidi" w:cstheme="majorBidi"/>
          <w:lang w:val="fr-FR"/>
        </w:rPr>
        <w:t xml:space="preserve"> au lithium ou batterie</w:t>
      </w:r>
      <w:r>
        <w:rPr>
          <w:rFonts w:asciiTheme="majorBidi" w:eastAsia="SimSun" w:hAnsiTheme="majorBidi" w:cstheme="majorBidi"/>
          <w:lang w:val="fr-FR"/>
        </w:rPr>
        <w:t>s</w:t>
      </w:r>
      <w:r w:rsidRPr="00C6111E">
        <w:rPr>
          <w:rFonts w:asciiTheme="majorBidi" w:eastAsia="SimSun" w:hAnsiTheme="majorBidi" w:cstheme="majorBidi"/>
          <w:lang w:val="fr-FR"/>
        </w:rPr>
        <w:t xml:space="preserve"> au sodium ionique »</w:t>
      </w:r>
      <w:r>
        <w:rPr>
          <w:rFonts w:asciiTheme="majorBidi" w:eastAsia="SimSun" w:hAnsiTheme="majorBidi" w:cstheme="majorBidi"/>
          <w:lang w:val="fr-FR"/>
        </w:rPr>
        <w:t>.</w:t>
      </w:r>
    </w:p>
    <w:p w14:paraId="34E4EEE9" w14:textId="77777777" w:rsidR="00B25367" w:rsidRDefault="00B25367" w:rsidP="00B25367">
      <w:pPr>
        <w:pStyle w:val="SingleTxtG"/>
        <w:tabs>
          <w:tab w:val="clear" w:pos="1701"/>
          <w:tab w:val="clear" w:pos="2268"/>
        </w:tabs>
        <w:ind w:left="2268" w:hanging="1134"/>
        <w:rPr>
          <w:rFonts w:asciiTheme="majorBidi" w:eastAsia="SimSun" w:hAnsiTheme="majorBidi" w:cstheme="majorBidi"/>
          <w:lang w:val="fr-FR"/>
        </w:rPr>
      </w:pPr>
      <w:r>
        <w:rPr>
          <w:rFonts w:asciiTheme="majorBidi" w:eastAsia="SimSun" w:hAnsiTheme="majorBidi" w:cstheme="majorBidi"/>
          <w:lang w:val="fr-FR"/>
        </w:rPr>
        <w:tab/>
        <w:t xml:space="preserve">- </w:t>
      </w:r>
      <w:r w:rsidRPr="00EB47FA">
        <w:rPr>
          <w:rFonts w:asciiTheme="majorBidi" w:eastAsia="SimSun" w:hAnsiTheme="majorBidi" w:cstheme="majorBidi"/>
          <w:lang w:val="fr-FR"/>
        </w:rPr>
        <w:t xml:space="preserve">Dans le </w:t>
      </w:r>
      <w:r>
        <w:rPr>
          <w:rFonts w:asciiTheme="majorBidi" w:eastAsia="SimSun" w:hAnsiTheme="majorBidi" w:cstheme="majorBidi"/>
          <w:lang w:val="fr-FR"/>
        </w:rPr>
        <w:t>n</w:t>
      </w:r>
      <w:r w:rsidRPr="00EB47FA">
        <w:rPr>
          <w:rFonts w:asciiTheme="majorBidi" w:eastAsia="SimSun" w:hAnsiTheme="majorBidi" w:cstheme="majorBidi"/>
          <w:lang w:val="fr-FR"/>
        </w:rPr>
        <w:t xml:space="preserve">ota, remplacer « </w:t>
      </w:r>
      <w:r w:rsidRPr="00EB47FA">
        <w:rPr>
          <w:rFonts w:asciiTheme="majorBidi" w:eastAsia="SimSun" w:hAnsiTheme="majorBidi" w:cstheme="majorBidi"/>
          <w:i/>
          <w:iCs/>
          <w:lang w:val="fr-FR"/>
        </w:rPr>
        <w:t>(marque pour les piles au lithium)</w:t>
      </w:r>
      <w:r w:rsidRPr="00EB47FA">
        <w:rPr>
          <w:rFonts w:asciiTheme="majorBidi" w:eastAsia="SimSun" w:hAnsiTheme="majorBidi" w:cstheme="majorBidi"/>
          <w:lang w:val="fr-FR"/>
        </w:rPr>
        <w:t xml:space="preserve"> » par « </w:t>
      </w:r>
      <w:r w:rsidRPr="002A4887">
        <w:rPr>
          <w:rFonts w:asciiTheme="majorBidi" w:eastAsia="SimSun" w:hAnsiTheme="majorBidi" w:cstheme="majorBidi"/>
          <w:i/>
          <w:iCs/>
          <w:lang w:val="fr-FR"/>
        </w:rPr>
        <w:t>(marque pour les batteries au lithium ou batteries au sodium ionique)</w:t>
      </w:r>
      <w:r w:rsidRPr="00EB47FA">
        <w:rPr>
          <w:rFonts w:asciiTheme="majorBidi" w:eastAsia="SimSun" w:hAnsiTheme="majorBidi" w:cstheme="majorBidi"/>
          <w:lang w:val="fr-FR"/>
        </w:rPr>
        <w:t xml:space="preserve"> ».</w:t>
      </w:r>
    </w:p>
    <w:p w14:paraId="4DAE2A99" w14:textId="77777777" w:rsidR="00B25367" w:rsidRPr="00CD2534" w:rsidRDefault="00B25367" w:rsidP="00B25367">
      <w:pPr>
        <w:pStyle w:val="SingleTxtG"/>
        <w:tabs>
          <w:tab w:val="clear" w:pos="1701"/>
          <w:tab w:val="clear" w:pos="2268"/>
        </w:tabs>
        <w:ind w:left="2268" w:hanging="1134"/>
        <w:rPr>
          <w:rFonts w:asciiTheme="majorBidi" w:eastAsia="SimSun" w:hAnsiTheme="majorBidi" w:cstheme="majorBidi"/>
          <w:lang w:val="fr-FR"/>
        </w:rPr>
      </w:pPr>
      <w:r>
        <w:rPr>
          <w:rFonts w:asciiTheme="majorBidi" w:eastAsia="SimSun" w:hAnsiTheme="majorBidi" w:cstheme="majorBidi"/>
          <w:lang w:val="fr-FR"/>
        </w:rPr>
        <w:tab/>
        <w:t>- A</w:t>
      </w:r>
      <w:r w:rsidRPr="00C6111E">
        <w:rPr>
          <w:rFonts w:asciiTheme="majorBidi" w:eastAsia="SimSun" w:hAnsiTheme="majorBidi" w:cstheme="majorBidi"/>
          <w:lang w:val="fr-FR"/>
        </w:rPr>
        <w:t xml:space="preserve">u dernier paragraphe, </w:t>
      </w:r>
      <w:r>
        <w:rPr>
          <w:rFonts w:asciiTheme="majorBidi" w:eastAsia="SimSun" w:hAnsiTheme="majorBidi" w:cstheme="majorBidi"/>
          <w:lang w:val="fr-FR"/>
        </w:rPr>
        <w:t xml:space="preserve">première phrase, </w:t>
      </w:r>
      <w:r w:rsidRPr="00C6111E">
        <w:rPr>
          <w:rFonts w:asciiTheme="majorBidi" w:eastAsia="SimSun" w:hAnsiTheme="majorBidi" w:cstheme="majorBidi"/>
          <w:lang w:val="fr-FR"/>
        </w:rPr>
        <w:t xml:space="preserve">remplacer « </w:t>
      </w:r>
      <w:r w:rsidRPr="00C4539D">
        <w:rPr>
          <w:rFonts w:asciiTheme="majorBidi" w:eastAsia="SimSun" w:hAnsiTheme="majorBidi" w:cstheme="majorBidi"/>
          <w:lang w:val="fr-FR"/>
        </w:rPr>
        <w:t>les marques de pile au lithium ou au</w:t>
      </w:r>
      <w:r>
        <w:rPr>
          <w:rFonts w:asciiTheme="majorBidi" w:eastAsia="SimSun" w:hAnsiTheme="majorBidi" w:cstheme="majorBidi"/>
          <w:lang w:val="fr-FR"/>
        </w:rPr>
        <w:t xml:space="preserve"> </w:t>
      </w:r>
      <w:r w:rsidRPr="00C4539D">
        <w:rPr>
          <w:rFonts w:asciiTheme="majorBidi" w:eastAsia="SimSun" w:hAnsiTheme="majorBidi" w:cstheme="majorBidi"/>
          <w:lang w:val="fr-FR"/>
        </w:rPr>
        <w:t>sodium ionique</w:t>
      </w:r>
      <w:r>
        <w:rPr>
          <w:rFonts w:asciiTheme="majorBidi" w:eastAsia="SimSun" w:hAnsiTheme="majorBidi" w:cstheme="majorBidi"/>
          <w:lang w:val="fr-FR"/>
        </w:rPr>
        <w:t xml:space="preserve"> </w:t>
      </w:r>
      <w:r w:rsidRPr="00C6111E">
        <w:rPr>
          <w:rFonts w:asciiTheme="majorBidi" w:eastAsia="SimSun" w:hAnsiTheme="majorBidi" w:cstheme="majorBidi"/>
          <w:lang w:val="fr-FR"/>
        </w:rPr>
        <w:t xml:space="preserve">» par « </w:t>
      </w:r>
      <w:r w:rsidRPr="00C4539D">
        <w:rPr>
          <w:rFonts w:asciiTheme="majorBidi" w:eastAsia="SimSun" w:hAnsiTheme="majorBidi" w:cstheme="majorBidi"/>
          <w:lang w:val="fr-FR"/>
        </w:rPr>
        <w:t xml:space="preserve">les marques </w:t>
      </w:r>
      <w:r>
        <w:rPr>
          <w:rFonts w:asciiTheme="majorBidi" w:eastAsia="SimSun" w:hAnsiTheme="majorBidi" w:cstheme="majorBidi"/>
          <w:lang w:val="fr-FR"/>
        </w:rPr>
        <w:t>pour les</w:t>
      </w:r>
      <w:r w:rsidRPr="00C4539D">
        <w:rPr>
          <w:rFonts w:asciiTheme="majorBidi" w:eastAsia="SimSun" w:hAnsiTheme="majorBidi" w:cstheme="majorBidi"/>
          <w:lang w:val="fr-FR"/>
        </w:rPr>
        <w:t xml:space="preserve"> </w:t>
      </w:r>
      <w:r>
        <w:rPr>
          <w:rFonts w:asciiTheme="majorBidi" w:eastAsia="SimSun" w:hAnsiTheme="majorBidi" w:cstheme="majorBidi"/>
          <w:lang w:val="fr-FR"/>
        </w:rPr>
        <w:t>batteries</w:t>
      </w:r>
      <w:r w:rsidRPr="00C4539D">
        <w:rPr>
          <w:rFonts w:asciiTheme="majorBidi" w:eastAsia="SimSun" w:hAnsiTheme="majorBidi" w:cstheme="majorBidi"/>
          <w:lang w:val="fr-FR"/>
        </w:rPr>
        <w:t xml:space="preserve"> au lithium ou </w:t>
      </w:r>
      <w:r>
        <w:rPr>
          <w:rFonts w:asciiTheme="majorBidi" w:eastAsia="SimSun" w:hAnsiTheme="majorBidi" w:cstheme="majorBidi"/>
          <w:lang w:val="fr-FR"/>
        </w:rPr>
        <w:t xml:space="preserve">batteries </w:t>
      </w:r>
      <w:r w:rsidRPr="00C4539D">
        <w:rPr>
          <w:rFonts w:asciiTheme="majorBidi" w:eastAsia="SimSun" w:hAnsiTheme="majorBidi" w:cstheme="majorBidi"/>
          <w:lang w:val="fr-FR"/>
        </w:rPr>
        <w:t>au</w:t>
      </w:r>
      <w:r>
        <w:rPr>
          <w:rFonts w:asciiTheme="majorBidi" w:eastAsia="SimSun" w:hAnsiTheme="majorBidi" w:cstheme="majorBidi"/>
          <w:lang w:val="fr-FR"/>
        </w:rPr>
        <w:t xml:space="preserve"> </w:t>
      </w:r>
      <w:r w:rsidRPr="00C4539D">
        <w:rPr>
          <w:rFonts w:asciiTheme="majorBidi" w:eastAsia="SimSun" w:hAnsiTheme="majorBidi" w:cstheme="majorBidi"/>
          <w:lang w:val="fr-FR"/>
        </w:rPr>
        <w:t>sodium ionique</w:t>
      </w:r>
      <w:r w:rsidRPr="00C6111E">
        <w:rPr>
          <w:rFonts w:asciiTheme="majorBidi" w:eastAsia="SimSun" w:hAnsiTheme="majorBidi" w:cstheme="majorBidi"/>
          <w:lang w:val="fr-FR"/>
        </w:rPr>
        <w:t xml:space="preserve"> ».</w:t>
      </w:r>
    </w:p>
    <w:p w14:paraId="2DA51423"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3102536A" w14:textId="77777777" w:rsidR="00B25367" w:rsidRPr="00CD2534" w:rsidRDefault="00B25367" w:rsidP="00B25367">
      <w:pPr>
        <w:pStyle w:val="SingleTxtG"/>
        <w:tabs>
          <w:tab w:val="clear" w:pos="1701"/>
          <w:tab w:val="clear" w:pos="2268"/>
        </w:tabs>
        <w:ind w:left="2268" w:hanging="1134"/>
        <w:rPr>
          <w:rFonts w:asciiTheme="majorBidi" w:eastAsia="SimSun" w:hAnsiTheme="majorBidi" w:cstheme="majorBidi"/>
          <w:lang w:val="fr-FR"/>
        </w:rPr>
      </w:pPr>
      <w:r>
        <w:rPr>
          <w:rFonts w:asciiTheme="majorBidi" w:eastAsia="SimSun" w:hAnsiTheme="majorBidi" w:cstheme="majorBidi"/>
          <w:lang w:val="fr-FR"/>
        </w:rPr>
        <w:t>DS</w:t>
      </w:r>
      <w:r w:rsidRPr="0070533E">
        <w:rPr>
          <w:rFonts w:asciiTheme="majorBidi" w:eastAsia="SimSun" w:hAnsiTheme="majorBidi" w:cstheme="majorBidi"/>
          <w:lang w:val="fr-FR"/>
        </w:rPr>
        <w:t xml:space="preserve"> 252</w:t>
      </w:r>
      <w:r>
        <w:rPr>
          <w:rFonts w:asciiTheme="majorBidi" w:eastAsia="SimSun" w:hAnsiTheme="majorBidi" w:cstheme="majorBidi"/>
          <w:lang w:val="fr-FR"/>
        </w:rPr>
        <w:tab/>
        <w:t>À l’alinéa 2) b), remplacer « contient » par « contienne ».</w:t>
      </w:r>
    </w:p>
    <w:p w14:paraId="4146D509"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556797B4" w14:textId="77777777" w:rsidR="00B25367" w:rsidRPr="00CD2534" w:rsidRDefault="00B25367" w:rsidP="00B25367">
      <w:pPr>
        <w:pStyle w:val="SingleTxtG"/>
        <w:tabs>
          <w:tab w:val="clear" w:pos="1701"/>
          <w:tab w:val="clear" w:pos="2268"/>
        </w:tabs>
        <w:ind w:left="2268" w:hanging="1134"/>
        <w:rPr>
          <w:rFonts w:asciiTheme="majorBidi" w:eastAsia="SimSun" w:hAnsiTheme="majorBidi" w:cstheme="majorBidi"/>
          <w:lang w:val="fr-FR"/>
        </w:rPr>
      </w:pP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296</w:t>
      </w:r>
      <w:r>
        <w:rPr>
          <w:rFonts w:asciiTheme="majorBidi" w:eastAsia="SimSun" w:hAnsiTheme="majorBidi" w:cstheme="majorBidi"/>
          <w:lang w:val="fr-FR"/>
        </w:rPr>
        <w:tab/>
        <w:t>À l’alinéa d), remplacer « </w:t>
      </w:r>
      <w:r w:rsidRPr="00BC0CF4">
        <w:rPr>
          <w:rFonts w:asciiTheme="majorBidi" w:eastAsia="SimSun" w:hAnsiTheme="majorBidi" w:cstheme="majorBidi"/>
          <w:lang w:val="fr-FR"/>
        </w:rPr>
        <w:t>piles au lithium ou au sodium ionique</w:t>
      </w:r>
      <w:r>
        <w:rPr>
          <w:rFonts w:asciiTheme="majorBidi" w:eastAsia="SimSun" w:hAnsiTheme="majorBidi" w:cstheme="majorBidi"/>
          <w:lang w:val="fr-FR"/>
        </w:rPr>
        <w:t xml:space="preserve"> » par « </w:t>
      </w:r>
      <w:r w:rsidRPr="00BC0CF4">
        <w:rPr>
          <w:rFonts w:asciiTheme="majorBidi" w:eastAsia="SimSun" w:hAnsiTheme="majorBidi" w:cstheme="majorBidi"/>
          <w:lang w:val="fr-FR"/>
        </w:rPr>
        <w:t xml:space="preserve">piles au lithium ou </w:t>
      </w:r>
      <w:r>
        <w:rPr>
          <w:rFonts w:asciiTheme="majorBidi" w:eastAsia="SimSun" w:hAnsiTheme="majorBidi" w:cstheme="majorBidi"/>
          <w:lang w:val="fr-FR"/>
        </w:rPr>
        <w:t xml:space="preserve">piles </w:t>
      </w:r>
      <w:r w:rsidRPr="00BC0CF4">
        <w:rPr>
          <w:rFonts w:asciiTheme="majorBidi" w:eastAsia="SimSun" w:hAnsiTheme="majorBidi" w:cstheme="majorBidi"/>
          <w:lang w:val="fr-FR"/>
        </w:rPr>
        <w:t>au sodium ionique</w:t>
      </w:r>
      <w:r>
        <w:rPr>
          <w:rFonts w:asciiTheme="majorBidi" w:eastAsia="SimSun" w:hAnsiTheme="majorBidi" w:cstheme="majorBidi"/>
          <w:lang w:val="fr-FR"/>
        </w:rPr>
        <w:t>».</w:t>
      </w:r>
    </w:p>
    <w:p w14:paraId="0233C1A4"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16985D9D" w14:textId="77777777" w:rsidR="00B25367" w:rsidRPr="00CD2534" w:rsidRDefault="00B25367" w:rsidP="00B25367">
      <w:pPr>
        <w:pStyle w:val="SingleTxtG"/>
        <w:tabs>
          <w:tab w:val="clear" w:pos="1701"/>
          <w:tab w:val="clear" w:pos="2268"/>
        </w:tabs>
        <w:ind w:left="2268" w:hanging="1134"/>
        <w:rPr>
          <w:rFonts w:asciiTheme="majorBidi" w:eastAsia="SimSun" w:hAnsiTheme="majorBidi" w:cstheme="majorBidi"/>
          <w:lang w:val="fr-FR"/>
        </w:rPr>
      </w:pP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310</w:t>
      </w:r>
      <w:r>
        <w:rPr>
          <w:rFonts w:asciiTheme="majorBidi" w:eastAsia="SimSun" w:hAnsiTheme="majorBidi" w:cstheme="majorBidi"/>
          <w:lang w:val="fr-FR"/>
        </w:rPr>
        <w:tab/>
        <w:t>Dans le nota après le premier paragraphe, remplacer « </w:t>
      </w:r>
      <w:r w:rsidRPr="00E25C56">
        <w:rPr>
          <w:rFonts w:asciiTheme="majorBidi" w:eastAsia="SimSun" w:hAnsiTheme="majorBidi" w:cstheme="majorBidi"/>
          <w:i/>
          <w:iCs/>
          <w:lang w:val="fr-FR"/>
        </w:rPr>
        <w:t>ou</w:t>
      </w:r>
      <w:r>
        <w:rPr>
          <w:rFonts w:asciiTheme="majorBidi" w:eastAsia="SimSun" w:hAnsiTheme="majorBidi" w:cstheme="majorBidi"/>
          <w:lang w:val="fr-FR"/>
        </w:rPr>
        <w:t> » par « </w:t>
      </w:r>
      <w:r w:rsidRPr="00E25C56">
        <w:rPr>
          <w:rFonts w:asciiTheme="majorBidi" w:eastAsia="SimSun" w:hAnsiTheme="majorBidi" w:cstheme="majorBidi"/>
          <w:i/>
          <w:iCs/>
          <w:lang w:val="fr-FR"/>
        </w:rPr>
        <w:t>et</w:t>
      </w:r>
      <w:r>
        <w:rPr>
          <w:rFonts w:asciiTheme="majorBidi" w:eastAsia="SimSun" w:hAnsiTheme="majorBidi" w:cstheme="majorBidi"/>
          <w:lang w:val="fr-FR"/>
        </w:rPr>
        <w:t> ».</w:t>
      </w:r>
    </w:p>
    <w:p w14:paraId="6E4C09E1"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7623F645" w14:textId="77777777" w:rsidR="00B25367" w:rsidRPr="00CD2534" w:rsidRDefault="00B25367" w:rsidP="00B25367">
      <w:pPr>
        <w:pStyle w:val="SingleTxtG"/>
        <w:tabs>
          <w:tab w:val="clear" w:pos="1701"/>
          <w:tab w:val="clear" w:pos="2268"/>
        </w:tabs>
        <w:ind w:left="2268" w:hanging="1134"/>
        <w:rPr>
          <w:rFonts w:asciiTheme="majorBidi" w:eastAsia="SimSun" w:hAnsiTheme="majorBidi" w:cstheme="majorBidi"/>
          <w:lang w:val="fr-FR"/>
        </w:rPr>
      </w:pP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328</w:t>
      </w:r>
      <w:r>
        <w:rPr>
          <w:rFonts w:asciiTheme="majorBidi" w:eastAsia="SimSun" w:hAnsiTheme="majorBidi" w:cstheme="majorBidi"/>
          <w:lang w:val="fr-FR"/>
        </w:rPr>
        <w:tab/>
        <w:t>Au dernier paragraphe, remplacer « </w:t>
      </w:r>
      <w:r w:rsidRPr="00211638">
        <w:rPr>
          <w:rFonts w:asciiTheme="majorBidi" w:eastAsia="SimSun" w:hAnsiTheme="majorBidi" w:cstheme="majorBidi"/>
          <w:lang w:val="fr-FR"/>
        </w:rPr>
        <w:t>ou les piles</w:t>
      </w:r>
      <w:r>
        <w:rPr>
          <w:rFonts w:asciiTheme="majorBidi" w:eastAsia="SimSun" w:hAnsiTheme="majorBidi" w:cstheme="majorBidi"/>
          <w:lang w:val="fr-FR"/>
        </w:rPr>
        <w:t> » par une virgule.</w:t>
      </w:r>
    </w:p>
    <w:p w14:paraId="5CABA6E2"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402E02A5" w14:textId="77777777" w:rsidR="00B25367" w:rsidRPr="00CD2534" w:rsidRDefault="00B25367" w:rsidP="00B25367">
      <w:pPr>
        <w:pStyle w:val="SingleTxtG"/>
        <w:tabs>
          <w:tab w:val="clear" w:pos="1701"/>
          <w:tab w:val="clear" w:pos="2268"/>
        </w:tabs>
        <w:ind w:left="2268" w:hanging="1134"/>
        <w:rPr>
          <w:rFonts w:asciiTheme="majorBidi" w:eastAsia="SimSun" w:hAnsiTheme="majorBidi" w:cstheme="majorBidi"/>
          <w:lang w:val="fr-FR"/>
        </w:rPr>
      </w:pP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363</w:t>
      </w:r>
      <w:r>
        <w:rPr>
          <w:rFonts w:asciiTheme="majorBidi" w:eastAsia="SimSun" w:hAnsiTheme="majorBidi" w:cstheme="majorBidi"/>
          <w:lang w:val="fr-FR"/>
        </w:rPr>
        <w:tab/>
      </w:r>
      <w:r w:rsidRPr="00815A6E">
        <w:rPr>
          <w:rFonts w:eastAsiaTheme="minorHAnsi"/>
          <w:lang w:val="fr-FR"/>
        </w:rPr>
        <w:t xml:space="preserve">À l’alinéa f), </w:t>
      </w:r>
      <w:r>
        <w:rPr>
          <w:rFonts w:eastAsiaTheme="minorHAnsi"/>
          <w:lang w:val="fr-FR"/>
        </w:rPr>
        <w:t>a</w:t>
      </w:r>
      <w:r w:rsidRPr="00C10A0B">
        <w:rPr>
          <w:rFonts w:asciiTheme="majorBidi" w:eastAsia="SimSun" w:hAnsiTheme="majorBidi" w:cstheme="majorBidi"/>
          <w:lang w:val="fr-FR"/>
        </w:rPr>
        <w:t>jouter la nouvelle troisième phrase suivante : « De plus, les batteries au sodium ionique doivent satisfaire aux dispositions du 2.</w:t>
      </w:r>
      <w:r>
        <w:rPr>
          <w:rFonts w:asciiTheme="majorBidi" w:eastAsia="SimSun" w:hAnsiTheme="majorBidi" w:cstheme="majorBidi"/>
          <w:lang w:val="fr-FR"/>
        </w:rPr>
        <w:t>9.5</w:t>
      </w:r>
      <w:r w:rsidRPr="00C10A0B">
        <w:rPr>
          <w:rFonts w:asciiTheme="majorBidi" w:eastAsia="SimSun" w:hAnsiTheme="majorBidi" w:cstheme="majorBidi"/>
          <w:lang w:val="fr-FR"/>
        </w:rPr>
        <w:t xml:space="preserve"> excepté que les alinéas a), e) et f) ne s'appliquent pas quand des batteries de séries de production comprenant au plus 100 piles ou batteries, ou des prototypes de préproduction de piles ou batteries lorsque ces prototypes sont transportés pour être éprouvés, sont installées dans les moteurs ou machines.</w:t>
      </w:r>
      <w:r>
        <w:rPr>
          <w:rFonts w:asciiTheme="majorBidi" w:eastAsia="SimSun" w:hAnsiTheme="majorBidi" w:cstheme="majorBidi"/>
          <w:lang w:val="fr-FR"/>
        </w:rPr>
        <w:t> ». À l’alinéa f), deuxième paragraphe, remplacer « installés » par « installées ».</w:t>
      </w:r>
    </w:p>
    <w:p w14:paraId="402845EA"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640EF0E8" w14:textId="77777777" w:rsidR="00B25367" w:rsidRPr="00CD2534" w:rsidRDefault="00B25367" w:rsidP="00B25367">
      <w:pPr>
        <w:pStyle w:val="SingleTxtG"/>
        <w:tabs>
          <w:tab w:val="clear" w:pos="1701"/>
          <w:tab w:val="clear" w:pos="2268"/>
        </w:tabs>
        <w:ind w:left="2268" w:hanging="1134"/>
        <w:rPr>
          <w:rFonts w:asciiTheme="majorBidi" w:eastAsia="SimSun" w:hAnsiTheme="majorBidi" w:cstheme="majorBidi"/>
          <w:lang w:val="fr-FR"/>
        </w:rPr>
      </w:pP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388</w:t>
      </w:r>
      <w:r>
        <w:rPr>
          <w:rFonts w:asciiTheme="majorBidi" w:eastAsia="SimSun" w:hAnsiTheme="majorBidi" w:cstheme="majorBidi"/>
          <w:lang w:val="fr-FR"/>
        </w:rPr>
        <w:tab/>
      </w:r>
      <w:r>
        <w:rPr>
          <w:rFonts w:eastAsiaTheme="minorHAnsi"/>
          <w:lang w:val="fr-FR"/>
        </w:rPr>
        <w:t>Au neuvième paragraphe</w:t>
      </w:r>
      <w:r w:rsidRPr="00815A6E">
        <w:rPr>
          <w:rFonts w:eastAsiaTheme="minorHAnsi"/>
          <w:lang w:val="fr-FR"/>
        </w:rPr>
        <w:t xml:space="preserve">, </w:t>
      </w:r>
      <w:r>
        <w:rPr>
          <w:rFonts w:eastAsiaTheme="minorHAnsi"/>
          <w:lang w:val="fr-FR"/>
        </w:rPr>
        <w:t>a</w:t>
      </w:r>
      <w:r w:rsidRPr="00C10A0B">
        <w:rPr>
          <w:rFonts w:asciiTheme="majorBidi" w:eastAsia="SimSun" w:hAnsiTheme="majorBidi" w:cstheme="majorBidi"/>
          <w:lang w:val="fr-FR"/>
        </w:rPr>
        <w:t>jouter la nouvelle troisième phrase suivante : « De plus, les batteries au sodium ionique doivent satisfaire aux dispositions du 2.</w:t>
      </w:r>
      <w:r>
        <w:rPr>
          <w:rFonts w:asciiTheme="majorBidi" w:eastAsia="SimSun" w:hAnsiTheme="majorBidi" w:cstheme="majorBidi"/>
          <w:lang w:val="fr-FR"/>
        </w:rPr>
        <w:t>9.5</w:t>
      </w:r>
      <w:r w:rsidRPr="00C10A0B">
        <w:rPr>
          <w:rFonts w:asciiTheme="majorBidi" w:eastAsia="SimSun" w:hAnsiTheme="majorBidi" w:cstheme="majorBidi"/>
          <w:lang w:val="fr-FR"/>
        </w:rPr>
        <w:t xml:space="preserve"> excepté que les alinéas a), e) et f) ne s'appliquent pas quand des batteries de séries de production comprenant au plus 100 piles ou batteries, ou des prototypes de préproduction de piles ou batteries lorsque ces prototypes sont transportés pour être éprouvés, sont installées dans les moteurs ou machines.</w:t>
      </w:r>
      <w:r>
        <w:rPr>
          <w:rFonts w:asciiTheme="majorBidi" w:eastAsia="SimSun" w:hAnsiTheme="majorBidi" w:cstheme="majorBidi"/>
          <w:lang w:val="fr-FR"/>
        </w:rPr>
        <w:t> ».</w:t>
      </w:r>
    </w:p>
    <w:p w14:paraId="2C3CD863"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35461B38" w14:textId="77777777" w:rsidR="00B25367" w:rsidRPr="00544AA4" w:rsidRDefault="00B25367" w:rsidP="00B25367">
      <w:pPr>
        <w:pStyle w:val="SingleTxtG"/>
        <w:tabs>
          <w:tab w:val="clear" w:pos="1701"/>
          <w:tab w:val="clear" w:pos="2268"/>
        </w:tabs>
        <w:ind w:left="2268" w:hanging="1134"/>
        <w:rPr>
          <w:rFonts w:asciiTheme="majorBidi" w:eastAsia="SimSun" w:hAnsiTheme="majorBidi" w:cstheme="majorBidi"/>
          <w:lang w:val="en-US"/>
        </w:rPr>
      </w:pP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401</w:t>
      </w:r>
      <w:r>
        <w:rPr>
          <w:rFonts w:asciiTheme="majorBidi" w:eastAsia="SimSun" w:hAnsiTheme="majorBidi" w:cstheme="majorBidi"/>
          <w:lang w:val="fr-FR"/>
        </w:rPr>
        <w:tab/>
        <w:t>A la dernière phrase, après « No ONU 2795 », supprimer « </w:t>
      </w:r>
      <w:r w:rsidRPr="003C2E83">
        <w:rPr>
          <w:rFonts w:asciiTheme="majorBidi" w:eastAsia="SimSun" w:hAnsiTheme="majorBidi" w:cstheme="majorBidi"/>
          <w:lang w:val="fr-FR"/>
        </w:rPr>
        <w:t>, ACCUMULATEURS électriques</w:t>
      </w:r>
      <w:r>
        <w:rPr>
          <w:rFonts w:asciiTheme="majorBidi" w:eastAsia="SimSun" w:hAnsiTheme="majorBidi" w:cstheme="majorBidi"/>
          <w:lang w:val="fr-FR"/>
        </w:rPr>
        <w:t> </w:t>
      </w:r>
      <w:r w:rsidRPr="003C2E83">
        <w:rPr>
          <w:rFonts w:asciiTheme="majorBidi" w:eastAsia="SimSun" w:hAnsiTheme="majorBidi" w:cstheme="majorBidi"/>
          <w:lang w:val="fr-FR"/>
        </w:rPr>
        <w:t>REMPLIS D’ÉLECTROLYTE LIQUIDE ALCALIN</w:t>
      </w:r>
      <w:r>
        <w:rPr>
          <w:rFonts w:asciiTheme="majorBidi" w:eastAsia="SimSun" w:hAnsiTheme="majorBidi" w:cstheme="majorBidi"/>
          <w:lang w:val="en-US"/>
        </w:rPr>
        <w:t xml:space="preserve"> </w:t>
      </w:r>
      <w:r>
        <w:rPr>
          <w:rFonts w:asciiTheme="majorBidi" w:eastAsia="SimSun" w:hAnsiTheme="majorBidi" w:cstheme="majorBidi"/>
          <w:lang w:val="fr-FR"/>
        </w:rPr>
        <w:t>». À la fin, ajouter une nouvelle phrase pour lire : « </w:t>
      </w:r>
      <w:r w:rsidRPr="002D2F96">
        <w:rPr>
          <w:rFonts w:asciiTheme="majorBidi" w:eastAsia="SimSun" w:hAnsiTheme="majorBidi" w:cstheme="majorBidi"/>
          <w:lang w:val="fr-FR"/>
        </w:rPr>
        <w:t xml:space="preserve">Les batteries </w:t>
      </w:r>
      <w:r w:rsidRPr="002D2F96">
        <w:rPr>
          <w:rFonts w:asciiTheme="majorBidi" w:eastAsia="SimSun" w:hAnsiTheme="majorBidi" w:cstheme="majorBidi"/>
          <w:lang w:val="fr-FR"/>
        </w:rPr>
        <w:lastRenderedPageBreak/>
        <w:t>contenant du sodium métallique ou un alliage de sodium doivent être transportées sous le No ONU 3292.</w:t>
      </w:r>
      <w:r>
        <w:rPr>
          <w:rFonts w:asciiTheme="majorBidi" w:eastAsia="SimSun" w:hAnsiTheme="majorBidi" w:cstheme="majorBidi"/>
          <w:lang w:val="fr-FR"/>
        </w:rPr>
        <w:t> ».</w:t>
      </w:r>
    </w:p>
    <w:p w14:paraId="5D8EF13C"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4FC965FC" w14:textId="77777777" w:rsidR="00B25367" w:rsidRPr="00CD2534" w:rsidRDefault="00B25367" w:rsidP="00B25367">
      <w:pPr>
        <w:pStyle w:val="SingleTxtG"/>
        <w:tabs>
          <w:tab w:val="clear" w:pos="1701"/>
          <w:tab w:val="clear" w:pos="2268"/>
        </w:tabs>
        <w:ind w:left="2268" w:hanging="1134"/>
        <w:rPr>
          <w:lang w:val="fr-FR"/>
        </w:rPr>
      </w:pP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403</w:t>
      </w:r>
      <w:r w:rsidRPr="00CD2534">
        <w:rPr>
          <w:rFonts w:asciiTheme="majorBidi" w:eastAsia="SimSun" w:hAnsiTheme="majorBidi" w:cstheme="majorBidi"/>
          <w:lang w:val="fr-FR"/>
        </w:rPr>
        <w:tab/>
      </w:r>
      <w:r w:rsidRPr="00CD2534">
        <w:rPr>
          <w:lang w:val="fr-FR"/>
        </w:rPr>
        <w:t>L’amendement ne s’applique pas au texte français.</w:t>
      </w:r>
    </w:p>
    <w:p w14:paraId="7C5A508E"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2FD159E3" w14:textId="77777777" w:rsidR="00B25367" w:rsidRPr="00A04A6C" w:rsidRDefault="00B25367" w:rsidP="00B25367">
      <w:pPr>
        <w:pStyle w:val="SingleTxtG"/>
        <w:tabs>
          <w:tab w:val="clear" w:pos="1701"/>
          <w:tab w:val="clear" w:pos="2268"/>
        </w:tabs>
        <w:ind w:left="2268" w:hanging="1134"/>
        <w:rPr>
          <w:rFonts w:asciiTheme="majorBidi" w:eastAsia="SimSun" w:hAnsiTheme="majorBidi" w:cstheme="majorBidi"/>
          <w:lang w:val="en-US"/>
        </w:rPr>
      </w:pP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404</w:t>
      </w:r>
      <w:r>
        <w:rPr>
          <w:rFonts w:asciiTheme="majorBidi" w:eastAsia="SimSun" w:hAnsiTheme="majorBidi" w:cstheme="majorBidi"/>
          <w:lang w:val="fr-FR"/>
        </w:rPr>
        <w:tab/>
        <w:t>Dans la première phrase, remplacer « ion » par « ionique ».</w:t>
      </w:r>
    </w:p>
    <w:p w14:paraId="0D722E83"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706F1148" w14:textId="77777777" w:rsidR="00B25367" w:rsidRDefault="00B25367" w:rsidP="00B25367">
      <w:pPr>
        <w:pStyle w:val="SingleTxtG"/>
        <w:tabs>
          <w:tab w:val="clear" w:pos="1701"/>
          <w:tab w:val="clear" w:pos="2268"/>
        </w:tabs>
        <w:ind w:left="2268" w:hanging="1134"/>
        <w:rPr>
          <w:rFonts w:asciiTheme="majorBidi" w:eastAsia="SimSun" w:hAnsiTheme="majorBidi" w:cstheme="majorBidi"/>
          <w:lang w:val="fr-FR"/>
        </w:rPr>
      </w:pP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405</w:t>
      </w:r>
      <w:r>
        <w:rPr>
          <w:rFonts w:asciiTheme="majorBidi" w:eastAsia="SimSun" w:hAnsiTheme="majorBidi" w:cstheme="majorBidi"/>
          <w:lang w:val="fr-FR"/>
        </w:rPr>
        <w:tab/>
        <w:t>Modifier pour lire comme suit :</w:t>
      </w:r>
    </w:p>
    <w:p w14:paraId="6FF6F21C" w14:textId="77777777" w:rsidR="00B25367" w:rsidRPr="00A04A6C" w:rsidRDefault="00B25367" w:rsidP="00B25367">
      <w:pPr>
        <w:pStyle w:val="SingleTxtG"/>
        <w:tabs>
          <w:tab w:val="clear" w:pos="1701"/>
          <w:tab w:val="clear" w:pos="2268"/>
        </w:tabs>
        <w:ind w:left="2268" w:hanging="1134"/>
        <w:rPr>
          <w:rFonts w:asciiTheme="majorBidi" w:eastAsia="SimSun" w:hAnsiTheme="majorBidi" w:cstheme="majorBidi"/>
          <w:lang w:val="en-US"/>
        </w:rPr>
      </w:pPr>
      <w:r>
        <w:rPr>
          <w:rFonts w:asciiTheme="majorBidi" w:eastAsia="SimSun" w:hAnsiTheme="majorBidi" w:cstheme="majorBidi"/>
          <w:lang w:val="fr-FR"/>
        </w:rPr>
        <w:t>« 405</w:t>
      </w:r>
      <w:r>
        <w:rPr>
          <w:rFonts w:asciiTheme="majorBidi" w:eastAsia="SimSun" w:hAnsiTheme="majorBidi" w:cstheme="majorBidi"/>
          <w:lang w:val="fr-FR"/>
        </w:rPr>
        <w:tab/>
      </w:r>
      <w:r w:rsidRPr="00021590">
        <w:rPr>
          <w:rFonts w:asciiTheme="majorBidi" w:eastAsia="SimSun" w:hAnsiTheme="majorBidi" w:cstheme="majorBidi"/>
          <w:lang w:val="fr-FR"/>
        </w:rPr>
        <w:t>Les véhicules qui sont entièrement emballés, enfermés dans des caisses ou par tout autre moyen empêchant une identification immédiate, sont soumis aux prescriptions du chapitre 5.2 en matière de marquage ou d'étiquetage. »</w:t>
      </w:r>
    </w:p>
    <w:p w14:paraId="6FB31F38"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45C19BB5" w14:textId="77777777" w:rsidR="00B25367" w:rsidRPr="00CD2534" w:rsidRDefault="00B25367" w:rsidP="00B25367">
      <w:pPr>
        <w:pStyle w:val="SingleTxtG"/>
        <w:tabs>
          <w:tab w:val="clear" w:pos="1701"/>
          <w:tab w:val="clear" w:pos="2268"/>
        </w:tabs>
        <w:ind w:left="2268" w:hanging="1134"/>
        <w:rPr>
          <w:rFonts w:asciiTheme="majorBidi" w:eastAsia="SimSun" w:hAnsiTheme="majorBidi" w:cstheme="majorBidi"/>
          <w:lang w:val="fr-FR"/>
        </w:rPr>
      </w:pP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407</w:t>
      </w:r>
      <w:r>
        <w:rPr>
          <w:rFonts w:asciiTheme="majorBidi" w:eastAsia="SimSun" w:hAnsiTheme="majorBidi" w:cstheme="majorBidi"/>
          <w:lang w:val="fr-FR"/>
        </w:rPr>
        <w:tab/>
        <w:t>Dans le premier paragraphe, dernière phrase, supprimer « soit ».</w:t>
      </w:r>
    </w:p>
    <w:p w14:paraId="2F7F4C0A"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4194FAF1" w14:textId="77777777" w:rsidR="00B25367" w:rsidRPr="00CD2534" w:rsidRDefault="00B25367" w:rsidP="00B25367">
      <w:pPr>
        <w:pStyle w:val="SingleTxtG"/>
        <w:tabs>
          <w:tab w:val="clear" w:pos="1701"/>
          <w:tab w:val="clear" w:pos="2268"/>
        </w:tabs>
        <w:ind w:left="2268" w:hanging="1134"/>
        <w:rPr>
          <w:lang w:val="fr-FR"/>
        </w:rPr>
      </w:pP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408</w:t>
      </w:r>
      <w:r w:rsidRPr="00CD2534">
        <w:rPr>
          <w:rFonts w:asciiTheme="majorBidi" w:eastAsia="SimSun" w:hAnsiTheme="majorBidi" w:cstheme="majorBidi"/>
          <w:lang w:val="fr-FR"/>
        </w:rPr>
        <w:tab/>
      </w:r>
      <w:r w:rsidRPr="00CD2534">
        <w:rPr>
          <w:lang w:val="fr-FR"/>
        </w:rPr>
        <w:t>L</w:t>
      </w:r>
      <w:r>
        <w:rPr>
          <w:lang w:val="fr-FR"/>
        </w:rPr>
        <w:t xml:space="preserve">es </w:t>
      </w:r>
      <w:r w:rsidRPr="00CD2534">
        <w:rPr>
          <w:lang w:val="fr-FR"/>
        </w:rPr>
        <w:t>amendement</w:t>
      </w:r>
      <w:r>
        <w:rPr>
          <w:lang w:val="fr-FR"/>
        </w:rPr>
        <w:t>s</w:t>
      </w:r>
      <w:r w:rsidRPr="00CD2534">
        <w:rPr>
          <w:lang w:val="fr-FR"/>
        </w:rPr>
        <w:t xml:space="preserve"> ne s’applique</w:t>
      </w:r>
      <w:r>
        <w:rPr>
          <w:lang w:val="fr-FR"/>
        </w:rPr>
        <w:t>nt</w:t>
      </w:r>
      <w:r w:rsidRPr="00CD2534">
        <w:rPr>
          <w:lang w:val="fr-FR"/>
        </w:rPr>
        <w:t xml:space="preserve"> pas au texte français.</w:t>
      </w:r>
    </w:p>
    <w:p w14:paraId="0B6BCB31"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415ECFE5" w14:textId="77777777" w:rsidR="00B25367" w:rsidRPr="00304358" w:rsidRDefault="00B25367" w:rsidP="00B2536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 xml:space="preserve">Chapitre </w:t>
      </w:r>
      <w:r>
        <w:rPr>
          <w:rFonts w:eastAsiaTheme="minorHAnsi"/>
          <w:b/>
          <w:sz w:val="24"/>
          <w:lang w:val="fr-FR" w:eastAsia="en-US"/>
        </w:rPr>
        <w:t>4.1</w:t>
      </w:r>
    </w:p>
    <w:p w14:paraId="6D5A6DC3" w14:textId="77777777" w:rsidR="00B25367" w:rsidRPr="00CD2534" w:rsidRDefault="00B25367" w:rsidP="00B25367">
      <w:pPr>
        <w:pStyle w:val="SingleTxtG"/>
        <w:tabs>
          <w:tab w:val="clear" w:pos="1701"/>
          <w:tab w:val="clear" w:pos="2268"/>
        </w:tabs>
        <w:ind w:left="2268" w:hanging="1134"/>
        <w:rPr>
          <w:lang w:val="fr-FR"/>
        </w:rPr>
      </w:pPr>
      <w:r>
        <w:rPr>
          <w:rFonts w:asciiTheme="majorBidi" w:eastAsia="SimSun" w:hAnsiTheme="majorBidi" w:cstheme="majorBidi"/>
          <w:lang w:val="fr-FR"/>
        </w:rPr>
        <w:t>4.1.3.6.5</w:t>
      </w:r>
      <w:r w:rsidRPr="00CD2534">
        <w:rPr>
          <w:rFonts w:asciiTheme="majorBidi" w:eastAsia="SimSun" w:hAnsiTheme="majorBidi" w:cstheme="majorBidi"/>
          <w:lang w:val="fr-FR"/>
        </w:rPr>
        <w:tab/>
      </w:r>
      <w:r w:rsidRPr="00CD2534">
        <w:rPr>
          <w:lang w:val="fr-FR"/>
        </w:rPr>
        <w:t>L’amendement ne s’applique pas au texte français.</w:t>
      </w:r>
    </w:p>
    <w:p w14:paraId="4131CF6B"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2EEF2632" w14:textId="77777777" w:rsidR="00B25367" w:rsidRPr="00CD2534" w:rsidRDefault="00B25367" w:rsidP="00B25367">
      <w:pPr>
        <w:pStyle w:val="SingleTxtG"/>
        <w:tabs>
          <w:tab w:val="clear" w:pos="1701"/>
          <w:tab w:val="clear" w:pos="2268"/>
        </w:tabs>
        <w:ind w:left="2268" w:hanging="1134"/>
        <w:rPr>
          <w:lang w:val="fr-FR"/>
        </w:rPr>
      </w:pPr>
      <w:r w:rsidRPr="00CD2534">
        <w:rPr>
          <w:rFonts w:asciiTheme="majorBidi" w:eastAsia="SimSun" w:hAnsiTheme="majorBidi" w:cstheme="majorBidi"/>
          <w:lang w:val="fr-FR"/>
        </w:rPr>
        <w:t>4.1.4.1, P200</w:t>
      </w:r>
      <w:r w:rsidRPr="00CD2534">
        <w:rPr>
          <w:rFonts w:asciiTheme="majorBidi" w:eastAsia="SimSun" w:hAnsiTheme="majorBidi" w:cstheme="majorBidi"/>
          <w:lang w:val="fr-FR"/>
        </w:rPr>
        <w:tab/>
      </w:r>
      <w:r w:rsidRPr="00CD2534">
        <w:rPr>
          <w:lang w:val="fr-FR"/>
        </w:rPr>
        <w:t>L’amendement ne s’applique pas au texte français.</w:t>
      </w:r>
    </w:p>
    <w:p w14:paraId="27991C57"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37E0F6B8" w14:textId="77777777" w:rsidR="00B25367" w:rsidRPr="00CD2534" w:rsidRDefault="00B25367" w:rsidP="00B25367">
      <w:pPr>
        <w:pStyle w:val="SingleTxtG"/>
        <w:tabs>
          <w:tab w:val="clear" w:pos="1701"/>
          <w:tab w:val="clear" w:pos="2268"/>
        </w:tabs>
        <w:ind w:left="2268" w:hanging="1134"/>
        <w:rPr>
          <w:lang w:val="fr-FR"/>
        </w:rPr>
      </w:pPr>
      <w:r w:rsidRPr="00CD2534">
        <w:rPr>
          <w:lang w:val="fr-FR"/>
        </w:rPr>
        <w:t>4.1.4.1, P912</w:t>
      </w:r>
      <w:r w:rsidRPr="00CD2534">
        <w:rPr>
          <w:lang w:val="fr-FR"/>
        </w:rPr>
        <w:tab/>
        <w:t>Le premi</w:t>
      </w:r>
      <w:r>
        <w:rPr>
          <w:lang w:val="fr-FR"/>
        </w:rPr>
        <w:t>e</w:t>
      </w:r>
      <w:r w:rsidRPr="00CD2534">
        <w:rPr>
          <w:lang w:val="fr-FR"/>
        </w:rPr>
        <w:t>r amendement ne s’applique pas au texte français. À l’alinéa (c), après la première virgule, supprimer « les véhicules ».</w:t>
      </w:r>
    </w:p>
    <w:p w14:paraId="4C65C4C3"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773A5776" w14:textId="77777777" w:rsidR="00B25367" w:rsidRPr="00304358" w:rsidRDefault="00B25367" w:rsidP="00B2536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 xml:space="preserve">Chapitre </w:t>
      </w:r>
      <w:r>
        <w:rPr>
          <w:rFonts w:eastAsiaTheme="minorHAnsi"/>
          <w:b/>
          <w:sz w:val="24"/>
          <w:lang w:val="fr-FR" w:eastAsia="en-US"/>
        </w:rPr>
        <w:t>4.2</w:t>
      </w:r>
    </w:p>
    <w:p w14:paraId="143A35EB" w14:textId="77777777" w:rsidR="00B25367" w:rsidRPr="00CD2534" w:rsidRDefault="00B25367" w:rsidP="00B25367">
      <w:pPr>
        <w:pStyle w:val="SingleTxtG"/>
        <w:tabs>
          <w:tab w:val="clear" w:pos="1701"/>
          <w:tab w:val="clear" w:pos="2268"/>
        </w:tabs>
        <w:ind w:left="2268" w:hanging="1134"/>
        <w:rPr>
          <w:lang w:val="fr-FR"/>
        </w:rPr>
      </w:pPr>
      <w:r w:rsidRPr="00CD2534">
        <w:rPr>
          <w:lang w:val="fr-FR"/>
        </w:rPr>
        <w:t>4.2.1.9</w:t>
      </w:r>
      <w:r w:rsidRPr="00CD2534">
        <w:rPr>
          <w:lang w:val="fr-FR"/>
        </w:rPr>
        <w:tab/>
        <w:t>Dans le titre, remplacer « taux » par « degré ».</w:t>
      </w:r>
    </w:p>
    <w:p w14:paraId="18332927"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7DBE7A28" w14:textId="77777777" w:rsidR="00B25367" w:rsidRPr="00CD2534" w:rsidRDefault="00B25367" w:rsidP="00B25367">
      <w:pPr>
        <w:pStyle w:val="SingleTxtG"/>
        <w:tabs>
          <w:tab w:val="clear" w:pos="1701"/>
          <w:tab w:val="clear" w:pos="2268"/>
        </w:tabs>
        <w:ind w:left="2268" w:hanging="1134"/>
        <w:rPr>
          <w:lang w:val="fr-FR"/>
        </w:rPr>
      </w:pPr>
      <w:r w:rsidRPr="00CD2534">
        <w:rPr>
          <w:lang w:val="fr-FR"/>
        </w:rPr>
        <w:t>4.2.2.8</w:t>
      </w:r>
      <w:r w:rsidRPr="00CD2534">
        <w:rPr>
          <w:lang w:val="fr-FR"/>
        </w:rPr>
        <w:tab/>
        <w:t>À l’alinéa a), remplacer « taux de remplissage » par « remplissage ».</w:t>
      </w:r>
    </w:p>
    <w:p w14:paraId="0F614B31"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228E579E" w14:textId="77777777" w:rsidR="00B25367" w:rsidRDefault="00B25367" w:rsidP="00B25367">
      <w:pPr>
        <w:pStyle w:val="SingleTxtG"/>
        <w:tabs>
          <w:tab w:val="clear" w:pos="1701"/>
          <w:tab w:val="clear" w:pos="2268"/>
        </w:tabs>
        <w:ind w:left="2268" w:hanging="1134"/>
        <w:rPr>
          <w:lang w:val="fr-FR"/>
        </w:rPr>
      </w:pPr>
      <w:r w:rsidRPr="00CD2534">
        <w:rPr>
          <w:lang w:val="fr-FR"/>
        </w:rPr>
        <w:t>4.2.3.8</w:t>
      </w:r>
      <w:r w:rsidRPr="00CD2534">
        <w:rPr>
          <w:lang w:val="fr-FR"/>
        </w:rPr>
        <w:tab/>
        <w:t>À l’alinéa a), remplacer « taux de remplissage » par « remplissage ».</w:t>
      </w:r>
    </w:p>
    <w:p w14:paraId="49C40072"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7F51EA28" w14:textId="77777777" w:rsidR="00B25367" w:rsidRPr="00304358" w:rsidRDefault="00B25367" w:rsidP="00B2536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 xml:space="preserve">Chapitre </w:t>
      </w:r>
      <w:r>
        <w:rPr>
          <w:rFonts w:eastAsiaTheme="minorHAnsi"/>
          <w:b/>
          <w:sz w:val="24"/>
          <w:lang w:val="fr-FR" w:eastAsia="en-US"/>
        </w:rPr>
        <w:t>5.2</w:t>
      </w:r>
    </w:p>
    <w:p w14:paraId="0490EB15" w14:textId="77777777" w:rsidR="00B25367" w:rsidRDefault="00B25367" w:rsidP="00B25367">
      <w:pPr>
        <w:pStyle w:val="SingleTxtG"/>
        <w:tabs>
          <w:tab w:val="clear" w:pos="1701"/>
          <w:tab w:val="clear" w:pos="2268"/>
        </w:tabs>
        <w:ind w:left="2268" w:hanging="1134"/>
        <w:rPr>
          <w:lang w:val="fr-FR"/>
        </w:rPr>
      </w:pPr>
      <w:r>
        <w:rPr>
          <w:lang w:val="fr-FR"/>
        </w:rPr>
        <w:t>5.2.1.9</w:t>
      </w:r>
      <w:r>
        <w:rPr>
          <w:lang w:val="fr-FR"/>
        </w:rPr>
        <w:tab/>
        <w:t>Dans le titre, remplacer « </w:t>
      </w:r>
      <w:r w:rsidRPr="00287B8B">
        <w:rPr>
          <w:b/>
          <w:bCs/>
          <w:i/>
          <w:iCs/>
          <w:lang w:val="fr-FR"/>
        </w:rPr>
        <w:t>les batteries au lithium ou au sodium ionique</w:t>
      </w:r>
      <w:r>
        <w:rPr>
          <w:lang w:val="fr-FR"/>
        </w:rPr>
        <w:t> » par « </w:t>
      </w:r>
      <w:r w:rsidRPr="00287B8B">
        <w:rPr>
          <w:b/>
          <w:bCs/>
          <w:i/>
          <w:iCs/>
          <w:lang w:val="fr-FR"/>
        </w:rPr>
        <w:t xml:space="preserve">les batteries au lithium ou </w:t>
      </w:r>
      <w:r>
        <w:rPr>
          <w:b/>
          <w:bCs/>
          <w:i/>
          <w:iCs/>
          <w:lang w:val="fr-FR"/>
        </w:rPr>
        <w:t xml:space="preserve">les batteries </w:t>
      </w:r>
      <w:r w:rsidRPr="00287B8B">
        <w:rPr>
          <w:b/>
          <w:bCs/>
          <w:i/>
          <w:iCs/>
          <w:lang w:val="fr-FR"/>
        </w:rPr>
        <w:t>au sodium ionique</w:t>
      </w:r>
      <w:r>
        <w:rPr>
          <w:lang w:val="fr-FR"/>
        </w:rPr>
        <w:t> ».</w:t>
      </w:r>
    </w:p>
    <w:p w14:paraId="4697437E"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340521D3" w14:textId="77777777" w:rsidR="00B25367" w:rsidRDefault="00B25367" w:rsidP="00B25367">
      <w:pPr>
        <w:pStyle w:val="SingleTxtG"/>
        <w:tabs>
          <w:tab w:val="clear" w:pos="1701"/>
          <w:tab w:val="clear" w:pos="2268"/>
        </w:tabs>
        <w:ind w:left="2268" w:hanging="1134"/>
        <w:rPr>
          <w:lang w:val="fr-FR"/>
        </w:rPr>
      </w:pPr>
      <w:r>
        <w:rPr>
          <w:lang w:val="fr-FR"/>
        </w:rPr>
        <w:t>5.2.1.9.1</w:t>
      </w:r>
      <w:r>
        <w:rPr>
          <w:lang w:val="fr-FR"/>
        </w:rPr>
        <w:tab/>
        <w:t>Remplacer « </w:t>
      </w:r>
      <w:r w:rsidRPr="00FD4414">
        <w:rPr>
          <w:lang w:val="fr-FR"/>
        </w:rPr>
        <w:t>des piles ou batteries au lithium ou au sodium ionique</w:t>
      </w:r>
      <w:r>
        <w:rPr>
          <w:lang w:val="fr-FR"/>
        </w:rPr>
        <w:t> » par « </w:t>
      </w:r>
      <w:r w:rsidRPr="00FD4414">
        <w:rPr>
          <w:lang w:val="fr-FR"/>
        </w:rPr>
        <w:t xml:space="preserve">des piles ou batteries au lithium ou </w:t>
      </w:r>
      <w:r w:rsidRPr="004074DF">
        <w:rPr>
          <w:lang w:val="fr-FR"/>
        </w:rPr>
        <w:t xml:space="preserve">des piles ou batteries </w:t>
      </w:r>
      <w:r w:rsidRPr="00FD4414">
        <w:rPr>
          <w:lang w:val="fr-FR"/>
        </w:rPr>
        <w:t>au sodium ionique</w:t>
      </w:r>
      <w:r>
        <w:rPr>
          <w:lang w:val="fr-FR"/>
        </w:rPr>
        <w:t> ».</w:t>
      </w:r>
    </w:p>
    <w:p w14:paraId="43EF6874" w14:textId="77777777" w:rsidR="00B25367" w:rsidRDefault="00B25367" w:rsidP="00B25367">
      <w:pPr>
        <w:pStyle w:val="SingleTxtG"/>
        <w:tabs>
          <w:tab w:val="clear" w:pos="1701"/>
          <w:tab w:val="clear" w:pos="2268"/>
        </w:tabs>
        <w:ind w:left="2268" w:hanging="1134"/>
        <w:rPr>
          <w:lang w:val="fr-FR"/>
        </w:rPr>
      </w:pPr>
      <w:r>
        <w:rPr>
          <w:lang w:val="fr-FR"/>
        </w:rPr>
        <w:t>Figure 5.2.5</w:t>
      </w:r>
      <w:r>
        <w:rPr>
          <w:lang w:val="fr-FR"/>
        </w:rPr>
        <w:tab/>
        <w:t xml:space="preserve">Dans le titre, </w:t>
      </w:r>
      <w:r w:rsidRPr="003648A4">
        <w:rPr>
          <w:lang w:val="fr-FR"/>
        </w:rPr>
        <w:t>remplacer « </w:t>
      </w:r>
      <w:r w:rsidRPr="003648A4">
        <w:rPr>
          <w:b/>
          <w:bCs/>
          <w:lang w:val="fr-FR"/>
        </w:rPr>
        <w:t>les batteries au lithium ou au sodium ionique</w:t>
      </w:r>
      <w:r w:rsidRPr="003648A4">
        <w:rPr>
          <w:lang w:val="fr-FR"/>
        </w:rPr>
        <w:t> » par « </w:t>
      </w:r>
      <w:r w:rsidRPr="003648A4">
        <w:rPr>
          <w:b/>
          <w:bCs/>
          <w:lang w:val="fr-FR"/>
        </w:rPr>
        <w:t>les batteries au lithium ou les batteries au sodium ionique</w:t>
      </w:r>
      <w:r w:rsidRPr="003648A4">
        <w:rPr>
          <w:lang w:val="fr-FR"/>
        </w:rPr>
        <w:t> ».</w:t>
      </w:r>
    </w:p>
    <w:p w14:paraId="52870AF2" w14:textId="77777777" w:rsidR="00B25367" w:rsidRPr="003338FD" w:rsidRDefault="00B25367" w:rsidP="00B25367">
      <w:pPr>
        <w:spacing w:after="120"/>
        <w:ind w:left="1134" w:right="1134"/>
        <w:jc w:val="both"/>
        <w:rPr>
          <w:i/>
          <w:iCs/>
          <w:lang w:val="fr-FR" w:eastAsia="en-US"/>
        </w:rPr>
      </w:pPr>
      <w:r w:rsidRPr="003338FD">
        <w:rPr>
          <w:i/>
          <w:iCs/>
          <w:lang w:val="fr-FR" w:eastAsia="en-US"/>
        </w:rPr>
        <w:lastRenderedPageBreak/>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21BBD9D5" w14:textId="77777777" w:rsidR="00B25367" w:rsidRPr="003648A4" w:rsidRDefault="00B25367" w:rsidP="00B25367">
      <w:pPr>
        <w:pStyle w:val="SingleTxtG"/>
        <w:tabs>
          <w:tab w:val="clear" w:pos="1701"/>
          <w:tab w:val="clear" w:pos="2268"/>
        </w:tabs>
        <w:ind w:left="2268" w:hanging="1134"/>
        <w:rPr>
          <w:lang w:val="fr-FR"/>
        </w:rPr>
      </w:pPr>
      <w:r>
        <w:rPr>
          <w:lang w:val="fr-FR"/>
        </w:rPr>
        <w:t>5.2.2.1.13.1</w:t>
      </w:r>
      <w:r>
        <w:rPr>
          <w:lang w:val="fr-FR"/>
        </w:rPr>
        <w:tab/>
        <w:t>Dans la deuxième phrase, remplacer « </w:t>
      </w:r>
      <w:r w:rsidRPr="00CF6550">
        <w:rPr>
          <w:lang w:val="fr-FR"/>
        </w:rPr>
        <w:t>batteries au lithium ou au sodium ionique</w:t>
      </w:r>
      <w:r>
        <w:rPr>
          <w:lang w:val="fr-FR"/>
        </w:rPr>
        <w:t> » par « </w:t>
      </w:r>
      <w:r w:rsidRPr="00CF6550">
        <w:rPr>
          <w:lang w:val="fr-FR"/>
        </w:rPr>
        <w:t xml:space="preserve">batteries au lithium ou </w:t>
      </w:r>
      <w:r>
        <w:rPr>
          <w:lang w:val="fr-FR"/>
        </w:rPr>
        <w:t xml:space="preserve">batteries </w:t>
      </w:r>
      <w:r w:rsidRPr="00CF6550">
        <w:rPr>
          <w:lang w:val="fr-FR"/>
        </w:rPr>
        <w:t>au sodium ionique</w:t>
      </w:r>
      <w:r>
        <w:rPr>
          <w:lang w:val="fr-FR"/>
        </w:rPr>
        <w:t> » et remplacer « </w:t>
      </w:r>
      <w:r w:rsidRPr="00493770">
        <w:rPr>
          <w:lang w:val="fr-FR"/>
        </w:rPr>
        <w:t>la marque pour les piles au lithium ou au sodium ionique</w:t>
      </w:r>
      <w:r>
        <w:rPr>
          <w:lang w:val="fr-FR"/>
        </w:rPr>
        <w:t> » par « </w:t>
      </w:r>
      <w:r w:rsidRPr="00493770">
        <w:rPr>
          <w:lang w:val="fr-FR"/>
        </w:rPr>
        <w:t xml:space="preserve">la marque pour les </w:t>
      </w:r>
      <w:r>
        <w:rPr>
          <w:lang w:val="fr-FR"/>
        </w:rPr>
        <w:t xml:space="preserve">batteries </w:t>
      </w:r>
      <w:r w:rsidRPr="00493770">
        <w:rPr>
          <w:lang w:val="fr-FR"/>
        </w:rPr>
        <w:t xml:space="preserve">au lithium ou </w:t>
      </w:r>
      <w:r>
        <w:rPr>
          <w:lang w:val="fr-FR"/>
        </w:rPr>
        <w:t xml:space="preserve">batteries </w:t>
      </w:r>
      <w:r w:rsidRPr="00493770">
        <w:rPr>
          <w:lang w:val="fr-FR"/>
        </w:rPr>
        <w:t>au sodium ionique</w:t>
      </w:r>
      <w:r>
        <w:rPr>
          <w:lang w:val="fr-FR"/>
        </w:rPr>
        <w:t> ». Dans la troisième phrase, remplacer « </w:t>
      </w:r>
      <w:r w:rsidRPr="00CF6550">
        <w:rPr>
          <w:lang w:val="fr-FR"/>
        </w:rPr>
        <w:t>batteries au lithium ou au sodium ionique</w:t>
      </w:r>
      <w:r>
        <w:rPr>
          <w:lang w:val="fr-FR"/>
        </w:rPr>
        <w:t> » par « </w:t>
      </w:r>
      <w:r w:rsidRPr="00CF6550">
        <w:rPr>
          <w:lang w:val="fr-FR"/>
        </w:rPr>
        <w:t xml:space="preserve">batteries au lithium ou </w:t>
      </w:r>
      <w:r>
        <w:rPr>
          <w:lang w:val="fr-FR"/>
        </w:rPr>
        <w:t xml:space="preserve">batteries </w:t>
      </w:r>
      <w:r w:rsidRPr="00CF6550">
        <w:rPr>
          <w:lang w:val="fr-FR"/>
        </w:rPr>
        <w:t>au sodium ionique</w:t>
      </w:r>
      <w:r>
        <w:rPr>
          <w:lang w:val="fr-FR"/>
        </w:rPr>
        <w:t> ».</w:t>
      </w:r>
    </w:p>
    <w:p w14:paraId="3EA073C8"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2C868A5C" w14:textId="77777777" w:rsidR="00B25367" w:rsidRPr="00304358" w:rsidRDefault="00B25367" w:rsidP="00B2536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 xml:space="preserve">Chapitre </w:t>
      </w:r>
      <w:r>
        <w:rPr>
          <w:rFonts w:eastAsiaTheme="minorHAnsi"/>
          <w:b/>
          <w:sz w:val="24"/>
          <w:lang w:val="fr-FR" w:eastAsia="en-US"/>
        </w:rPr>
        <w:t>5.5</w:t>
      </w:r>
    </w:p>
    <w:p w14:paraId="4076C8EF" w14:textId="77777777" w:rsidR="00B25367" w:rsidRDefault="00B25367" w:rsidP="00B25367">
      <w:pPr>
        <w:pStyle w:val="SingleTxtG"/>
        <w:tabs>
          <w:tab w:val="clear" w:pos="1701"/>
          <w:tab w:val="clear" w:pos="2268"/>
          <w:tab w:val="clear" w:pos="2835"/>
          <w:tab w:val="left" w:pos="1985"/>
        </w:tabs>
        <w:ind w:left="1985" w:hanging="851"/>
        <w:rPr>
          <w:lang w:val="fr-FR"/>
        </w:rPr>
      </w:pPr>
      <w:r>
        <w:rPr>
          <w:lang w:val="fr-FR"/>
        </w:rPr>
        <w:t xml:space="preserve">5.5.4 </w:t>
      </w:r>
      <w:r>
        <w:rPr>
          <w:lang w:val="fr-FR"/>
        </w:rPr>
        <w:tab/>
        <w:t>Dans le titre, remplacer « </w:t>
      </w:r>
      <w:r w:rsidRPr="00F643EC">
        <w:rPr>
          <w:lang w:val="fr-FR"/>
        </w:rPr>
        <w:t>Marchandises dangereuses dans les équipements</w:t>
      </w:r>
      <w:r>
        <w:rPr>
          <w:lang w:val="fr-FR"/>
        </w:rPr>
        <w:t> » par « </w:t>
      </w:r>
      <w:r w:rsidRPr="00F643EC">
        <w:rPr>
          <w:lang w:val="fr-FR"/>
        </w:rPr>
        <w:t>Dispositifs contenant des marchandises dangereuses</w:t>
      </w:r>
      <w:r>
        <w:rPr>
          <w:lang w:val="fr-FR"/>
        </w:rPr>
        <w:t> ».</w:t>
      </w:r>
    </w:p>
    <w:p w14:paraId="280746AD"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ST/SG/AC.10/C.3/202</w:t>
      </w:r>
      <w:r>
        <w:rPr>
          <w:i/>
          <w:iCs/>
          <w:lang w:val="fr-FR" w:eastAsia="en-US"/>
        </w:rPr>
        <w:t>3</w:t>
      </w:r>
      <w:r w:rsidRPr="003338FD">
        <w:rPr>
          <w:i/>
          <w:iCs/>
          <w:lang w:val="fr-FR" w:eastAsia="en-US"/>
        </w:rPr>
        <w:t>/</w:t>
      </w:r>
      <w:r>
        <w:rPr>
          <w:i/>
          <w:iCs/>
          <w:lang w:val="fr-FR" w:eastAsia="en-US"/>
        </w:rPr>
        <w:t>14</w:t>
      </w:r>
      <w:r w:rsidRPr="003338FD">
        <w:rPr>
          <w:i/>
          <w:iCs/>
          <w:lang w:val="fr-FR" w:eastAsia="en-US"/>
        </w:rPr>
        <w:t>)</w:t>
      </w:r>
    </w:p>
    <w:p w14:paraId="3A2F2A1F" w14:textId="77777777" w:rsidR="00B25367" w:rsidRDefault="00B25367" w:rsidP="00B25367">
      <w:pPr>
        <w:pStyle w:val="SingleTxtG"/>
        <w:tabs>
          <w:tab w:val="clear" w:pos="1701"/>
          <w:tab w:val="clear" w:pos="2268"/>
          <w:tab w:val="clear" w:pos="2835"/>
          <w:tab w:val="left" w:pos="1985"/>
        </w:tabs>
        <w:ind w:left="1985" w:hanging="851"/>
        <w:rPr>
          <w:lang w:val="fr-FR"/>
        </w:rPr>
      </w:pPr>
      <w:r>
        <w:rPr>
          <w:lang w:val="fr-FR"/>
        </w:rPr>
        <w:t>5.5.4.1</w:t>
      </w:r>
      <w:r>
        <w:rPr>
          <w:lang w:val="fr-FR"/>
        </w:rPr>
        <w:tab/>
        <w:t>Au début, remplacer « </w:t>
      </w:r>
      <w:r w:rsidRPr="00F643EC">
        <w:rPr>
          <w:lang w:val="fr-FR"/>
        </w:rPr>
        <w:t>Les marchandises dangereuses (par exemple les piles au lithium, cartouches pour pile à combustible) contenues dans des équipements</w:t>
      </w:r>
      <w:r>
        <w:rPr>
          <w:lang w:val="fr-FR"/>
        </w:rPr>
        <w:t> » par « </w:t>
      </w:r>
      <w:r w:rsidRPr="00F643EC">
        <w:rPr>
          <w:lang w:val="fr-FR"/>
        </w:rPr>
        <w:t>Les dispositifs utilisés ou destinés à être utilisés durant le transport contenant des marchandises dangereuses,</w:t>
      </w:r>
      <w:r>
        <w:rPr>
          <w:lang w:val="fr-FR"/>
        </w:rPr>
        <w:t> ». Après « les enregistreurs de données », ajouter « , les capteurs ». Remplacer « </w:t>
      </w:r>
      <w:r w:rsidRPr="00F643EC">
        <w:rPr>
          <w:lang w:val="fr-FR"/>
        </w:rPr>
        <w:t>ou des conteneurs ou compartiments de charge de véhicules</w:t>
      </w:r>
      <w:r>
        <w:rPr>
          <w:lang w:val="fr-FR"/>
        </w:rPr>
        <w:t xml:space="preserve"> » par « , </w:t>
      </w:r>
      <w:r w:rsidRPr="000A089F">
        <w:rPr>
          <w:lang w:val="fr-FR"/>
        </w:rPr>
        <w:t>des conteneurs pour vrac, des conteneurs pour le transport de marchandises ou d’autres types d’engin de transport »</w:t>
      </w:r>
      <w:r>
        <w:rPr>
          <w:lang w:val="fr-FR"/>
        </w:rPr>
        <w:t>.</w:t>
      </w:r>
    </w:p>
    <w:p w14:paraId="3E6FC7D8" w14:textId="77777777" w:rsidR="00B25367" w:rsidRDefault="00B25367" w:rsidP="00B25367">
      <w:pPr>
        <w:pStyle w:val="SingleTxtG"/>
        <w:tabs>
          <w:tab w:val="clear" w:pos="1701"/>
          <w:tab w:val="clear" w:pos="2268"/>
          <w:tab w:val="clear" w:pos="2835"/>
          <w:tab w:val="left" w:pos="1985"/>
        </w:tabs>
        <w:ind w:left="1985" w:hanging="851"/>
        <w:rPr>
          <w:lang w:val="fr-FR"/>
        </w:rPr>
      </w:pPr>
      <w:r>
        <w:rPr>
          <w:lang w:val="fr-FR"/>
        </w:rPr>
        <w:tab/>
        <w:t>À l’alinéa a), remplacer « L’équipement » par « Le dispositif ».</w:t>
      </w:r>
    </w:p>
    <w:p w14:paraId="6152887A" w14:textId="77777777" w:rsidR="00B25367" w:rsidRDefault="00B25367" w:rsidP="00B25367">
      <w:pPr>
        <w:pStyle w:val="SingleTxtG"/>
        <w:tabs>
          <w:tab w:val="clear" w:pos="1701"/>
          <w:tab w:val="clear" w:pos="2268"/>
          <w:tab w:val="clear" w:pos="2835"/>
          <w:tab w:val="left" w:pos="1985"/>
        </w:tabs>
        <w:ind w:left="1985" w:hanging="851"/>
        <w:rPr>
          <w:lang w:val="fr-FR"/>
        </w:rPr>
      </w:pPr>
      <w:r>
        <w:rPr>
          <w:lang w:val="fr-FR"/>
        </w:rPr>
        <w:tab/>
        <w:t>À l’alinéa c), au début, remplacer « L’équipement » par « Le dispositif » et, à la fin, ajouter « </w:t>
      </w:r>
      <w:r w:rsidRPr="008C241A">
        <w:rPr>
          <w:lang w:val="fr-FR"/>
        </w:rPr>
        <w:t>et doit être utilisé en toute sécurité dans les environnements dangereux auxquels il peut être exposé</w:t>
      </w:r>
      <w:r>
        <w:rPr>
          <w:lang w:val="fr-FR"/>
        </w:rPr>
        <w:t> ».</w:t>
      </w:r>
    </w:p>
    <w:p w14:paraId="364A9673"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ST/SG/AC.10/C.3/202</w:t>
      </w:r>
      <w:r>
        <w:rPr>
          <w:i/>
          <w:iCs/>
          <w:lang w:val="fr-FR" w:eastAsia="en-US"/>
        </w:rPr>
        <w:t>3</w:t>
      </w:r>
      <w:r w:rsidRPr="003338FD">
        <w:rPr>
          <w:i/>
          <w:iCs/>
          <w:lang w:val="fr-FR" w:eastAsia="en-US"/>
        </w:rPr>
        <w:t>/</w:t>
      </w:r>
      <w:r>
        <w:rPr>
          <w:i/>
          <w:iCs/>
          <w:lang w:val="fr-FR" w:eastAsia="en-US"/>
        </w:rPr>
        <w:t>14</w:t>
      </w:r>
      <w:r w:rsidRPr="003338FD">
        <w:rPr>
          <w:i/>
          <w:iCs/>
          <w:lang w:val="fr-FR" w:eastAsia="en-US"/>
        </w:rPr>
        <w:t xml:space="preserve">, </w:t>
      </w:r>
      <w:r>
        <w:rPr>
          <w:i/>
          <w:iCs/>
          <w:lang w:val="fr-FR" w:eastAsia="en-US"/>
        </w:rPr>
        <w:t>tel que modifié</w:t>
      </w:r>
      <w:r w:rsidRPr="003338FD">
        <w:rPr>
          <w:i/>
          <w:iCs/>
          <w:lang w:val="fr-FR" w:eastAsia="en-US"/>
        </w:rPr>
        <w:t>)</w:t>
      </w:r>
    </w:p>
    <w:p w14:paraId="667A835B" w14:textId="77777777" w:rsidR="00B25367" w:rsidRDefault="00B25367" w:rsidP="00B25367">
      <w:pPr>
        <w:pStyle w:val="SingleTxtG"/>
        <w:tabs>
          <w:tab w:val="clear" w:pos="1701"/>
          <w:tab w:val="clear" w:pos="2268"/>
          <w:tab w:val="clear" w:pos="2835"/>
          <w:tab w:val="left" w:pos="1985"/>
        </w:tabs>
        <w:ind w:left="1985" w:hanging="851"/>
        <w:rPr>
          <w:lang w:val="fr-FR"/>
        </w:rPr>
      </w:pPr>
      <w:r>
        <w:rPr>
          <w:lang w:val="fr-FR"/>
        </w:rPr>
        <w:t>5.5.4.2</w:t>
      </w:r>
      <w:r>
        <w:rPr>
          <w:lang w:val="fr-FR"/>
        </w:rPr>
        <w:tab/>
        <w:t>Remplacer « </w:t>
      </w:r>
      <w:r w:rsidRPr="0095153D">
        <w:rPr>
          <w:lang w:val="fr-FR"/>
        </w:rPr>
        <w:t>Lorsqu’un tel équipement</w:t>
      </w:r>
      <w:r>
        <w:rPr>
          <w:lang w:val="fr-FR"/>
        </w:rPr>
        <w:t> » par « </w:t>
      </w:r>
      <w:r w:rsidRPr="002D4F5E">
        <w:t xml:space="preserve">Lorsqu’un tel </w:t>
      </w:r>
      <w:r>
        <w:rPr>
          <w:lang w:val="fr-FR"/>
        </w:rPr>
        <w:t>dispositif ».</w:t>
      </w:r>
    </w:p>
    <w:p w14:paraId="050E2223"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ST/SG/AC.10/C.3/202</w:t>
      </w:r>
      <w:r>
        <w:rPr>
          <w:i/>
          <w:iCs/>
          <w:lang w:val="fr-FR" w:eastAsia="en-US"/>
        </w:rPr>
        <w:t>3</w:t>
      </w:r>
      <w:r w:rsidRPr="003338FD">
        <w:rPr>
          <w:i/>
          <w:iCs/>
          <w:lang w:val="fr-FR" w:eastAsia="en-US"/>
        </w:rPr>
        <w:t>/</w:t>
      </w:r>
      <w:r>
        <w:rPr>
          <w:i/>
          <w:iCs/>
          <w:lang w:val="fr-FR" w:eastAsia="en-US"/>
        </w:rPr>
        <w:t>14</w:t>
      </w:r>
      <w:r w:rsidRPr="003338FD">
        <w:rPr>
          <w:i/>
          <w:iCs/>
          <w:lang w:val="fr-FR" w:eastAsia="en-US"/>
        </w:rPr>
        <w:t>)</w:t>
      </w:r>
    </w:p>
    <w:p w14:paraId="0A4057A9" w14:textId="77777777" w:rsidR="00B25367" w:rsidRPr="00304358" w:rsidRDefault="00B25367" w:rsidP="00B2536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 xml:space="preserve">Chapitre </w:t>
      </w:r>
      <w:r>
        <w:rPr>
          <w:rFonts w:eastAsiaTheme="minorHAnsi"/>
          <w:b/>
          <w:sz w:val="24"/>
          <w:lang w:val="fr-FR" w:eastAsia="en-US"/>
        </w:rPr>
        <w:t>6.4</w:t>
      </w:r>
    </w:p>
    <w:p w14:paraId="616F91AF" w14:textId="77777777" w:rsidR="00B25367" w:rsidRDefault="00B25367" w:rsidP="00B25367">
      <w:pPr>
        <w:pStyle w:val="SingleTxtG"/>
        <w:tabs>
          <w:tab w:val="clear" w:pos="1701"/>
          <w:tab w:val="clear" w:pos="2268"/>
          <w:tab w:val="clear" w:pos="2835"/>
          <w:tab w:val="left" w:pos="1985"/>
        </w:tabs>
        <w:ind w:left="1985" w:hanging="851"/>
        <w:rPr>
          <w:lang w:val="fr-FR"/>
        </w:rPr>
      </w:pPr>
      <w:r>
        <w:rPr>
          <w:lang w:val="fr-FR"/>
        </w:rPr>
        <w:t>6.4.11.2 d)</w:t>
      </w:r>
      <w:r>
        <w:rPr>
          <w:lang w:val="fr-FR"/>
        </w:rPr>
        <w:tab/>
        <w:t>Remplacer « du poids » par « </w:t>
      </w:r>
      <w:r>
        <w:t>de la masse</w:t>
      </w:r>
      <w:r>
        <w:rPr>
          <w:lang w:val="fr-FR"/>
        </w:rPr>
        <w:t> ».</w:t>
      </w:r>
    </w:p>
    <w:p w14:paraId="1034D59F"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ST/SG/AC.10/C.3/202</w:t>
      </w:r>
      <w:r>
        <w:rPr>
          <w:i/>
          <w:iCs/>
          <w:lang w:val="fr-FR" w:eastAsia="en-US"/>
        </w:rPr>
        <w:t>3</w:t>
      </w:r>
      <w:r w:rsidRPr="003338FD">
        <w:rPr>
          <w:i/>
          <w:iCs/>
          <w:lang w:val="fr-FR" w:eastAsia="en-US"/>
        </w:rPr>
        <w:t>/</w:t>
      </w:r>
      <w:r>
        <w:rPr>
          <w:i/>
          <w:iCs/>
          <w:lang w:val="fr-FR" w:eastAsia="en-US"/>
        </w:rPr>
        <w:t>3</w:t>
      </w:r>
      <w:r w:rsidRPr="003338FD">
        <w:rPr>
          <w:i/>
          <w:iCs/>
          <w:lang w:val="fr-FR" w:eastAsia="en-US"/>
        </w:rPr>
        <w:t>)</w:t>
      </w:r>
    </w:p>
    <w:p w14:paraId="55F3EF94" w14:textId="77777777" w:rsidR="00B25367" w:rsidRPr="00304358" w:rsidRDefault="00B25367" w:rsidP="00B2536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 xml:space="preserve">Chapitre </w:t>
      </w:r>
      <w:r>
        <w:rPr>
          <w:rFonts w:eastAsiaTheme="minorHAnsi"/>
          <w:b/>
          <w:sz w:val="24"/>
          <w:lang w:val="fr-FR" w:eastAsia="en-US"/>
        </w:rPr>
        <w:t>6.9</w:t>
      </w:r>
    </w:p>
    <w:p w14:paraId="0A3AF129" w14:textId="77777777" w:rsidR="00B25367" w:rsidRDefault="00B25367" w:rsidP="00B25367">
      <w:pPr>
        <w:pStyle w:val="SingleTxtG"/>
        <w:rPr>
          <w:lang w:val="fr-FR" w:eastAsia="en-US"/>
        </w:rPr>
      </w:pPr>
      <w:r>
        <w:rPr>
          <w:lang w:val="fr-FR" w:eastAsia="en-US"/>
        </w:rPr>
        <w:t>[6.9.2.1</w:t>
      </w:r>
      <w:r>
        <w:rPr>
          <w:lang w:val="fr-FR" w:eastAsia="en-US"/>
        </w:rPr>
        <w:tab/>
      </w:r>
      <w:r>
        <w:rPr>
          <w:lang w:val="fr-FR" w:eastAsia="en-US"/>
        </w:rPr>
        <w:tab/>
        <w:t xml:space="preserve">Modifier la définition de </w:t>
      </w:r>
      <w:r w:rsidRPr="00967C43">
        <w:rPr>
          <w:i/>
          <w:iCs/>
          <w:lang w:val="fr-FR" w:eastAsia="en-US"/>
        </w:rPr>
        <w:t>Réservoir en PRF</w:t>
      </w:r>
      <w:r>
        <w:rPr>
          <w:lang w:val="fr-FR" w:eastAsia="en-US"/>
        </w:rPr>
        <w:t xml:space="preserve"> pour lire comme suit :</w:t>
      </w:r>
    </w:p>
    <w:p w14:paraId="1242770E" w14:textId="77777777" w:rsidR="00B25367" w:rsidRDefault="00B25367" w:rsidP="00B25367">
      <w:pPr>
        <w:pStyle w:val="SingleTxtG"/>
        <w:tabs>
          <w:tab w:val="clear" w:pos="1701"/>
        </w:tabs>
        <w:rPr>
          <w:lang w:val="fr-FR" w:eastAsia="en-US"/>
        </w:rPr>
      </w:pPr>
      <w:r>
        <w:rPr>
          <w:lang w:val="fr-FR" w:eastAsia="en-US"/>
        </w:rPr>
        <w:t>« </w:t>
      </w:r>
      <w:r w:rsidRPr="00967C43">
        <w:rPr>
          <w:i/>
          <w:iCs/>
          <w:lang w:val="fr-FR" w:eastAsia="en-US"/>
        </w:rPr>
        <w:t>Réservoir en PRF</w:t>
      </w:r>
      <w:r w:rsidRPr="00967C43">
        <w:rPr>
          <w:lang w:val="fr-FR" w:eastAsia="en-US"/>
        </w:rPr>
        <w:t xml:space="preserve">, la partie de la citerne mobile </w:t>
      </w:r>
      <w:r>
        <w:rPr>
          <w:lang w:val="fr-FR" w:eastAsia="en-US"/>
        </w:rPr>
        <w:t>construite</w:t>
      </w:r>
      <w:r w:rsidRPr="00967C43">
        <w:rPr>
          <w:lang w:val="fr-FR" w:eastAsia="en-US"/>
        </w:rPr>
        <w:t xml:space="preserve"> à partir de PRF, qui contient la matière à transporter (la citerne proprement dite), y compris les ouvertures et leurs moyens d’obturation, mais à l’exclusion de l’équipement de service et de l’équipement de structure extérieur; ».  Les ouvertures et leurs moyens d’obturation peuvent être fabriqués à partir de matériaux métalliques ou de PRF</w:t>
      </w:r>
      <w:r>
        <w:rPr>
          <w:lang w:val="fr-FR" w:eastAsia="en-US"/>
        </w:rPr>
        <w:t> ; »</w:t>
      </w:r>
    </w:p>
    <w:p w14:paraId="1ADE20AA" w14:textId="77777777" w:rsidR="00B25367" w:rsidRDefault="00B25367" w:rsidP="00B25367">
      <w:pPr>
        <w:pStyle w:val="SingleTxtG"/>
        <w:tabs>
          <w:tab w:val="clear" w:pos="1701"/>
        </w:tabs>
        <w:rPr>
          <w:lang w:val="fr-FR" w:eastAsia="en-US"/>
        </w:rPr>
      </w:pPr>
      <w:r>
        <w:rPr>
          <w:lang w:val="fr-FR" w:eastAsia="en-US"/>
        </w:rPr>
        <w:tab/>
        <w:t xml:space="preserve">Remplacer la définition de </w:t>
      </w:r>
      <w:r w:rsidRPr="001D0E3F">
        <w:rPr>
          <w:rFonts w:eastAsia="Calibri"/>
          <w:i/>
          <w:iCs/>
          <w:lang w:eastAsia="en-US"/>
        </w:rPr>
        <w:t>Citerne en PRF</w:t>
      </w:r>
      <w:r>
        <w:rPr>
          <w:lang w:val="fr-FR" w:eastAsia="en-US"/>
        </w:rPr>
        <w:t xml:space="preserve"> par la définition suivante :</w:t>
      </w:r>
    </w:p>
    <w:p w14:paraId="5697E5A9" w14:textId="77777777" w:rsidR="00B25367" w:rsidRPr="00AE73BE" w:rsidRDefault="00B25367" w:rsidP="00B25367">
      <w:pPr>
        <w:pStyle w:val="SingleTxtG"/>
        <w:tabs>
          <w:tab w:val="clear" w:pos="1701"/>
        </w:tabs>
        <w:rPr>
          <w:lang w:val="fr-FR" w:eastAsia="en-US"/>
        </w:rPr>
      </w:pPr>
      <w:r>
        <w:rPr>
          <w:lang w:val="fr-FR" w:eastAsia="en-US"/>
        </w:rPr>
        <w:t>« </w:t>
      </w:r>
      <w:r w:rsidRPr="001D0E3F">
        <w:rPr>
          <w:rFonts w:eastAsia="Calibri"/>
          <w:i/>
          <w:iCs/>
          <w:lang w:eastAsia="en-US"/>
        </w:rPr>
        <w:t xml:space="preserve">Citerne </w:t>
      </w:r>
      <w:r>
        <w:rPr>
          <w:rFonts w:eastAsia="Calibri"/>
          <w:i/>
          <w:iCs/>
          <w:lang w:eastAsia="en-US"/>
        </w:rPr>
        <w:t xml:space="preserve">mobile </w:t>
      </w:r>
      <w:r w:rsidRPr="001D0E3F">
        <w:rPr>
          <w:rFonts w:eastAsia="Calibri"/>
          <w:i/>
          <w:iCs/>
          <w:lang w:eastAsia="en-US"/>
        </w:rPr>
        <w:t>en PRF</w:t>
      </w:r>
      <w:r>
        <w:rPr>
          <w:rFonts w:eastAsia="Calibri"/>
          <w:lang w:eastAsia="en-US"/>
        </w:rPr>
        <w:t xml:space="preserve">, </w:t>
      </w:r>
      <w:r w:rsidRPr="00AE73BE">
        <w:rPr>
          <w:rFonts w:eastAsia="Calibri"/>
          <w:lang w:eastAsia="en-US"/>
        </w:rPr>
        <w:t>une citerne mobile construite avec un réservoir en PRF</w:t>
      </w:r>
      <w:r>
        <w:rPr>
          <w:rFonts w:eastAsia="Calibri"/>
          <w:lang w:eastAsia="en-US"/>
        </w:rPr>
        <w:t> ; »]</w:t>
      </w:r>
    </w:p>
    <w:p w14:paraId="1C525E50"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 xml:space="preserve">document informel INF.43, </w:t>
      </w:r>
      <w:r w:rsidRPr="003338FD">
        <w:rPr>
          <w:i/>
          <w:iCs/>
          <w:lang w:val="fr-FR" w:eastAsia="en-US"/>
        </w:rPr>
        <w:t>avec une modification rédactionnelle)</w:t>
      </w:r>
    </w:p>
    <w:p w14:paraId="1EF8D557" w14:textId="77777777" w:rsidR="00B25367" w:rsidRDefault="00B25367" w:rsidP="00B25367">
      <w:pPr>
        <w:pStyle w:val="SingleTxtG"/>
        <w:rPr>
          <w:lang w:val="fr-FR" w:eastAsia="en-US"/>
        </w:rPr>
      </w:pPr>
      <w:r>
        <w:rPr>
          <w:lang w:val="en-GB"/>
        </w:rPr>
        <w:t>[</w:t>
      </w:r>
      <w:r w:rsidRPr="00CC3055">
        <w:rPr>
          <w:lang w:val="en-GB"/>
        </w:rPr>
        <w:t>6.9.2.2.3.14.1</w:t>
      </w:r>
      <w:r>
        <w:rPr>
          <w:lang w:val="en-GB"/>
        </w:rPr>
        <w:tab/>
      </w:r>
      <w:r>
        <w:rPr>
          <w:lang w:val="fr-FR" w:eastAsia="en-US"/>
        </w:rPr>
        <w:tab/>
        <w:t>Remplacer « citernes en PRF » par « citernes mobiles en PRF ».]</w:t>
      </w:r>
    </w:p>
    <w:p w14:paraId="4B1D3FE0"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INF.43</w:t>
      </w:r>
      <w:r w:rsidRPr="003338FD">
        <w:rPr>
          <w:i/>
          <w:iCs/>
          <w:lang w:val="fr-FR" w:eastAsia="en-US"/>
        </w:rPr>
        <w:t>)</w:t>
      </w:r>
    </w:p>
    <w:p w14:paraId="3C2842FA" w14:textId="77777777" w:rsidR="00B25367" w:rsidRPr="00F5471E" w:rsidRDefault="00B25367" w:rsidP="00B25367">
      <w:pPr>
        <w:pStyle w:val="SingleTxtG"/>
        <w:ind w:left="2268" w:hanging="1134"/>
        <w:rPr>
          <w:lang w:val="fr-FR"/>
        </w:rPr>
      </w:pPr>
      <w:r w:rsidRPr="00F5471E">
        <w:rPr>
          <w:lang w:val="fr-FR"/>
        </w:rPr>
        <w:t xml:space="preserve">6.9.2.2.3.16.2 </w:t>
      </w:r>
      <w:r w:rsidRPr="00F5471E">
        <w:rPr>
          <w:lang w:val="fr-FR"/>
        </w:rPr>
        <w:tab/>
      </w:r>
      <w:r>
        <w:rPr>
          <w:lang w:val="fr-FR"/>
        </w:rPr>
        <w:t>Dans la première phrase, r</w:t>
      </w:r>
      <w:r w:rsidRPr="00F5471E">
        <w:rPr>
          <w:lang w:val="fr-FR"/>
        </w:rPr>
        <w:t xml:space="preserve">emplacer </w:t>
      </w:r>
      <w:r>
        <w:rPr>
          <w:lang w:val="fr-FR"/>
        </w:rPr>
        <w:t>« Le poids » par « La masse » et remplacer « </w:t>
      </w:r>
      <w:r w:rsidRPr="006422A1">
        <w:rPr>
          <w:lang w:val="fr-FR"/>
        </w:rPr>
        <w:t>à celui indiqué</w:t>
      </w:r>
      <w:r>
        <w:rPr>
          <w:lang w:val="fr-FR"/>
        </w:rPr>
        <w:t> » par « </w:t>
      </w:r>
      <w:r w:rsidRPr="006422A1">
        <w:rPr>
          <w:lang w:val="fr-FR"/>
        </w:rPr>
        <w:t>à cel</w:t>
      </w:r>
      <w:r>
        <w:rPr>
          <w:lang w:val="fr-FR"/>
        </w:rPr>
        <w:t>le</w:t>
      </w:r>
      <w:r w:rsidRPr="006422A1">
        <w:rPr>
          <w:lang w:val="fr-FR"/>
        </w:rPr>
        <w:t xml:space="preserve"> indiqué</w:t>
      </w:r>
      <w:r>
        <w:rPr>
          <w:lang w:val="fr-FR"/>
        </w:rPr>
        <w:t>e ».</w:t>
      </w:r>
    </w:p>
    <w:p w14:paraId="6F9E390C" w14:textId="77777777" w:rsidR="00B25367" w:rsidRPr="003338FD" w:rsidRDefault="00B25367" w:rsidP="00B25367">
      <w:pPr>
        <w:spacing w:after="120"/>
        <w:ind w:left="1134" w:right="1134"/>
        <w:jc w:val="both"/>
        <w:rPr>
          <w:i/>
          <w:iCs/>
          <w:lang w:val="fr-FR" w:eastAsia="en-US"/>
        </w:rPr>
      </w:pPr>
      <w:r w:rsidRPr="003338FD">
        <w:rPr>
          <w:i/>
          <w:iCs/>
          <w:lang w:val="fr-FR" w:eastAsia="en-US"/>
        </w:rPr>
        <w:lastRenderedPageBreak/>
        <w:t>(Document de référence</w:t>
      </w:r>
      <w:r>
        <w:rPr>
          <w:i/>
          <w:iCs/>
          <w:lang w:val="fr-FR" w:eastAsia="en-US"/>
        </w:rPr>
        <w:t> </w:t>
      </w:r>
      <w:r w:rsidRPr="003338FD">
        <w:rPr>
          <w:i/>
          <w:iCs/>
          <w:lang w:val="fr-FR" w:eastAsia="en-US"/>
        </w:rPr>
        <w:t>: ST/SG/AC.10/C.3/202</w:t>
      </w:r>
      <w:r>
        <w:rPr>
          <w:i/>
          <w:iCs/>
          <w:lang w:val="fr-FR" w:eastAsia="en-US"/>
        </w:rPr>
        <w:t>3</w:t>
      </w:r>
      <w:r w:rsidRPr="003338FD">
        <w:rPr>
          <w:i/>
          <w:iCs/>
          <w:lang w:val="fr-FR" w:eastAsia="en-US"/>
        </w:rPr>
        <w:t>/</w:t>
      </w:r>
      <w:r>
        <w:rPr>
          <w:i/>
          <w:iCs/>
          <w:lang w:val="fr-FR" w:eastAsia="en-US"/>
        </w:rPr>
        <w:t>3</w:t>
      </w:r>
      <w:r w:rsidRPr="003338FD">
        <w:rPr>
          <w:i/>
          <w:iCs/>
          <w:lang w:val="fr-FR" w:eastAsia="en-US"/>
        </w:rPr>
        <w:t>)</w:t>
      </w:r>
    </w:p>
    <w:p w14:paraId="23FF8576" w14:textId="77777777" w:rsidR="00B25367" w:rsidRDefault="00B25367" w:rsidP="00B25367">
      <w:pPr>
        <w:pStyle w:val="SingleTxtG"/>
        <w:tabs>
          <w:tab w:val="clear" w:pos="1701"/>
          <w:tab w:val="clear" w:pos="2268"/>
        </w:tabs>
        <w:ind w:left="2268" w:hanging="1134"/>
        <w:rPr>
          <w:lang w:val="fr-FR"/>
        </w:rPr>
      </w:pPr>
      <w:r w:rsidRPr="00CD2534">
        <w:rPr>
          <w:lang w:val="fr-FR"/>
        </w:rPr>
        <w:t>6.9.2.6.4.2</w:t>
      </w:r>
      <w:r w:rsidRPr="00CD2534">
        <w:rPr>
          <w:lang w:val="fr-FR"/>
        </w:rPr>
        <w:tab/>
        <w:t>Aux alinéas a) et b), remplacer « taux maximal de remplissage » par « degré</w:t>
      </w:r>
      <w:r>
        <w:rPr>
          <w:lang w:val="fr-FR"/>
        </w:rPr>
        <w:t xml:space="preserve"> </w:t>
      </w:r>
      <w:r w:rsidRPr="00CD2534">
        <w:rPr>
          <w:lang w:val="fr-FR"/>
        </w:rPr>
        <w:t>maximal de remplissage ».</w:t>
      </w:r>
    </w:p>
    <w:p w14:paraId="1CAFBC56" w14:textId="77777777" w:rsidR="00B25367" w:rsidRPr="003338FD"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INF.13</w:t>
      </w:r>
      <w:r w:rsidRPr="003338FD">
        <w:rPr>
          <w:i/>
          <w:iCs/>
          <w:lang w:val="fr-FR" w:eastAsia="en-US"/>
        </w:rPr>
        <w:t>)</w:t>
      </w:r>
    </w:p>
    <w:p w14:paraId="1CD8F920" w14:textId="77777777" w:rsidR="00B25367" w:rsidRDefault="00B25367" w:rsidP="00B25367">
      <w:pPr>
        <w:pStyle w:val="SingleTxtG"/>
        <w:rPr>
          <w:lang w:val="fr-FR" w:eastAsia="en-US"/>
        </w:rPr>
      </w:pPr>
      <w:r>
        <w:rPr>
          <w:lang w:val="en-GB"/>
        </w:rPr>
        <w:t>[</w:t>
      </w:r>
      <w:r w:rsidRPr="00CC3055">
        <w:rPr>
          <w:lang w:val="en-GB"/>
        </w:rPr>
        <w:t>6.9.2.8.1</w:t>
      </w:r>
      <w:r>
        <w:rPr>
          <w:lang w:val="fr-FR" w:eastAsia="en-US"/>
        </w:rPr>
        <w:tab/>
        <w:t>Remplacer « citernes en PRF » par « citernes mobiles en PRF ».]</w:t>
      </w:r>
    </w:p>
    <w:p w14:paraId="4AD9F7D9" w14:textId="77777777" w:rsidR="00B25367" w:rsidRDefault="00B25367" w:rsidP="00B25367">
      <w:pPr>
        <w:spacing w:after="120"/>
        <w:ind w:left="1134" w:right="1134"/>
        <w:jc w:val="both"/>
        <w:rPr>
          <w:i/>
          <w:iCs/>
          <w:lang w:val="fr-FR" w:eastAsia="en-US"/>
        </w:rPr>
      </w:pPr>
      <w:r w:rsidRPr="003338FD">
        <w:rPr>
          <w:i/>
          <w:iCs/>
          <w:lang w:val="fr-FR" w:eastAsia="en-US"/>
        </w:rPr>
        <w:t>(Document de référence</w:t>
      </w:r>
      <w:r>
        <w:rPr>
          <w:i/>
          <w:iCs/>
          <w:lang w:val="fr-FR" w:eastAsia="en-US"/>
        </w:rPr>
        <w:t> </w:t>
      </w:r>
      <w:r w:rsidRPr="003338FD">
        <w:rPr>
          <w:i/>
          <w:iCs/>
          <w:lang w:val="fr-FR" w:eastAsia="en-US"/>
        </w:rPr>
        <w:t xml:space="preserve">: </w:t>
      </w:r>
      <w:r>
        <w:rPr>
          <w:i/>
          <w:iCs/>
          <w:lang w:val="fr-FR" w:eastAsia="en-US"/>
        </w:rPr>
        <w:t>document informel INF.43</w:t>
      </w:r>
      <w:r w:rsidRPr="003338FD">
        <w:rPr>
          <w:i/>
          <w:iCs/>
          <w:lang w:val="fr-FR" w:eastAsia="en-US"/>
        </w:rPr>
        <w:t>)</w:t>
      </w:r>
    </w:p>
    <w:p w14:paraId="270614A7" w14:textId="77777777" w:rsidR="00B25367" w:rsidRPr="003338FD" w:rsidRDefault="00B25367" w:rsidP="00B25367">
      <w:pPr>
        <w:pStyle w:val="H1G"/>
        <w:rPr>
          <w:lang w:val="fr-FR" w:eastAsia="en-US"/>
        </w:rPr>
      </w:pPr>
      <w:bookmarkStart w:id="1" w:name="_Hlk139544162"/>
      <w:r w:rsidRPr="003338FD">
        <w:rPr>
          <w:lang w:val="fr-FR" w:eastAsia="en-US"/>
        </w:rPr>
        <w:tab/>
      </w:r>
      <w:r w:rsidRPr="003338FD">
        <w:rPr>
          <w:lang w:val="fr-FR" w:eastAsia="en-US"/>
        </w:rPr>
        <w:tab/>
      </w:r>
      <w:r>
        <w:rPr>
          <w:lang w:val="fr-FR"/>
        </w:rPr>
        <w:t>Les amendements à la version espagnole</w:t>
      </w:r>
      <w:r>
        <w:rPr>
          <w:lang w:val="fr-FR" w:eastAsia="en-US"/>
        </w:rPr>
        <w:t xml:space="preserve"> dans les d</w:t>
      </w:r>
      <w:r w:rsidRPr="003338FD">
        <w:rPr>
          <w:lang w:val="fr-FR" w:eastAsia="en-US"/>
        </w:rPr>
        <w:t>ocument</w:t>
      </w:r>
      <w:r>
        <w:rPr>
          <w:lang w:val="fr-FR" w:eastAsia="en-US"/>
        </w:rPr>
        <w:t>s</w:t>
      </w:r>
      <w:r w:rsidRPr="003338FD">
        <w:rPr>
          <w:lang w:val="fr-FR" w:eastAsia="en-US"/>
        </w:rPr>
        <w:t xml:space="preserve"> ST/SG/AC.10/C.3/202</w:t>
      </w:r>
      <w:r>
        <w:rPr>
          <w:lang w:val="fr-FR" w:eastAsia="en-US"/>
        </w:rPr>
        <w:t>3</w:t>
      </w:r>
      <w:r w:rsidRPr="003338FD">
        <w:rPr>
          <w:lang w:val="fr-FR" w:eastAsia="en-US"/>
        </w:rPr>
        <w:t>/</w:t>
      </w:r>
      <w:r>
        <w:rPr>
          <w:lang w:val="fr-FR" w:eastAsia="en-US"/>
        </w:rPr>
        <w:t>3 et</w:t>
      </w:r>
      <w:r w:rsidRPr="003338FD">
        <w:rPr>
          <w:lang w:val="fr-FR" w:eastAsia="en-US"/>
        </w:rPr>
        <w:t xml:space="preserve"> ST/SG/AC.10/C.3/202</w:t>
      </w:r>
      <w:r>
        <w:rPr>
          <w:lang w:val="fr-FR" w:eastAsia="en-US"/>
        </w:rPr>
        <w:t>3</w:t>
      </w:r>
      <w:r w:rsidRPr="003338FD">
        <w:rPr>
          <w:lang w:val="fr-FR" w:eastAsia="en-US"/>
        </w:rPr>
        <w:t>/</w:t>
      </w:r>
      <w:r>
        <w:rPr>
          <w:lang w:val="fr-FR" w:eastAsia="en-US"/>
        </w:rPr>
        <w:t>4 et dans le document informel INF.7</w:t>
      </w:r>
      <w:r w:rsidRPr="003338FD">
        <w:rPr>
          <w:lang w:val="fr-FR" w:eastAsia="en-US"/>
        </w:rPr>
        <w:t xml:space="preserve">, </w:t>
      </w:r>
      <w:r>
        <w:rPr>
          <w:lang w:val="fr-FR" w:eastAsia="en-US"/>
        </w:rPr>
        <w:t xml:space="preserve">ont été </w:t>
      </w:r>
      <w:r w:rsidRPr="003338FD">
        <w:rPr>
          <w:lang w:val="fr-FR" w:eastAsia="en-US"/>
        </w:rPr>
        <w:t>adopté</w:t>
      </w:r>
      <w:r>
        <w:rPr>
          <w:lang w:val="fr-FR" w:eastAsia="en-US"/>
        </w:rPr>
        <w:t>s.</w:t>
      </w:r>
    </w:p>
    <w:bookmarkEnd w:id="1"/>
    <w:p w14:paraId="3327906B" w14:textId="77777777" w:rsidR="00BF1AE3" w:rsidRDefault="00B25367" w:rsidP="00B25367">
      <w:pPr>
        <w:pStyle w:val="HChG"/>
        <w:rPr>
          <w:lang w:val="fr-FR"/>
        </w:rPr>
      </w:pPr>
      <w:r w:rsidRPr="003338FD">
        <w:rPr>
          <w:lang w:val="fr-FR"/>
        </w:rPr>
        <w:tab/>
      </w:r>
    </w:p>
    <w:p w14:paraId="0AACA329" w14:textId="77777777" w:rsidR="00BF1AE3" w:rsidRDefault="00BF1AE3">
      <w:pPr>
        <w:rPr>
          <w:b/>
          <w:sz w:val="28"/>
          <w:lang w:val="fr-FR"/>
        </w:rPr>
      </w:pPr>
      <w:r>
        <w:rPr>
          <w:lang w:val="fr-FR"/>
        </w:rPr>
        <w:br w:type="page"/>
      </w:r>
    </w:p>
    <w:p w14:paraId="2F5315D3" w14:textId="1BFC03FC" w:rsidR="00B25367" w:rsidRPr="00402A63" w:rsidRDefault="00BF1AE3" w:rsidP="00B25367">
      <w:pPr>
        <w:pStyle w:val="HChG"/>
        <w:rPr>
          <w:lang w:val="fr-FR"/>
        </w:rPr>
      </w:pPr>
      <w:r>
        <w:rPr>
          <w:lang w:val="fr-FR"/>
        </w:rPr>
        <w:lastRenderedPageBreak/>
        <w:tab/>
      </w:r>
      <w:r w:rsidR="00B25367" w:rsidRPr="00402A63">
        <w:rPr>
          <w:lang w:val="fr-FR"/>
        </w:rPr>
        <w:t>II.</w:t>
      </w:r>
      <w:r w:rsidR="00B25367" w:rsidRPr="00402A63">
        <w:rPr>
          <w:lang w:val="fr-FR"/>
        </w:rPr>
        <w:tab/>
        <w:t xml:space="preserve">Projet d’amendements à la huitième édition révisée du Manuel d’épreuves et de critères (ST/SG/AC.10/11/Rev.8) </w:t>
      </w:r>
    </w:p>
    <w:p w14:paraId="2178FA40" w14:textId="77777777" w:rsidR="00B25367" w:rsidRPr="00304358" w:rsidRDefault="00B25367" w:rsidP="00B2536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r>
      <w:r>
        <w:rPr>
          <w:rFonts w:eastAsiaTheme="minorHAnsi"/>
          <w:b/>
          <w:sz w:val="24"/>
          <w:lang w:val="fr-FR" w:eastAsia="en-US"/>
        </w:rPr>
        <w:t>Section</w:t>
      </w:r>
      <w:r w:rsidRPr="00304358">
        <w:rPr>
          <w:rFonts w:eastAsiaTheme="minorHAnsi"/>
          <w:b/>
          <w:sz w:val="24"/>
          <w:lang w:val="fr-FR" w:eastAsia="en-US"/>
        </w:rPr>
        <w:t xml:space="preserve"> </w:t>
      </w:r>
      <w:r>
        <w:rPr>
          <w:rFonts w:eastAsiaTheme="minorHAnsi"/>
          <w:b/>
          <w:sz w:val="24"/>
          <w:lang w:val="fr-FR" w:eastAsia="en-US"/>
        </w:rPr>
        <w:t>51</w:t>
      </w:r>
    </w:p>
    <w:p w14:paraId="39251E60" w14:textId="77777777" w:rsidR="00B25367" w:rsidRPr="00FD7267" w:rsidRDefault="00B25367" w:rsidP="00B25367">
      <w:pPr>
        <w:pStyle w:val="SingleTxtG"/>
        <w:rPr>
          <w:lang w:val="fr-FR" w:eastAsia="en-US"/>
        </w:rPr>
      </w:pPr>
      <w:r w:rsidRPr="00FD7267">
        <w:rPr>
          <w:lang w:val="fr-FR" w:eastAsia="en-US"/>
        </w:rPr>
        <w:t>51.4.1.2 b)</w:t>
      </w:r>
      <w:r w:rsidRPr="00FD7267">
        <w:rPr>
          <w:lang w:val="fr-FR" w:eastAsia="en-US"/>
        </w:rPr>
        <w:tab/>
        <w:t>À la fin, supprimer « (Division 1.1) ».</w:t>
      </w:r>
    </w:p>
    <w:p w14:paraId="600B1A65" w14:textId="77777777" w:rsidR="00B25367" w:rsidRDefault="00B25367" w:rsidP="00B25367">
      <w:pPr>
        <w:spacing w:after="120"/>
        <w:ind w:left="1134" w:right="1134"/>
        <w:jc w:val="both"/>
        <w:rPr>
          <w:i/>
          <w:iCs/>
          <w:lang w:val="fr-FR" w:eastAsia="en-US"/>
        </w:rPr>
      </w:pPr>
      <w:r w:rsidRPr="00FD7267">
        <w:rPr>
          <w:i/>
          <w:iCs/>
          <w:lang w:val="fr-FR" w:eastAsia="en-US"/>
        </w:rPr>
        <w:t>(Document de référence : document informel INF.47, amendement 3)</w:t>
      </w:r>
    </w:p>
    <w:p w14:paraId="25008682" w14:textId="77777777" w:rsidR="00B25367" w:rsidRPr="006D60D8" w:rsidRDefault="00B25367" w:rsidP="00B25367">
      <w:pPr>
        <w:pStyle w:val="SingleTxtG"/>
        <w:rPr>
          <w:lang w:val="fr-FR" w:eastAsia="en-US"/>
        </w:rPr>
      </w:pPr>
      <w:r w:rsidRPr="006D60D8">
        <w:rPr>
          <w:lang w:val="fr-FR" w:eastAsia="en-US"/>
        </w:rPr>
        <w:t>[51.4.4.2</w:t>
      </w:r>
      <w:r>
        <w:rPr>
          <w:lang w:val="fr-FR" w:eastAsia="en-US"/>
        </w:rPr>
        <w:tab/>
      </w:r>
      <w:r w:rsidRPr="006D60D8">
        <w:rPr>
          <w:lang w:val="fr-FR" w:eastAsia="en-US"/>
        </w:rPr>
        <w:t xml:space="preserve">Modifier </w:t>
      </w:r>
      <w:r>
        <w:rPr>
          <w:lang w:val="fr-FR" w:eastAsia="en-US"/>
        </w:rPr>
        <w:t xml:space="preserve">l’alinéa e) </w:t>
      </w:r>
      <w:r w:rsidRPr="006D60D8">
        <w:rPr>
          <w:lang w:val="fr-FR" w:eastAsia="en-US"/>
        </w:rPr>
        <w:t>pour lire comme suit :</w:t>
      </w:r>
    </w:p>
    <w:p w14:paraId="2034FFB2" w14:textId="77777777" w:rsidR="00B25367" w:rsidRDefault="00B25367" w:rsidP="00B25367">
      <w:pPr>
        <w:pStyle w:val="SingleTxtG"/>
        <w:ind w:left="1701" w:hanging="567"/>
        <w:rPr>
          <w:szCs w:val="22"/>
        </w:rPr>
      </w:pPr>
      <w:r w:rsidRPr="006D60D8">
        <w:rPr>
          <w:iCs/>
          <w:szCs w:val="22"/>
        </w:rPr>
        <w:t>« e)</w:t>
      </w:r>
      <w:r w:rsidRPr="006D60D8">
        <w:rPr>
          <w:iCs/>
          <w:szCs w:val="22"/>
        </w:rPr>
        <w:tab/>
      </w:r>
      <w:proofErr w:type="spellStart"/>
      <w:r w:rsidRPr="006D60D8">
        <w:rPr>
          <w:i/>
          <w:szCs w:val="22"/>
        </w:rPr>
        <w:t>I</w:t>
      </w:r>
      <w:r w:rsidRPr="006D60D8">
        <w:rPr>
          <w:i/>
          <w:szCs w:val="22"/>
          <w:vertAlign w:val="subscript"/>
        </w:rPr>
        <w:t>pertinente</w:t>
      </w:r>
      <w:proofErr w:type="spellEnd"/>
      <w:r w:rsidRPr="006D60D8">
        <w:rPr>
          <w:szCs w:val="22"/>
        </w:rPr>
        <w:t xml:space="preserve"> est obtenu à partir de l’intensité </w:t>
      </w:r>
      <w:r>
        <w:rPr>
          <w:lang w:val="fr-FR"/>
        </w:rPr>
        <w:t xml:space="preserve">maximale </w:t>
      </w:r>
      <w:r w:rsidRPr="006D60D8">
        <w:rPr>
          <w:szCs w:val="22"/>
        </w:rPr>
        <w:t xml:space="preserve">de la courbe lissée et corrigée du rayonnement de chaleur mesuré. </w:t>
      </w:r>
      <w:proofErr w:type="spellStart"/>
      <w:r w:rsidRPr="006D60D8">
        <w:rPr>
          <w:i/>
          <w:szCs w:val="22"/>
        </w:rPr>
        <w:t>I</w:t>
      </w:r>
      <w:r w:rsidRPr="006D60D8">
        <w:rPr>
          <w:i/>
          <w:szCs w:val="22"/>
          <w:vertAlign w:val="subscript"/>
        </w:rPr>
        <w:t>calculée</w:t>
      </w:r>
      <w:proofErr w:type="spellEnd"/>
      <w:r w:rsidRPr="006D60D8">
        <w:rPr>
          <w:szCs w:val="22"/>
        </w:rPr>
        <w:t xml:space="preserve"> est la valeur moyenne du rayonnement obtenue en transformant la zone intégrée en un rectangle d’aire égale pendant le même temps de combustion total </w:t>
      </w:r>
      <w:r>
        <w:rPr>
          <w:szCs w:val="22"/>
        </w:rPr>
        <w:t>(v</w:t>
      </w:r>
      <w:r w:rsidRPr="006D60D8">
        <w:rPr>
          <w:szCs w:val="22"/>
        </w:rPr>
        <w:t>oir Figure 51.4.1</w:t>
      </w:r>
      <w:r>
        <w:rPr>
          <w:szCs w:val="22"/>
        </w:rPr>
        <w:t>)</w:t>
      </w:r>
      <w:r w:rsidRPr="006D60D8">
        <w:rPr>
          <w:szCs w:val="22"/>
        </w:rPr>
        <w:t> ; »]</w:t>
      </w:r>
    </w:p>
    <w:p w14:paraId="2C421AAB" w14:textId="77777777" w:rsidR="00B25367" w:rsidRDefault="00B25367" w:rsidP="00B25367">
      <w:pPr>
        <w:spacing w:after="120"/>
        <w:ind w:left="1134" w:right="1134"/>
        <w:jc w:val="both"/>
        <w:rPr>
          <w:i/>
          <w:iCs/>
          <w:lang w:val="fr-FR" w:eastAsia="en-US"/>
        </w:rPr>
      </w:pPr>
      <w:r w:rsidRPr="006D60D8">
        <w:rPr>
          <w:i/>
          <w:iCs/>
          <w:lang w:val="fr-FR" w:eastAsia="en-US"/>
        </w:rPr>
        <w:t>(Document de référence : document informel INF.47, amendement 1)</w:t>
      </w:r>
    </w:p>
    <w:p w14:paraId="03B06E32" w14:textId="7F05E523" w:rsidR="008D1004" w:rsidRDefault="00B25367" w:rsidP="00106AF9">
      <w:pPr>
        <w:pStyle w:val="H1G"/>
        <w:rPr>
          <w:lang w:val="fr-FR" w:eastAsia="en-US"/>
        </w:rPr>
      </w:pPr>
      <w:r w:rsidRPr="003338FD">
        <w:rPr>
          <w:lang w:val="fr-FR" w:eastAsia="en-US"/>
        </w:rPr>
        <w:tab/>
      </w:r>
      <w:r w:rsidRPr="003338FD">
        <w:rPr>
          <w:lang w:val="fr-FR" w:eastAsia="en-US"/>
        </w:rPr>
        <w:tab/>
      </w:r>
      <w:r>
        <w:rPr>
          <w:lang w:val="fr-FR" w:eastAsia="en-US"/>
        </w:rPr>
        <w:t>Le document informel INF.7</w:t>
      </w:r>
      <w:r w:rsidRPr="003338FD">
        <w:rPr>
          <w:lang w:val="fr-FR" w:eastAsia="en-US"/>
        </w:rPr>
        <w:t xml:space="preserve">, </w:t>
      </w:r>
      <w:r>
        <w:rPr>
          <w:lang w:val="fr-FR" w:eastAsia="en-US"/>
        </w:rPr>
        <w:t xml:space="preserve">contenant des amendements à la version espagnole, a été </w:t>
      </w:r>
      <w:r w:rsidRPr="003338FD">
        <w:rPr>
          <w:lang w:val="fr-FR" w:eastAsia="en-US"/>
        </w:rPr>
        <w:t>adopté</w:t>
      </w:r>
      <w:r>
        <w:rPr>
          <w:lang w:val="fr-FR" w:eastAsia="en-US"/>
        </w:rPr>
        <w:t>.</w:t>
      </w:r>
    </w:p>
    <w:p w14:paraId="0508FC9E" w14:textId="5A334A71" w:rsidR="00241E98" w:rsidRPr="00241E98" w:rsidRDefault="00241E98" w:rsidP="00241E98">
      <w:pPr>
        <w:spacing w:before="240"/>
        <w:jc w:val="center"/>
        <w:rPr>
          <w:u w:val="single"/>
        </w:rPr>
      </w:pPr>
      <w:r>
        <w:rPr>
          <w:u w:val="single"/>
        </w:rPr>
        <w:tab/>
      </w:r>
      <w:r>
        <w:rPr>
          <w:u w:val="single"/>
        </w:rPr>
        <w:tab/>
      </w:r>
      <w:r>
        <w:rPr>
          <w:u w:val="single"/>
        </w:rPr>
        <w:tab/>
      </w:r>
    </w:p>
    <w:sectPr w:rsidR="00241E98" w:rsidRPr="00241E98" w:rsidSect="00F21A9C">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2D38" w14:textId="77777777" w:rsidR="00D64BC8" w:rsidRDefault="00D64BC8" w:rsidP="00F95C08">
      <w:pPr>
        <w:spacing w:line="240" w:lineRule="auto"/>
      </w:pPr>
    </w:p>
  </w:endnote>
  <w:endnote w:type="continuationSeparator" w:id="0">
    <w:p w14:paraId="63F71D91" w14:textId="77777777" w:rsidR="00D64BC8" w:rsidRPr="00AC3823" w:rsidRDefault="00D64BC8" w:rsidP="00AC3823">
      <w:pPr>
        <w:pStyle w:val="Pieddepage"/>
      </w:pPr>
    </w:p>
  </w:endnote>
  <w:endnote w:type="continuationNotice" w:id="1">
    <w:p w14:paraId="2E4CE69F" w14:textId="77777777" w:rsidR="00D64BC8" w:rsidRDefault="00D64B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591D" w14:textId="77777777" w:rsidR="00F21A9C" w:rsidRPr="00F21A9C" w:rsidRDefault="00F21A9C" w:rsidP="00F21A9C">
    <w:pPr>
      <w:pStyle w:val="Pieddepage"/>
      <w:tabs>
        <w:tab w:val="right" w:pos="9638"/>
      </w:tabs>
      <w:rPr>
        <w:sz w:val="18"/>
      </w:rPr>
    </w:pPr>
    <w:r w:rsidRPr="00F21A9C">
      <w:rPr>
        <w:b/>
        <w:sz w:val="18"/>
      </w:rPr>
      <w:fldChar w:fldCharType="begin"/>
    </w:r>
    <w:r w:rsidRPr="00F21A9C">
      <w:rPr>
        <w:b/>
        <w:sz w:val="18"/>
      </w:rPr>
      <w:instrText xml:space="preserve"> PAGE  \* MERGEFORMAT </w:instrText>
    </w:r>
    <w:r w:rsidRPr="00F21A9C">
      <w:rPr>
        <w:b/>
        <w:sz w:val="18"/>
      </w:rPr>
      <w:fldChar w:fldCharType="separate"/>
    </w:r>
    <w:r w:rsidRPr="00F21A9C">
      <w:rPr>
        <w:b/>
        <w:noProof/>
        <w:sz w:val="18"/>
      </w:rPr>
      <w:t>2</w:t>
    </w:r>
    <w:r w:rsidRPr="00F21A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81C3" w14:textId="77777777" w:rsidR="00F21A9C" w:rsidRPr="00F21A9C" w:rsidRDefault="00F21A9C" w:rsidP="00F21A9C">
    <w:pPr>
      <w:pStyle w:val="Pieddepage"/>
      <w:tabs>
        <w:tab w:val="right" w:pos="9638"/>
      </w:tabs>
      <w:rPr>
        <w:b/>
        <w:sz w:val="18"/>
      </w:rPr>
    </w:pPr>
    <w:r>
      <w:tab/>
    </w:r>
    <w:r w:rsidRPr="00F21A9C">
      <w:rPr>
        <w:b/>
        <w:sz w:val="18"/>
      </w:rPr>
      <w:fldChar w:fldCharType="begin"/>
    </w:r>
    <w:r w:rsidRPr="00F21A9C">
      <w:rPr>
        <w:b/>
        <w:sz w:val="18"/>
      </w:rPr>
      <w:instrText xml:space="preserve"> PAGE  \* MERGEFORMAT </w:instrText>
    </w:r>
    <w:r w:rsidRPr="00F21A9C">
      <w:rPr>
        <w:b/>
        <w:sz w:val="18"/>
      </w:rPr>
      <w:fldChar w:fldCharType="separate"/>
    </w:r>
    <w:r w:rsidRPr="00F21A9C">
      <w:rPr>
        <w:b/>
        <w:noProof/>
        <w:sz w:val="18"/>
      </w:rPr>
      <w:t>3</w:t>
    </w:r>
    <w:r w:rsidRPr="00F21A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8FA9" w14:textId="19FD0CE5" w:rsidR="0068456F" w:rsidRPr="000401B0" w:rsidRDefault="000401B0" w:rsidP="000401B0">
    <w:pPr>
      <w:pStyle w:val="Pieddepage"/>
      <w:tabs>
        <w:tab w:val="left" w:pos="6520"/>
        <w:tab w:val="right" w:pos="9638"/>
      </w:tabs>
      <w:spacing w:before="120"/>
      <w:rPr>
        <w:sz w:val="20"/>
      </w:rPr>
    </w:pPr>
    <w:r>
      <w:rPr>
        <w:sz w:val="20"/>
      </w:rPr>
      <w:t>GE.23-14340  (F)</w:t>
    </w:r>
    <w:bookmarkStart w:id="2" w:name="_GoBack"/>
    <w:bookmarkEnd w:id="2"/>
    <w:r>
      <w:rPr>
        <w:sz w:val="20"/>
      </w:rPr>
      <w:tab/>
    </w:r>
    <w:r w:rsidRPr="000401B0">
      <w:rPr>
        <w:noProof/>
        <w:sz w:val="20"/>
        <w:lang w:eastAsia="fr-CH"/>
      </w:rPr>
      <w:drawing>
        <wp:inline distT="0" distB="0" distL="0" distR="0" wp14:anchorId="4BF52707" wp14:editId="16E703BF">
          <wp:extent cx="1105200" cy="234000"/>
          <wp:effectExtent l="0" t="0" r="0" b="0"/>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1CA1D9C" wp14:editId="0F1CE885">
          <wp:extent cx="636270" cy="6362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B8E8" w14:textId="77777777" w:rsidR="00D64BC8" w:rsidRPr="00AC3823" w:rsidRDefault="00D64BC8" w:rsidP="00AC3823">
      <w:pPr>
        <w:pStyle w:val="Pieddepage"/>
        <w:tabs>
          <w:tab w:val="right" w:pos="2155"/>
        </w:tabs>
        <w:spacing w:after="80" w:line="240" w:lineRule="atLeast"/>
        <w:ind w:left="680"/>
        <w:rPr>
          <w:u w:val="single"/>
        </w:rPr>
      </w:pPr>
      <w:r>
        <w:rPr>
          <w:u w:val="single"/>
        </w:rPr>
        <w:tab/>
      </w:r>
    </w:p>
  </w:footnote>
  <w:footnote w:type="continuationSeparator" w:id="0">
    <w:p w14:paraId="3461CB50" w14:textId="77777777" w:rsidR="00D64BC8" w:rsidRPr="00AC3823" w:rsidRDefault="00D64BC8" w:rsidP="00AC3823">
      <w:pPr>
        <w:pStyle w:val="Pieddepage"/>
        <w:tabs>
          <w:tab w:val="right" w:pos="2155"/>
        </w:tabs>
        <w:spacing w:after="80" w:line="240" w:lineRule="atLeast"/>
        <w:ind w:left="680"/>
        <w:rPr>
          <w:u w:val="single"/>
        </w:rPr>
      </w:pPr>
      <w:r>
        <w:rPr>
          <w:u w:val="single"/>
        </w:rPr>
        <w:tab/>
      </w:r>
    </w:p>
  </w:footnote>
  <w:footnote w:type="continuationNotice" w:id="1">
    <w:p w14:paraId="69A3C77A" w14:textId="77777777" w:rsidR="00D64BC8" w:rsidRPr="00AC3823" w:rsidRDefault="00D64BC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79B5" w14:textId="4B64244D" w:rsidR="00F21A9C" w:rsidRPr="00F21A9C" w:rsidRDefault="00403716">
    <w:pPr>
      <w:pStyle w:val="En-tte"/>
    </w:pPr>
    <w:r>
      <w:fldChar w:fldCharType="begin"/>
    </w:r>
    <w:r>
      <w:instrText xml:space="preserve"> TITLE  \* MERGEFORMAT </w:instrText>
    </w:r>
    <w:r>
      <w:fldChar w:fldCharType="separate"/>
    </w:r>
    <w:r>
      <w:t>ST/SG/AC.10/C.3/124/Add.1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7EF3" w14:textId="0C086E18" w:rsidR="00F21A9C" w:rsidRPr="00F21A9C" w:rsidRDefault="00403716" w:rsidP="00F21A9C">
    <w:pPr>
      <w:pStyle w:val="En-tte"/>
      <w:jc w:val="right"/>
    </w:pPr>
    <w:r>
      <w:fldChar w:fldCharType="begin"/>
    </w:r>
    <w:r>
      <w:instrText xml:space="preserve"> TITLE  \* MERGEFORMAT </w:instrText>
    </w:r>
    <w:r>
      <w:fldChar w:fldCharType="separate"/>
    </w:r>
    <w:r>
      <w:t>ST/SG/AC.10/C.3/124/Add.1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09D0957"/>
    <w:multiLevelType w:val="hybridMultilevel"/>
    <w:tmpl w:val="91CA64F8"/>
    <w:lvl w:ilvl="0" w:tplc="D668EFF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9C"/>
    <w:rsid w:val="00017F94"/>
    <w:rsid w:val="000226FB"/>
    <w:rsid w:val="00023842"/>
    <w:rsid w:val="000305D3"/>
    <w:rsid w:val="000334F9"/>
    <w:rsid w:val="000401B0"/>
    <w:rsid w:val="00071A55"/>
    <w:rsid w:val="0007796D"/>
    <w:rsid w:val="00093687"/>
    <w:rsid w:val="000B676A"/>
    <w:rsid w:val="000B7790"/>
    <w:rsid w:val="000E2451"/>
    <w:rsid w:val="0010178E"/>
    <w:rsid w:val="00106AF9"/>
    <w:rsid w:val="00111F2F"/>
    <w:rsid w:val="00132EA9"/>
    <w:rsid w:val="00134CD9"/>
    <w:rsid w:val="0014365E"/>
    <w:rsid w:val="00167865"/>
    <w:rsid w:val="00176178"/>
    <w:rsid w:val="001F525A"/>
    <w:rsid w:val="00223272"/>
    <w:rsid w:val="00241E98"/>
    <w:rsid w:val="0024779E"/>
    <w:rsid w:val="00283190"/>
    <w:rsid w:val="002832AC"/>
    <w:rsid w:val="00283A83"/>
    <w:rsid w:val="002B250B"/>
    <w:rsid w:val="002D7C93"/>
    <w:rsid w:val="002E0A54"/>
    <w:rsid w:val="002F534B"/>
    <w:rsid w:val="00332F07"/>
    <w:rsid w:val="00357C11"/>
    <w:rsid w:val="003B107D"/>
    <w:rsid w:val="003C6CF6"/>
    <w:rsid w:val="00403716"/>
    <w:rsid w:val="004049E1"/>
    <w:rsid w:val="00407AE9"/>
    <w:rsid w:val="004127C3"/>
    <w:rsid w:val="00441C3B"/>
    <w:rsid w:val="00442C71"/>
    <w:rsid w:val="00446FE5"/>
    <w:rsid w:val="00452396"/>
    <w:rsid w:val="00456FF3"/>
    <w:rsid w:val="004E468C"/>
    <w:rsid w:val="00503921"/>
    <w:rsid w:val="005505B7"/>
    <w:rsid w:val="00573BE5"/>
    <w:rsid w:val="00584DC4"/>
    <w:rsid w:val="00586ED3"/>
    <w:rsid w:val="00596AA9"/>
    <w:rsid w:val="005A29DF"/>
    <w:rsid w:val="00617FEE"/>
    <w:rsid w:val="00625AD1"/>
    <w:rsid w:val="00631AD2"/>
    <w:rsid w:val="00644BDD"/>
    <w:rsid w:val="0068456F"/>
    <w:rsid w:val="006C1633"/>
    <w:rsid w:val="006D074C"/>
    <w:rsid w:val="006E5DE0"/>
    <w:rsid w:val="0071601D"/>
    <w:rsid w:val="00737732"/>
    <w:rsid w:val="00746C90"/>
    <w:rsid w:val="007513FE"/>
    <w:rsid w:val="00755D57"/>
    <w:rsid w:val="007A62E6"/>
    <w:rsid w:val="007E2F1B"/>
    <w:rsid w:val="0080684C"/>
    <w:rsid w:val="00871C75"/>
    <w:rsid w:val="008776DC"/>
    <w:rsid w:val="008B40CD"/>
    <w:rsid w:val="008D1004"/>
    <w:rsid w:val="00917474"/>
    <w:rsid w:val="009705C8"/>
    <w:rsid w:val="00971DE3"/>
    <w:rsid w:val="009744DF"/>
    <w:rsid w:val="009C1CF4"/>
    <w:rsid w:val="009E33A0"/>
    <w:rsid w:val="00A30353"/>
    <w:rsid w:val="00AC3823"/>
    <w:rsid w:val="00AD1F96"/>
    <w:rsid w:val="00AE323C"/>
    <w:rsid w:val="00B00181"/>
    <w:rsid w:val="00B00B0D"/>
    <w:rsid w:val="00B2505C"/>
    <w:rsid w:val="00B25367"/>
    <w:rsid w:val="00B765F7"/>
    <w:rsid w:val="00BA0CA9"/>
    <w:rsid w:val="00BC00D7"/>
    <w:rsid w:val="00BF1AE3"/>
    <w:rsid w:val="00C02897"/>
    <w:rsid w:val="00C353E1"/>
    <w:rsid w:val="00C5041C"/>
    <w:rsid w:val="00C96CEE"/>
    <w:rsid w:val="00D3439C"/>
    <w:rsid w:val="00D5595A"/>
    <w:rsid w:val="00D610D1"/>
    <w:rsid w:val="00D64BC8"/>
    <w:rsid w:val="00D92AA6"/>
    <w:rsid w:val="00DB1831"/>
    <w:rsid w:val="00DD3BFD"/>
    <w:rsid w:val="00DF6678"/>
    <w:rsid w:val="00E035F0"/>
    <w:rsid w:val="00EF2E22"/>
    <w:rsid w:val="00F01738"/>
    <w:rsid w:val="00F21A9C"/>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8AC98"/>
  <w15:docId w15:val="{F5CBD943-AFB3-4841-9463-7ED98746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FF3"/>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rsid w:val="00B25367"/>
    <w:rPr>
      <w:b/>
      <w:sz w:val="28"/>
    </w:rPr>
  </w:style>
  <w:style w:type="character" w:customStyle="1" w:styleId="SingleTxtGChar">
    <w:name w:val="_ Single Txt_G Char"/>
    <w:link w:val="SingleTxtG"/>
    <w:qFormat/>
    <w:locked/>
    <w:rsid w:val="00B2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Armando Serrano Lombillo</DisplayName>
        <AccountId>69</AccountId>
        <AccountType/>
      </UserInfo>
      <UserInfo>
        <DisplayName>Sabrina Mansion</DisplayName>
        <AccountId>71</AccountId>
        <AccountType/>
      </UserInfo>
      <UserInfo>
        <DisplayName>Alicia Dorca Garcia</DisplayName>
        <AccountId>1313</AccountId>
        <AccountType/>
      </UserInfo>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94D0C-BAE8-409B-8569-1E606FE5DF4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DCFFADE9-2AEC-4624-85DE-CAAFC6EAAC12}">
  <ds:schemaRefs>
    <ds:schemaRef ds:uri="http://schemas.openxmlformats.org/officeDocument/2006/bibliography"/>
  </ds:schemaRefs>
</ds:datastoreItem>
</file>

<file path=customXml/itemProps3.xml><?xml version="1.0" encoding="utf-8"?>
<ds:datastoreItem xmlns:ds="http://schemas.openxmlformats.org/officeDocument/2006/customXml" ds:itemID="{73071542-E58C-4507-8856-1365A740D221}"/>
</file>

<file path=customXml/itemProps4.xml><?xml version="1.0" encoding="utf-8"?>
<ds:datastoreItem xmlns:ds="http://schemas.openxmlformats.org/officeDocument/2006/customXml" ds:itemID="{F97CFC0A-AD73-4249-8BA2-6563CF96A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SGAC10_F.dotm</Template>
  <TotalTime>0</TotalTime>
  <Pages>8</Pages>
  <Words>2465</Words>
  <Characters>12150</Characters>
  <Application>Microsoft Office Word</Application>
  <DocSecurity>0</DocSecurity>
  <Lines>261</Lines>
  <Paragraphs>166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ST/SG/AC.10/C.3/124/Add.1</dc:title>
  <dc:subject/>
  <dc:creator>Alicia DORCA-GARCIA</dc:creator>
  <cp:keywords/>
  <cp:lastModifiedBy>Marie Deschamps</cp:lastModifiedBy>
  <cp:revision>2</cp:revision>
  <cp:lastPrinted>2014-05-14T10:59:00Z</cp:lastPrinted>
  <dcterms:created xsi:type="dcterms:W3CDTF">2023-07-24T07:19:00Z</dcterms:created>
  <dcterms:modified xsi:type="dcterms:W3CDTF">2023-07-24T07:19:00Z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