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E830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0A6676" w14:textId="77777777" w:rsidR="002D5AAC" w:rsidRDefault="002D5AAC" w:rsidP="009658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0989F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FEC569" w14:textId="4A6D976E" w:rsidR="002D5AAC" w:rsidRDefault="0096580A" w:rsidP="0096580A">
            <w:pPr>
              <w:jc w:val="right"/>
            </w:pPr>
            <w:r w:rsidRPr="0096580A">
              <w:rPr>
                <w:sz w:val="40"/>
              </w:rPr>
              <w:t>ECE</w:t>
            </w:r>
            <w:r>
              <w:t>/TRANS/WP.29/GRBP/2023/19</w:t>
            </w:r>
          </w:p>
        </w:tc>
      </w:tr>
      <w:tr w:rsidR="002D5AAC" w14:paraId="407A158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9C52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7A719A" wp14:editId="266511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C26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5C6894" w14:textId="77777777" w:rsidR="002D5AAC" w:rsidRDefault="009658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5DEEAC" w14:textId="77777777" w:rsidR="0096580A" w:rsidRDefault="0096580A" w:rsidP="009658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2023</w:t>
            </w:r>
          </w:p>
          <w:p w14:paraId="1ADB8F5A" w14:textId="77777777" w:rsidR="0096580A" w:rsidRDefault="0096580A" w:rsidP="009658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06F88D" w14:textId="36A1A12D" w:rsidR="0096580A" w:rsidRPr="008D53B6" w:rsidRDefault="0096580A" w:rsidP="009658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98FA3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E3AA7D" w14:textId="77777777" w:rsidR="0096580A" w:rsidRPr="00B81CDD" w:rsidRDefault="0096580A" w:rsidP="0096580A">
      <w:pPr>
        <w:spacing w:before="120"/>
        <w:rPr>
          <w:sz w:val="40"/>
          <w:szCs w:val="40"/>
        </w:rPr>
      </w:pPr>
      <w:r w:rsidRPr="00B81CDD">
        <w:rPr>
          <w:sz w:val="28"/>
          <w:szCs w:val="32"/>
        </w:rPr>
        <w:t>Комитет по внутреннему транспорту</w:t>
      </w:r>
    </w:p>
    <w:p w14:paraId="40104B1C" w14:textId="77777777" w:rsidR="0096580A" w:rsidRPr="00B81CDD" w:rsidRDefault="0096580A" w:rsidP="0096580A">
      <w:pPr>
        <w:spacing w:before="120"/>
        <w:rPr>
          <w:b/>
          <w:sz w:val="32"/>
          <w:szCs w:val="32"/>
        </w:rPr>
      </w:pPr>
      <w:r w:rsidRPr="00B81CDD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B81CDD">
        <w:rPr>
          <w:b/>
          <w:bCs/>
          <w:sz w:val="24"/>
          <w:szCs w:val="28"/>
        </w:rPr>
        <w:br/>
        <w:t>в области транспортных средств</w:t>
      </w:r>
    </w:p>
    <w:p w14:paraId="4C1E58DF" w14:textId="77777777" w:rsidR="0096580A" w:rsidRPr="00B81CDD" w:rsidRDefault="0096580A" w:rsidP="0096580A">
      <w:pPr>
        <w:spacing w:before="120"/>
        <w:rPr>
          <w:b/>
        </w:rPr>
      </w:pPr>
      <w:r w:rsidRPr="00B81CDD">
        <w:rPr>
          <w:b/>
          <w:bCs/>
        </w:rPr>
        <w:t>Рабочая группа по вопросам шума и шин</w:t>
      </w:r>
    </w:p>
    <w:p w14:paraId="43444BD6" w14:textId="77777777" w:rsidR="0096580A" w:rsidRPr="00B81CDD" w:rsidRDefault="0096580A" w:rsidP="0096580A">
      <w:pPr>
        <w:spacing w:before="120"/>
        <w:rPr>
          <w:b/>
        </w:rPr>
      </w:pPr>
      <w:r w:rsidRPr="00B81CDD">
        <w:rPr>
          <w:b/>
          <w:bCs/>
        </w:rPr>
        <w:t>Семьдесят восьмая сессия</w:t>
      </w:r>
    </w:p>
    <w:p w14:paraId="2E1E2F01" w14:textId="617340E8" w:rsidR="0096580A" w:rsidRPr="00B81CDD" w:rsidRDefault="0096580A" w:rsidP="0096580A">
      <w:r w:rsidRPr="00B81CDD">
        <w:t xml:space="preserve">Женева, 30 августа </w:t>
      </w:r>
      <w:r w:rsidR="00044185">
        <w:rPr>
          <w:lang w:val="en-US"/>
        </w:rPr>
        <w:t>—</w:t>
      </w:r>
      <w:r w:rsidRPr="00B81CDD">
        <w:t xml:space="preserve"> 1 сентября 2023 года</w:t>
      </w:r>
    </w:p>
    <w:p w14:paraId="56FE002B" w14:textId="77777777" w:rsidR="0096580A" w:rsidRPr="00B81CDD" w:rsidRDefault="0096580A" w:rsidP="0096580A">
      <w:r w:rsidRPr="00B81CDD">
        <w:t>Пункт 7 с) предварительной повестки дня</w:t>
      </w:r>
    </w:p>
    <w:p w14:paraId="69596469" w14:textId="77777777" w:rsidR="0096580A" w:rsidRPr="00B81CDD" w:rsidRDefault="0096580A" w:rsidP="0096580A">
      <w:pPr>
        <w:rPr>
          <w:b/>
          <w:bCs/>
        </w:rPr>
      </w:pPr>
      <w:r w:rsidRPr="00B81CDD">
        <w:rPr>
          <w:b/>
          <w:bCs/>
        </w:rPr>
        <w:t xml:space="preserve">Шины: Правила № 117 ООН (сопротивление шин качению, </w:t>
      </w:r>
      <w:r w:rsidRPr="00B81CDD">
        <w:rPr>
          <w:b/>
          <w:bCs/>
          <w:sz w:val="24"/>
          <w:szCs w:val="28"/>
        </w:rPr>
        <w:br/>
      </w:r>
      <w:r w:rsidRPr="00B81CDD">
        <w:rPr>
          <w:b/>
          <w:bCs/>
        </w:rPr>
        <w:t xml:space="preserve">шум, издаваемый шинами при качении, и их сцепление </w:t>
      </w:r>
      <w:r w:rsidRPr="00B81CDD">
        <w:rPr>
          <w:b/>
          <w:bCs/>
          <w:sz w:val="24"/>
          <w:szCs w:val="28"/>
        </w:rPr>
        <w:br/>
      </w:r>
      <w:r w:rsidRPr="00B81CDD">
        <w:rPr>
          <w:b/>
          <w:bCs/>
        </w:rPr>
        <w:t>на мокрой поверхности)</w:t>
      </w:r>
    </w:p>
    <w:p w14:paraId="256DF47A" w14:textId="6BDEBFC3" w:rsidR="0096580A" w:rsidRPr="00B81CDD" w:rsidRDefault="0096580A" w:rsidP="0096580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 w:rsidRPr="00B81CDD">
        <w:rPr>
          <w:b/>
          <w:sz w:val="28"/>
        </w:rPr>
        <w:tab/>
      </w:r>
      <w:r w:rsidRPr="00B81CDD">
        <w:rPr>
          <w:b/>
          <w:sz w:val="28"/>
        </w:rPr>
        <w:tab/>
      </w:r>
      <w:r w:rsidRPr="00B81CDD">
        <w:rPr>
          <w:b/>
          <w:bCs/>
          <w:sz w:val="28"/>
          <w:szCs w:val="28"/>
        </w:rPr>
        <w:t>Предложение по дополнению 2 к поправкам серии 04 к</w:t>
      </w:r>
      <w:r w:rsidR="00044185">
        <w:rPr>
          <w:b/>
          <w:bCs/>
          <w:sz w:val="28"/>
          <w:szCs w:val="28"/>
          <w:lang w:val="en-US"/>
        </w:rPr>
        <w:t> </w:t>
      </w:r>
      <w:r w:rsidRPr="00B81CDD">
        <w:rPr>
          <w:b/>
          <w:bCs/>
          <w:sz w:val="28"/>
          <w:szCs w:val="28"/>
        </w:rPr>
        <w:t>Правилам № 117 ООН</w:t>
      </w:r>
    </w:p>
    <w:p w14:paraId="0648A81E" w14:textId="5F07FA43" w:rsidR="0096580A" w:rsidRPr="00B81CDD" w:rsidRDefault="0096580A" w:rsidP="0096580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B81CDD">
        <w:rPr>
          <w:b/>
          <w:sz w:val="24"/>
        </w:rPr>
        <w:tab/>
      </w:r>
      <w:r w:rsidRPr="00B81CDD">
        <w:rPr>
          <w:b/>
          <w:sz w:val="24"/>
        </w:rPr>
        <w:tab/>
        <w:t>Представлено неофициальной рабочей группой по неточностям в</w:t>
      </w:r>
      <w:r w:rsidR="00044185">
        <w:rPr>
          <w:b/>
          <w:sz w:val="24"/>
          <w:lang w:val="en-US"/>
        </w:rPr>
        <w:t> </w:t>
      </w:r>
      <w:r w:rsidRPr="00B81CDD">
        <w:rPr>
          <w:b/>
          <w:sz w:val="24"/>
        </w:rPr>
        <w:t>измерениях</w:t>
      </w:r>
      <w:r w:rsidRPr="0096580A">
        <w:rPr>
          <w:rStyle w:val="H1GChar"/>
          <w:b w:val="0"/>
          <w:bCs/>
          <w:sz w:val="20"/>
          <w:szCs w:val="20"/>
        </w:rPr>
        <w:footnoteReference w:customMarkFollows="1" w:id="1"/>
        <w:t>*</w:t>
      </w:r>
      <w:r w:rsidRPr="00B81CDD">
        <w:rPr>
          <w:b/>
          <w:sz w:val="24"/>
        </w:rPr>
        <w:t xml:space="preserve">   </w:t>
      </w:r>
    </w:p>
    <w:p w14:paraId="2C66386D" w14:textId="77777777" w:rsidR="0096580A" w:rsidRPr="00B81CDD" w:rsidRDefault="0096580A" w:rsidP="0096580A">
      <w:pPr>
        <w:pStyle w:val="SingleTxtG"/>
        <w:tabs>
          <w:tab w:val="left" w:pos="8505"/>
        </w:tabs>
        <w:spacing w:before="240" w:after="0"/>
        <w:ind w:firstLine="567"/>
      </w:pPr>
      <w:r w:rsidRPr="00B81CDD">
        <w:rPr>
          <w:shd w:val="clear" w:color="auto" w:fill="FFFFFF"/>
        </w:rPr>
        <w:t xml:space="preserve">Приведенный ниже текст был подготовлен экспертами от неофициальной рабочей группы по </w:t>
      </w:r>
      <w:r w:rsidRPr="00B81CDD">
        <w:t xml:space="preserve">неточностям в измерениях (НРГ по НИ) в целях включения положений о мерах, направленных на снижение </w:t>
      </w:r>
      <w:r w:rsidRPr="00B81CDD">
        <w:rPr>
          <w:shd w:val="clear" w:color="auto" w:fill="FFFFFF"/>
        </w:rPr>
        <w:t>разброса показателей. Изменения к нынешнему тексту Правил ООН выделены жирным шрифтом в случае новых или зачеркиванием — в случае исключенных элементов.</w:t>
      </w:r>
    </w:p>
    <w:p w14:paraId="7D5F9B40" w14:textId="6A78C51E" w:rsidR="0096580A" w:rsidRDefault="0096580A" w:rsidP="00D9145B">
      <w:r>
        <w:br w:type="page"/>
      </w:r>
    </w:p>
    <w:p w14:paraId="775EC08E" w14:textId="45D0F3DE" w:rsidR="0096580A" w:rsidRPr="002F135C" w:rsidRDefault="002F135C" w:rsidP="002F135C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 w:rsidRPr="00B81CDD">
        <w:rPr>
          <w:lang w:val="en-GB"/>
        </w:rPr>
        <w:t>I.</w:t>
      </w:r>
      <w:r w:rsidRPr="00B81CDD">
        <w:rPr>
          <w:lang w:val="en-GB"/>
        </w:rPr>
        <w:tab/>
      </w:r>
      <w:r w:rsidR="0096580A" w:rsidRPr="002F135C">
        <w:t>Предложение</w:t>
      </w:r>
    </w:p>
    <w:p w14:paraId="090DF97B" w14:textId="77777777" w:rsidR="0096580A" w:rsidRPr="00B81CDD" w:rsidRDefault="0096580A" w:rsidP="0096580A">
      <w:pPr>
        <w:pStyle w:val="SingleTxtG"/>
        <w:ind w:left="2268" w:hanging="1134"/>
        <w:rPr>
          <w:rFonts w:asciiTheme="majorBidi" w:hAnsiTheme="majorBidi" w:cstheme="majorBidi"/>
          <w:i/>
        </w:rPr>
      </w:pPr>
      <w:r w:rsidRPr="00B81CDD">
        <w:rPr>
          <w:i/>
          <w:iCs/>
          <w:shd w:val="clear" w:color="auto" w:fill="FFFFFF"/>
        </w:rPr>
        <w:t>Содержание, приложения</w:t>
      </w:r>
      <w:r w:rsidRPr="00B81CDD">
        <w:rPr>
          <w:shd w:val="clear" w:color="auto" w:fill="FFFFFF"/>
        </w:rPr>
        <w:t xml:space="preserve"> изменить следующим образом:</w:t>
      </w:r>
    </w:p>
    <w:p w14:paraId="78289AC1" w14:textId="77777777" w:rsidR="0096580A" w:rsidRPr="00D53E91" w:rsidRDefault="0096580A" w:rsidP="0096580A">
      <w:pPr>
        <w:pStyle w:val="11"/>
        <w:tabs>
          <w:tab w:val="clear" w:pos="9071"/>
          <w:tab w:val="right" w:leader="dot" w:pos="8789"/>
          <w:tab w:val="right" w:pos="9498"/>
        </w:tabs>
        <w:ind w:left="1843" w:hanging="709"/>
        <w:rPr>
          <w:rStyle w:val="af2"/>
          <w:noProof/>
          <w:color w:val="auto"/>
          <w:sz w:val="20"/>
          <w:szCs w:val="20"/>
          <w:lang w:val="ru-RU"/>
        </w:rPr>
      </w:pPr>
      <w:r w:rsidRPr="00B81CDD">
        <w:rPr>
          <w:rFonts w:ascii="Calibri" w:hAnsi="Calibri"/>
          <w:noProof/>
          <w:sz w:val="20"/>
          <w:szCs w:val="20"/>
          <w:lang w:val="ru-RU" w:eastAsia="en-GB"/>
        </w:rPr>
        <w:t>«</w:t>
      </w:r>
    </w:p>
    <w:p w14:paraId="48C5CB5C" w14:textId="77777777" w:rsidR="0096580A" w:rsidRPr="00D53E91" w:rsidRDefault="0096580A" w:rsidP="0096580A">
      <w:pPr>
        <w:pStyle w:val="11"/>
        <w:tabs>
          <w:tab w:val="clear" w:pos="9071"/>
          <w:tab w:val="left" w:pos="851"/>
          <w:tab w:val="left" w:pos="2268"/>
          <w:tab w:val="right" w:leader="dot" w:pos="8789"/>
          <w:tab w:val="right" w:pos="9498"/>
        </w:tabs>
        <w:ind w:left="1843" w:hanging="709"/>
        <w:rPr>
          <w:rFonts w:ascii="Calibri" w:hAnsi="Calibri"/>
          <w:noProof/>
          <w:sz w:val="20"/>
          <w:szCs w:val="20"/>
          <w:lang w:val="ru-RU" w:eastAsia="en-GB"/>
        </w:rPr>
      </w:pPr>
      <w:r w:rsidRPr="00D53E91">
        <w:rPr>
          <w:rStyle w:val="af2"/>
          <w:noProof/>
          <w:color w:val="auto"/>
          <w:sz w:val="20"/>
          <w:szCs w:val="20"/>
          <w:lang w:val="ru-RU"/>
        </w:rPr>
        <w:t>[…]</w:t>
      </w:r>
    </w:p>
    <w:p w14:paraId="67175BF7" w14:textId="1025EDC9" w:rsidR="0096580A" w:rsidRPr="00044185" w:rsidRDefault="00044185" w:rsidP="00044185">
      <w:pPr>
        <w:pStyle w:val="SingleTxtG"/>
      </w:pPr>
      <w:r w:rsidRPr="00044185">
        <w:rPr>
          <w:noProof/>
        </w:rPr>
        <w:t>4</w:t>
      </w:r>
      <w:r w:rsidRPr="00044185">
        <w:rPr>
          <w:noProof/>
        </w:rPr>
        <w:tab/>
      </w:r>
      <w:r w:rsidRPr="00044185">
        <w:rPr>
          <w:b/>
          <w:bCs/>
          <w:noProof/>
        </w:rPr>
        <w:t>Зарезервировано</w:t>
      </w:r>
      <w:r w:rsidRPr="00044185">
        <w:rPr>
          <w:noProof/>
        </w:rPr>
        <w:t xml:space="preserve"> </w:t>
      </w:r>
      <w:r w:rsidRPr="00044185">
        <w:rPr>
          <w:strike/>
          <w:noProof/>
        </w:rPr>
        <w:t>Технические требования к испытательной площадке</w:t>
      </w:r>
      <w:r w:rsidRPr="00044185">
        <w:rPr>
          <w:strike/>
          <w:noProof/>
        </w:rPr>
        <w:t>……….</w:t>
      </w:r>
    </w:p>
    <w:p w14:paraId="063000E1" w14:textId="77777777" w:rsidR="0096580A" w:rsidRPr="00B81CDD" w:rsidRDefault="0096580A" w:rsidP="0096580A">
      <w:pPr>
        <w:pStyle w:val="SingleTxtG"/>
        <w:ind w:left="1843" w:hanging="709"/>
        <w:rPr>
          <w:rFonts w:asciiTheme="majorBidi" w:hAnsiTheme="majorBidi" w:cstheme="majorBidi"/>
        </w:rPr>
      </w:pPr>
      <w:r w:rsidRPr="00B81CDD">
        <w:rPr>
          <w:noProof/>
        </w:rPr>
        <w:t>[…]»</w:t>
      </w:r>
    </w:p>
    <w:p w14:paraId="7A9E6BA9" w14:textId="77777777" w:rsidR="0096580A" w:rsidRPr="00B81CDD" w:rsidRDefault="0096580A" w:rsidP="0096580A">
      <w:pPr>
        <w:pStyle w:val="SingleTxtG"/>
        <w:ind w:left="2268" w:hanging="1134"/>
        <w:rPr>
          <w:rFonts w:asciiTheme="majorBidi" w:hAnsiTheme="majorBidi" w:cstheme="majorBidi"/>
        </w:rPr>
      </w:pPr>
      <w:r w:rsidRPr="00B81CDD">
        <w:rPr>
          <w:i/>
          <w:iCs/>
        </w:rPr>
        <w:t xml:space="preserve">Пункт </w:t>
      </w:r>
      <w:r w:rsidRPr="00B81CDD">
        <w:rPr>
          <w:rFonts w:asciiTheme="majorBidi" w:hAnsiTheme="majorBidi" w:cstheme="majorBidi"/>
          <w:i/>
          <w:iCs/>
        </w:rPr>
        <w:t>8.3.4</w:t>
      </w:r>
      <w:r w:rsidRPr="00B81CDD">
        <w:rPr>
          <w:rFonts w:asciiTheme="majorBidi" w:hAnsiTheme="majorBidi" w:cstheme="majorBidi"/>
        </w:rPr>
        <w:t xml:space="preserve"> </w:t>
      </w:r>
      <w:r w:rsidRPr="00B81CDD">
        <w:rPr>
          <w:shd w:val="clear" w:color="auto" w:fill="FFFFFF"/>
        </w:rPr>
        <w:t>изменить следующим образом</w:t>
      </w:r>
      <w:r w:rsidRPr="00B81CDD">
        <w:rPr>
          <w:rFonts w:asciiTheme="majorBidi" w:hAnsiTheme="majorBidi" w:cstheme="majorBidi"/>
        </w:rPr>
        <w:t>:</w:t>
      </w:r>
    </w:p>
    <w:p w14:paraId="2A952DE1" w14:textId="541AA004" w:rsidR="0096580A" w:rsidRPr="00B81CDD" w:rsidRDefault="0096580A" w:rsidP="0096580A">
      <w:pPr>
        <w:pStyle w:val="af4"/>
        <w:spacing w:after="120"/>
        <w:ind w:left="2268" w:right="1134" w:hanging="1134"/>
        <w:contextualSpacing w:val="0"/>
        <w:jc w:val="both"/>
        <w:rPr>
          <w:b/>
          <w:lang w:val="ru-RU" w:eastAsia="de-DE"/>
        </w:rPr>
      </w:pPr>
      <w:r w:rsidRPr="00B81CDD">
        <w:rPr>
          <w:rFonts w:asciiTheme="majorBidi" w:hAnsiTheme="majorBidi" w:cstheme="majorBidi"/>
          <w:bCs/>
          <w:lang w:val="ru-RU"/>
        </w:rPr>
        <w:t>«</w:t>
      </w:r>
      <w:r w:rsidRPr="00B81CDD">
        <w:rPr>
          <w:b/>
          <w:lang w:val="ru-RU" w:eastAsia="de-DE"/>
        </w:rPr>
        <w:t>8.3.4</w:t>
      </w:r>
      <w:r w:rsidRPr="00B81CDD">
        <w:rPr>
          <w:b/>
          <w:lang w:val="ru-RU" w:eastAsia="de-DE"/>
        </w:rPr>
        <w:tab/>
      </w:r>
      <w:r w:rsidRPr="00B81CDD">
        <w:rPr>
          <w:b/>
          <w:shd w:val="clear" w:color="auto" w:fill="FFFFFF"/>
          <w:lang w:val="ru-RU"/>
        </w:rPr>
        <w:t xml:space="preserve">Проверочные испытания на предмет официальных утверждений в соответствии с пунктом 6.1 настоящих Правил могут проводиться </w:t>
      </w:r>
      <w:r w:rsidR="00707817" w:rsidRPr="00707817">
        <w:rPr>
          <w:b/>
          <w:shd w:val="clear" w:color="auto" w:fill="FFFFFF"/>
          <w:lang w:val="ru-RU"/>
        </w:rPr>
        <w:t>—</w:t>
      </w:r>
      <w:r w:rsidRPr="00B81CDD">
        <w:rPr>
          <w:b/>
          <w:shd w:val="clear" w:color="auto" w:fill="FFFFFF"/>
          <w:lang w:val="ru-RU"/>
        </w:rPr>
        <w:t xml:space="preserve"> по просьбе изготовителя шин </w:t>
      </w:r>
      <w:r w:rsidR="00707817" w:rsidRPr="00707817">
        <w:rPr>
          <w:b/>
          <w:shd w:val="clear" w:color="auto" w:fill="FFFFFF"/>
          <w:lang w:val="ru-RU"/>
        </w:rPr>
        <w:t>—</w:t>
      </w:r>
      <w:r w:rsidRPr="00B81CDD">
        <w:rPr>
          <w:b/>
          <w:shd w:val="clear" w:color="auto" w:fill="FFFFFF"/>
          <w:lang w:val="ru-RU"/>
        </w:rPr>
        <w:t xml:space="preserve"> с использованием той же формулы </w:t>
      </w:r>
      <w:r w:rsidRPr="00B81CDD">
        <w:rPr>
          <w:b/>
          <w:lang w:val="ru-RU"/>
        </w:rPr>
        <w:t xml:space="preserve">температурной коррекции </w:t>
      </w:r>
      <w:r w:rsidRPr="00B81CDD">
        <w:rPr>
          <w:b/>
          <w:shd w:val="clear" w:color="auto" w:fill="FFFFFF"/>
          <w:lang w:val="ru-RU"/>
        </w:rPr>
        <w:t>(см. приложение 3 к настоящим Правилам), которая была принята для первоначального официального утверждения</w:t>
      </w:r>
      <w:r w:rsidRPr="00B81CDD">
        <w:rPr>
          <w:bCs/>
          <w:shd w:val="clear" w:color="auto" w:fill="FFFFFF"/>
          <w:lang w:val="ru-RU"/>
        </w:rPr>
        <w:t>».</w:t>
      </w:r>
    </w:p>
    <w:p w14:paraId="380DD167" w14:textId="77777777" w:rsidR="0096580A" w:rsidRPr="00B81CDD" w:rsidRDefault="0096580A" w:rsidP="0096580A">
      <w:pPr>
        <w:pStyle w:val="a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B81CDD">
        <w:rPr>
          <w:i/>
          <w:iCs/>
          <w:shd w:val="clear" w:color="auto" w:fill="FFFFFF"/>
          <w:lang w:val="ru-RU"/>
        </w:rPr>
        <w:t>Добавить новые пункты</w:t>
      </w:r>
      <w:r w:rsidRPr="00B81CDD">
        <w:rPr>
          <w:shd w:val="clear" w:color="auto" w:fill="FFFFFF"/>
          <w:lang w:val="ru-RU"/>
        </w:rPr>
        <w:t xml:space="preserve"> </w:t>
      </w:r>
      <w:r w:rsidRPr="00B81CDD">
        <w:rPr>
          <w:i/>
          <w:iCs/>
          <w:lang w:val="ru-RU"/>
        </w:rPr>
        <w:t>12.18</w:t>
      </w:r>
      <w:r w:rsidRPr="00B81CDD">
        <w:rPr>
          <w:lang w:val="ru-RU"/>
        </w:rPr>
        <w:t>–</w:t>
      </w:r>
      <w:r w:rsidRPr="00B81CDD">
        <w:rPr>
          <w:i/>
          <w:iCs/>
          <w:lang w:val="ru-RU"/>
        </w:rPr>
        <w:t xml:space="preserve">12.20 </w:t>
      </w:r>
      <w:r w:rsidRPr="00B81CDD">
        <w:rPr>
          <w:shd w:val="clear" w:color="auto" w:fill="FFFFFF"/>
          <w:lang w:val="ru-RU"/>
        </w:rPr>
        <w:t>следующего содержания</w:t>
      </w:r>
      <w:r w:rsidRPr="00B81CDD">
        <w:rPr>
          <w:lang w:val="ru-RU"/>
        </w:rPr>
        <w:t>:</w:t>
      </w:r>
    </w:p>
    <w:p w14:paraId="05272CE5" w14:textId="77777777" w:rsidR="0096580A" w:rsidRPr="00B81CDD" w:rsidRDefault="0096580A" w:rsidP="0096580A">
      <w:pPr>
        <w:spacing w:after="120"/>
        <w:ind w:left="2268" w:right="1134" w:hanging="1134"/>
        <w:jc w:val="both"/>
        <w:rPr>
          <w:b/>
        </w:rPr>
      </w:pPr>
      <w:r w:rsidRPr="00B81CDD">
        <w:t>«</w:t>
      </w:r>
      <w:r w:rsidRPr="00B81CDD">
        <w:rPr>
          <w:b/>
          <w:bCs/>
          <w:lang w:eastAsia="de-DE"/>
        </w:rPr>
        <w:t>12.18</w:t>
      </w:r>
      <w:r w:rsidRPr="00B81CDD">
        <w:rPr>
          <w:b/>
          <w:bCs/>
          <w:lang w:eastAsia="de-DE"/>
        </w:rPr>
        <w:tab/>
        <w:t xml:space="preserve">До [6 июля 2025 года] Договаривающиеся стороны, применяющие настоящие Правила, продолжают предоставлять официальные утверждения типа на основании уровня звука, издаваемого шинами при качении, с использованием исключительно формулы </w:t>
      </w:r>
      <w:r w:rsidRPr="00B81CDD">
        <w:rPr>
          <w:b/>
        </w:rPr>
        <w:t>температурной коррекции, указанной в пункте 4.2.1 приложения 3.</w:t>
      </w:r>
    </w:p>
    <w:p w14:paraId="4AF203D0" w14:textId="77777777" w:rsidR="0096580A" w:rsidRPr="00B81CDD" w:rsidRDefault="0096580A" w:rsidP="0096580A">
      <w:pPr>
        <w:spacing w:after="120"/>
        <w:ind w:left="2268" w:right="1134" w:hanging="1134"/>
        <w:jc w:val="both"/>
        <w:rPr>
          <w:b/>
          <w:bCs/>
          <w:lang w:eastAsia="de-DE"/>
        </w:rPr>
      </w:pPr>
      <w:r w:rsidRPr="00B81CDD">
        <w:rPr>
          <w:b/>
          <w:bCs/>
          <w:lang w:eastAsia="de-DE"/>
        </w:rPr>
        <w:t>12.19</w:t>
      </w:r>
      <w:r w:rsidRPr="00B81CDD">
        <w:rPr>
          <w:b/>
          <w:bCs/>
          <w:lang w:eastAsia="de-DE"/>
        </w:rPr>
        <w:tab/>
        <w:t xml:space="preserve">Начиная с [7 июля 2025 года] Договаривающиеся стороны, применяющие настоящие Правила, предоставляют официальные утверждения типа на основании уровня звука, издаваемого шинами при качении, с использованием исключительно формулы </w:t>
      </w:r>
      <w:r w:rsidRPr="00B81CDD">
        <w:rPr>
          <w:b/>
        </w:rPr>
        <w:t>температурной коррекции, указанной в пункте 4.2.2 приложения 3.</w:t>
      </w:r>
    </w:p>
    <w:p w14:paraId="41892C5D" w14:textId="2F572DAC" w:rsidR="0096580A" w:rsidRPr="00B81CDD" w:rsidRDefault="0096580A" w:rsidP="0096580A">
      <w:pPr>
        <w:pStyle w:val="af4"/>
        <w:spacing w:after="120"/>
        <w:ind w:left="2268" w:right="1134" w:hanging="1134"/>
        <w:contextualSpacing w:val="0"/>
        <w:jc w:val="both"/>
        <w:rPr>
          <w:bCs/>
          <w:lang w:val="ru-RU" w:eastAsia="de-DE"/>
        </w:rPr>
      </w:pPr>
      <w:r w:rsidRPr="00B81CDD">
        <w:rPr>
          <w:b/>
          <w:bCs/>
          <w:lang w:val="ru-RU" w:eastAsia="de-DE"/>
        </w:rPr>
        <w:t>12.20</w:t>
      </w:r>
      <w:r w:rsidRPr="00B81CDD">
        <w:rPr>
          <w:b/>
          <w:bCs/>
          <w:lang w:val="ru-RU" w:eastAsia="de-DE"/>
        </w:rPr>
        <w:tab/>
        <w:t xml:space="preserve">Договаривающиеся стороны, применяющие настоящие Правила, продолжают предоставлять распространения существующих официальных утверждений типа, впервые предоставленных до </w:t>
      </w:r>
      <w:r w:rsidR="00707817">
        <w:rPr>
          <w:b/>
          <w:bCs/>
          <w:lang w:val="ru-RU" w:eastAsia="de-DE"/>
        </w:rPr>
        <w:br/>
      </w:r>
      <w:r w:rsidRPr="00B81CDD">
        <w:rPr>
          <w:b/>
          <w:bCs/>
          <w:lang w:val="ru-RU" w:eastAsia="de-DE"/>
        </w:rPr>
        <w:t xml:space="preserve">[7 июля 2025 года] на основании уровня звука, издаваемого шинами при качении, с использованием формулы </w:t>
      </w:r>
      <w:r w:rsidRPr="00B81CDD">
        <w:rPr>
          <w:b/>
          <w:lang w:val="ru-RU"/>
        </w:rPr>
        <w:t xml:space="preserve">температурной коррекции, указанной в пункте 4.2.1 приложения 3. Если для целей распространения, подлежащего предоставлению после </w:t>
      </w:r>
      <w:r w:rsidRPr="00B81CDD">
        <w:rPr>
          <w:b/>
          <w:bCs/>
          <w:lang w:val="ru-RU" w:eastAsia="de-DE"/>
        </w:rPr>
        <w:t>[6 июля 2025</w:t>
      </w:r>
      <w:r w:rsidR="00707817">
        <w:rPr>
          <w:b/>
          <w:bCs/>
          <w:lang w:val="en-US" w:eastAsia="de-DE"/>
        </w:rPr>
        <w:t> </w:t>
      </w:r>
      <w:r w:rsidRPr="00B81CDD">
        <w:rPr>
          <w:b/>
          <w:bCs/>
          <w:lang w:val="ru-RU" w:eastAsia="de-DE"/>
        </w:rPr>
        <w:t xml:space="preserve">года], требуется проведение нового испытания на репрезентативной шине другого размера, то используют формулу </w:t>
      </w:r>
      <w:r w:rsidRPr="00B81CDD">
        <w:rPr>
          <w:b/>
          <w:lang w:val="ru-RU"/>
        </w:rPr>
        <w:t>температурной коррекции, указанную в пункте 4.2.2 приложения 3</w:t>
      </w:r>
      <w:r w:rsidRPr="00B81CDD">
        <w:rPr>
          <w:bCs/>
          <w:lang w:val="ru-RU"/>
        </w:rPr>
        <w:t>».</w:t>
      </w:r>
    </w:p>
    <w:p w14:paraId="4677B18B" w14:textId="77777777" w:rsidR="0096580A" w:rsidRPr="00B81CDD" w:rsidRDefault="0096580A" w:rsidP="0096580A">
      <w:pPr>
        <w:pStyle w:val="af4"/>
        <w:spacing w:after="120"/>
        <w:ind w:left="2268" w:right="1134" w:hanging="1134"/>
        <w:contextualSpacing w:val="0"/>
        <w:jc w:val="both"/>
        <w:rPr>
          <w:i/>
          <w:iCs/>
          <w:lang w:val="ru-RU"/>
        </w:rPr>
      </w:pPr>
      <w:r w:rsidRPr="00B81CDD">
        <w:rPr>
          <w:i/>
          <w:iCs/>
          <w:lang w:val="ru-RU"/>
        </w:rPr>
        <w:t>Приложение 3</w:t>
      </w:r>
    </w:p>
    <w:p w14:paraId="78E2FF74" w14:textId="77777777" w:rsidR="0096580A" w:rsidRPr="00B81CDD" w:rsidRDefault="0096580A" w:rsidP="0096580A">
      <w:pPr>
        <w:pStyle w:val="a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B81CDD">
        <w:rPr>
          <w:i/>
          <w:iCs/>
          <w:lang w:val="ru-RU"/>
        </w:rPr>
        <w:t>Пункт 2.1</w:t>
      </w:r>
      <w:r w:rsidRPr="00B81CDD">
        <w:rPr>
          <w:lang w:val="ru-RU"/>
        </w:rPr>
        <w:t xml:space="preserve"> </w:t>
      </w:r>
      <w:r w:rsidRPr="00B81CDD">
        <w:rPr>
          <w:shd w:val="clear" w:color="auto" w:fill="FFFFFF"/>
          <w:lang w:val="ru-RU"/>
        </w:rPr>
        <w:t>изменить следующим образом</w:t>
      </w:r>
      <w:r w:rsidRPr="00B81CDD">
        <w:rPr>
          <w:lang w:val="ru-RU"/>
        </w:rPr>
        <w:t>:</w:t>
      </w:r>
    </w:p>
    <w:p w14:paraId="376EFCCD" w14:textId="3E7FE325" w:rsidR="0096580A" w:rsidRPr="00B81CDD" w:rsidRDefault="0096580A" w:rsidP="0096580A">
      <w:pPr>
        <w:pStyle w:val="SingleTxtG"/>
        <w:ind w:left="2268" w:hanging="1134"/>
        <w:rPr>
          <w:bCs/>
        </w:rPr>
      </w:pPr>
      <w:r w:rsidRPr="00B81CDD">
        <w:t>«</w:t>
      </w:r>
      <w:r w:rsidRPr="00B81CDD">
        <w:rPr>
          <w:bCs/>
        </w:rPr>
        <w:t>2.1</w:t>
      </w:r>
      <w:r w:rsidRPr="00B81CDD">
        <w:rPr>
          <w:bCs/>
        </w:rPr>
        <w:tab/>
      </w:r>
      <w:r w:rsidR="00707817">
        <w:rPr>
          <w:bCs/>
        </w:rPr>
        <w:tab/>
      </w:r>
      <w:r w:rsidRPr="00B81CDD">
        <w:rPr>
          <w:shd w:val="clear" w:color="auto" w:fill="FFFFFF"/>
        </w:rPr>
        <w:t>Испытательная площадка</w:t>
      </w:r>
    </w:p>
    <w:p w14:paraId="37E52176" w14:textId="4B39DD1B" w:rsidR="0096580A" w:rsidRPr="00B81CDD" w:rsidRDefault="0096580A" w:rsidP="0096580A">
      <w:pPr>
        <w:pStyle w:val="SingleTxtG"/>
        <w:ind w:left="2268" w:hanging="1134"/>
        <w:rPr>
          <w:bCs/>
        </w:rPr>
      </w:pPr>
      <w:r w:rsidRPr="00B81CDD">
        <w:rPr>
          <w:bCs/>
        </w:rPr>
        <w:tab/>
      </w:r>
      <w:r w:rsidR="00707817">
        <w:rPr>
          <w:bCs/>
        </w:rPr>
        <w:tab/>
      </w:r>
      <w:r w:rsidRPr="00B81CDD">
        <w:rPr>
          <w:bCs/>
        </w:rPr>
        <w:t>[…]</w:t>
      </w:r>
    </w:p>
    <w:p w14:paraId="6C416F4D" w14:textId="77777777" w:rsidR="0096580A" w:rsidRPr="00B81CDD" w:rsidRDefault="0096580A" w:rsidP="0096580A">
      <w:pPr>
        <w:spacing w:after="120"/>
        <w:ind w:left="2268" w:right="1134"/>
        <w:jc w:val="both"/>
        <w:rPr>
          <w:bCs/>
        </w:rPr>
      </w:pPr>
      <w:r w:rsidRPr="00B81CDD">
        <w:rPr>
          <w:shd w:val="clear" w:color="auto" w:fill="FFFFFF"/>
        </w:rPr>
        <w:t xml:space="preserve">Испытательный трек должен быть таким, чтобы условия распространения звука между источником звука и микрофоном соответствовали условиям свободного звукового поля с уровнем помех не более 1 дБ(А). Эти условия считают выполненными, если в пределах 50 м от центра участка для проведения измерений отсутствуют такие крупные звукоотражающие объекты, как ограды, скалы, мосты или здания. </w:t>
      </w:r>
      <w:r w:rsidRPr="00B81CDD">
        <w:t>Покрытие испытательного трека и размеры испытательной площадки должны соответствовать стандарту ISO 10844:</w:t>
      </w:r>
      <w:r w:rsidRPr="00B81CDD">
        <w:rPr>
          <w:strike/>
        </w:rPr>
        <w:t>2014</w:t>
      </w:r>
      <w:r w:rsidRPr="00B81CDD">
        <w:t> </w:t>
      </w:r>
      <w:r w:rsidRPr="00B81CDD">
        <w:rPr>
          <w:b/>
          <w:bCs/>
        </w:rPr>
        <w:t>2021</w:t>
      </w:r>
      <w:r w:rsidRPr="00B81CDD">
        <w:t xml:space="preserve">. </w:t>
      </w:r>
      <w:r w:rsidRPr="00B81CDD">
        <w:rPr>
          <w:strike/>
        </w:rPr>
        <w:t>До конца периода, указанного в пункте 12.8 настоящих Правил, технические требования к испытательной площадке могут соответствовать приложению 4 к настоящим Правилам.</w:t>
      </w:r>
    </w:p>
    <w:p w14:paraId="2557C919" w14:textId="77777777" w:rsidR="0096580A" w:rsidRPr="00B81CDD" w:rsidRDefault="0096580A" w:rsidP="0096580A">
      <w:pPr>
        <w:pStyle w:val="SingleTxtG"/>
        <w:ind w:left="2268"/>
      </w:pPr>
      <w:r w:rsidRPr="00B81CDD">
        <w:rPr>
          <w:bCs/>
          <w:spacing w:val="-2"/>
        </w:rPr>
        <w:t>[…]</w:t>
      </w:r>
      <w:r w:rsidRPr="00B81CDD">
        <w:t>»</w:t>
      </w:r>
    </w:p>
    <w:p w14:paraId="33CA7BC1" w14:textId="77777777" w:rsidR="0096580A" w:rsidRPr="00B81CDD" w:rsidRDefault="0096580A" w:rsidP="0096580A">
      <w:pPr>
        <w:pStyle w:val="a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B81CDD">
        <w:rPr>
          <w:i/>
          <w:iCs/>
          <w:lang w:val="ru-RU"/>
        </w:rPr>
        <w:lastRenderedPageBreak/>
        <w:t>Пункт 4.2</w:t>
      </w:r>
      <w:r w:rsidRPr="00B81CDD">
        <w:rPr>
          <w:lang w:val="ru-RU"/>
        </w:rPr>
        <w:t xml:space="preserve"> </w:t>
      </w:r>
      <w:r w:rsidRPr="00B81CDD">
        <w:rPr>
          <w:shd w:val="clear" w:color="auto" w:fill="FFFFFF"/>
          <w:lang w:val="ru-RU"/>
        </w:rPr>
        <w:t>изменить следующим образом</w:t>
      </w:r>
      <w:r w:rsidRPr="00B81CDD">
        <w:rPr>
          <w:lang w:val="ru-RU"/>
        </w:rPr>
        <w:t>:</w:t>
      </w:r>
    </w:p>
    <w:p w14:paraId="79FA7360" w14:textId="05E42669" w:rsidR="0096580A" w:rsidRPr="00B81CDD" w:rsidRDefault="0096580A" w:rsidP="0096580A">
      <w:pPr>
        <w:pStyle w:val="SingleTxtG"/>
        <w:ind w:left="2268" w:hanging="1134"/>
        <w:rPr>
          <w:bCs/>
        </w:rPr>
      </w:pPr>
      <w:r w:rsidRPr="00B81CDD">
        <w:t>«</w:t>
      </w:r>
      <w:r w:rsidRPr="00B81CDD">
        <w:rPr>
          <w:bCs/>
        </w:rPr>
        <w:t>4.2</w:t>
      </w:r>
      <w:r w:rsidRPr="00B81CDD">
        <w:rPr>
          <w:bCs/>
        </w:rPr>
        <w:tab/>
      </w:r>
      <w:r w:rsidR="00707817">
        <w:rPr>
          <w:bCs/>
        </w:rPr>
        <w:tab/>
      </w:r>
      <w:r w:rsidRPr="00B81CDD">
        <w:rPr>
          <w:bCs/>
        </w:rPr>
        <w:t>Температурная коррекция</w:t>
      </w:r>
    </w:p>
    <w:p w14:paraId="18292908" w14:textId="1CA23634" w:rsidR="0096580A" w:rsidRPr="00B81CDD" w:rsidRDefault="0096580A" w:rsidP="0096580A">
      <w:pPr>
        <w:pStyle w:val="SingleTxtG"/>
        <w:spacing w:after="240"/>
        <w:ind w:left="2268" w:hanging="1134"/>
        <w:rPr>
          <w:b/>
          <w:bCs/>
        </w:rPr>
      </w:pPr>
      <w:r w:rsidRPr="00B81CDD">
        <w:rPr>
          <w:b/>
        </w:rPr>
        <w:t>4.2.1</w:t>
      </w:r>
      <w:r w:rsidRPr="00B81CDD">
        <w:rPr>
          <w:b/>
        </w:rPr>
        <w:tab/>
      </w:r>
      <w:r w:rsidR="00707817">
        <w:rPr>
          <w:b/>
        </w:rPr>
        <w:tab/>
      </w:r>
      <w:r w:rsidRPr="00B81CDD">
        <w:rPr>
          <w:b/>
        </w:rPr>
        <w:t>До даты, указанной в пункте 12.18 настоящих Правил, для</w:t>
      </w:r>
      <w:r w:rsidRPr="00B81CDD">
        <w:rPr>
          <w:bCs/>
        </w:rPr>
        <w:t xml:space="preserve"> шин классов С1 и С2 уровни звука, производимого при качении шины, </w:t>
      </w:r>
      <w:r w:rsidRPr="00B81CDD">
        <w:rPr>
          <w:bCs/>
          <w:i/>
        </w:rPr>
        <w:t>L</w:t>
      </w:r>
      <w:r w:rsidRPr="00B81CDD">
        <w:rPr>
          <w:bCs/>
          <w:i/>
          <w:vertAlign w:val="subscript"/>
        </w:rPr>
        <w:t>i</w:t>
      </w:r>
      <w:r w:rsidRPr="00B81CDD">
        <w:rPr>
          <w:rFonts w:eastAsia="Calibri" w:cs="Arial"/>
          <w:bCs/>
          <w:i/>
        </w:rPr>
        <w:t>(</w:t>
      </w:r>
      <w:r w:rsidRPr="00B81CDD">
        <w:rPr>
          <w:rFonts w:eastAsia="Calibri" w:cs="Arial"/>
          <w:bCs/>
        </w:rPr>
        <w:sym w:font="WP Greek Courier" w:char="F04A"/>
      </w:r>
      <w:r w:rsidRPr="00B81CDD">
        <w:rPr>
          <w:rFonts w:eastAsia="Calibri" w:cs="Arial"/>
          <w:bCs/>
          <w:i/>
          <w:vertAlign w:val="subscript"/>
        </w:rPr>
        <w:t>i</w:t>
      </w:r>
      <w:r w:rsidRPr="00B81CDD">
        <w:rPr>
          <w:rFonts w:eastAsia="Calibri" w:cs="Arial"/>
          <w:bCs/>
          <w:i/>
        </w:rPr>
        <w:t xml:space="preserve">), </w:t>
      </w:r>
      <w:r w:rsidRPr="00B81CDD">
        <w:rPr>
          <w:bCs/>
        </w:rPr>
        <w:t>измеренные при температуре испытательного покрытия</w:t>
      </w:r>
      <w:r w:rsidRPr="00B81CDD">
        <w:t xml:space="preserve"> </w:t>
      </w:r>
      <w:r w:rsidRPr="00B81CDD">
        <w:rPr>
          <w:rFonts w:eastAsia="Calibri" w:cs="Arial"/>
          <w:bCs/>
        </w:rPr>
        <w:sym w:font="WP Greek Courier" w:char="F04A"/>
      </w:r>
      <w:r w:rsidRPr="00B81CDD">
        <w:rPr>
          <w:rFonts w:eastAsia="Calibri" w:cs="Arial"/>
          <w:bCs/>
          <w:i/>
          <w:vertAlign w:val="subscript"/>
        </w:rPr>
        <w:t>i</w:t>
      </w:r>
      <w:r w:rsidRPr="00B81CDD">
        <w:rPr>
          <w:b/>
          <w:bCs/>
          <w:i/>
        </w:rPr>
        <w:t xml:space="preserve"> </w:t>
      </w:r>
      <w:r w:rsidRPr="00B81CDD">
        <w:rPr>
          <w:bCs/>
        </w:rPr>
        <w:t xml:space="preserve">(где </w:t>
      </w:r>
      <w:r w:rsidRPr="00B81CDD">
        <w:rPr>
          <w:rFonts w:eastAsia="Calibri" w:cs="Arial"/>
          <w:bCs/>
          <w:i/>
        </w:rPr>
        <w:t>i</w:t>
      </w:r>
      <w:r w:rsidRPr="00B81CDD">
        <w:rPr>
          <w:bCs/>
        </w:rPr>
        <w:t xml:space="preserve"> означает число единичных измерений),</w:t>
      </w:r>
      <w:r w:rsidRPr="00B81CDD">
        <w:rPr>
          <w:b/>
          <w:bCs/>
        </w:rPr>
        <w:t xml:space="preserve"> </w:t>
      </w:r>
      <w:r w:rsidRPr="00B81CDD">
        <w:rPr>
          <w:bCs/>
        </w:rPr>
        <w:t xml:space="preserve">должны </w:t>
      </w:r>
      <w:r w:rsidRPr="00B81CDD">
        <w:rPr>
          <w:bCs/>
          <w:strike/>
        </w:rPr>
        <w:t>быть приведены</w:t>
      </w:r>
      <w:r w:rsidRPr="00B81CDD">
        <w:rPr>
          <w:bCs/>
        </w:rPr>
        <w:t xml:space="preserve"> </w:t>
      </w:r>
      <w:r w:rsidRPr="00B81CDD">
        <w:rPr>
          <w:b/>
        </w:rPr>
        <w:t>приводиться</w:t>
      </w:r>
      <w:r w:rsidRPr="00B81CDD">
        <w:rPr>
          <w:bCs/>
        </w:rPr>
        <w:t xml:space="preserve"> к контрольной температуре испытательного покрытия</w:t>
      </w:r>
      <w:r w:rsidRPr="00B81CDD">
        <w:rPr>
          <w:b/>
          <w:bCs/>
        </w:rPr>
        <w:t xml:space="preserve"> </w:t>
      </w:r>
      <w:r w:rsidRPr="00B81CDD">
        <w:rPr>
          <w:bCs/>
          <w:i/>
        </w:rPr>
        <w:sym w:font="WP Greek Courier" w:char="F04A"/>
      </w:r>
      <w:r w:rsidRPr="00B81CDD">
        <w:rPr>
          <w:bCs/>
          <w:vertAlign w:val="subscript"/>
        </w:rPr>
        <w:t>ref</w:t>
      </w:r>
      <w:r w:rsidRPr="00B81CDD">
        <w:rPr>
          <w:b/>
          <w:bCs/>
        </w:rPr>
        <w:t xml:space="preserve"> </w:t>
      </w:r>
      <w:r w:rsidRPr="00B81CDD">
        <w:rPr>
          <w:bCs/>
        </w:rPr>
        <w:t>посредством температурной коррекции</w:t>
      </w:r>
      <w:r w:rsidRPr="00B81CDD">
        <w:t xml:space="preserve"> </w:t>
      </w:r>
      <w:r w:rsidRPr="00B81CDD">
        <w:rPr>
          <w:bCs/>
        </w:rPr>
        <w:t>по следующей формуле:</w:t>
      </w:r>
      <w:r w:rsidRPr="00B81CDD">
        <w:rPr>
          <w:b/>
          <w:bCs/>
        </w:rPr>
        <w:t xml:space="preserve"> </w:t>
      </w:r>
    </w:p>
    <w:p w14:paraId="7E17D4D2" w14:textId="77777777" w:rsidR="0096580A" w:rsidRPr="00B81CDD" w:rsidRDefault="0096580A" w:rsidP="0096580A">
      <w:pPr>
        <w:pStyle w:val="SingleTxtG"/>
        <w:spacing w:after="0"/>
        <w:ind w:left="2268"/>
        <w:jc w:val="center"/>
        <w:rPr>
          <w:bCs/>
          <w:lang w:val="en-US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Cs/>
                    <w:lang w:val="en-US"/>
                  </w:rPr>
                  <m:t>ref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Cs/>
                    <w:lang w:val="en-US"/>
                  </w:rPr>
                  <m:t>ref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Pr="00B81CDD">
        <w:rPr>
          <w:bCs/>
          <w:lang w:val="en-US"/>
        </w:rPr>
        <w:t>,</w:t>
      </w:r>
    </w:p>
    <w:p w14:paraId="734C6FFA" w14:textId="77777777" w:rsidR="0096580A" w:rsidRPr="00B81CDD" w:rsidRDefault="0096580A" w:rsidP="0096580A">
      <w:pPr>
        <w:pStyle w:val="SingleTxtG"/>
        <w:ind w:left="2268"/>
        <w:jc w:val="left"/>
      </w:pPr>
      <w:r w:rsidRPr="00B81CDD">
        <w:rPr>
          <w:bCs/>
        </w:rPr>
        <w:t>где:</w:t>
      </w:r>
    </w:p>
    <w:p w14:paraId="5670B50B" w14:textId="77777777" w:rsidR="0096580A" w:rsidRPr="00B81CDD" w:rsidRDefault="0096580A" w:rsidP="0096580A">
      <w:pPr>
        <w:pStyle w:val="SingleTxtG"/>
        <w:tabs>
          <w:tab w:val="left" w:pos="2977"/>
          <w:tab w:val="left" w:pos="3178"/>
        </w:tabs>
        <w:ind w:left="2552" w:right="0"/>
        <w:jc w:val="left"/>
      </w:pPr>
      <w:r w:rsidRPr="00B81CDD">
        <w:rPr>
          <w:bCs/>
          <w:iCs/>
        </w:rPr>
        <w:sym w:font="WP Greek Courier" w:char="F04A"/>
      </w:r>
      <w:r w:rsidRPr="00B81CDD">
        <w:rPr>
          <w:bCs/>
          <w:vertAlign w:val="subscript"/>
        </w:rPr>
        <w:t>ref</w:t>
      </w:r>
      <w:r w:rsidRPr="00B81CDD">
        <w:tab/>
        <w:t xml:space="preserve"> = </w:t>
      </w:r>
      <w:r w:rsidRPr="00B81CDD">
        <w:rPr>
          <w:bCs/>
        </w:rPr>
        <w:t>20 °C;</w:t>
      </w:r>
    </w:p>
    <w:p w14:paraId="3CDE3E23" w14:textId="7DEF9C5C" w:rsidR="0096580A" w:rsidRPr="00B81CDD" w:rsidRDefault="005110E3" w:rsidP="0096580A">
      <w:pPr>
        <w:pStyle w:val="SingleTxtG"/>
        <w:spacing w:before="120"/>
        <w:ind w:left="2268" w:hanging="1134"/>
        <w:jc w:val="left"/>
        <w:rPr>
          <w:bCs/>
        </w:rPr>
      </w:pPr>
      <w:r>
        <w:rPr>
          <w:b/>
          <w:bCs/>
        </w:rPr>
        <w:tab/>
      </w:r>
      <w:r w:rsidR="0096580A" w:rsidRPr="00B81CDD">
        <w:rPr>
          <w:b/>
          <w:bCs/>
        </w:rPr>
        <w:tab/>
      </w:r>
      <w:r w:rsidR="0096580A" w:rsidRPr="00B81CDD">
        <w:rPr>
          <w:bCs/>
        </w:rPr>
        <w:t xml:space="preserve">для шин класса С1 </w:t>
      </w:r>
      <w:bookmarkStart w:id="0" w:name="OLE_LINK76"/>
      <w:bookmarkStart w:id="1" w:name="OLE_LINK77"/>
      <w:r w:rsidR="0096580A" w:rsidRPr="00B81CDD">
        <w:rPr>
          <w:bCs/>
        </w:rPr>
        <w:t xml:space="preserve">коэффициент </w:t>
      </w:r>
      <w:r w:rsidR="0096580A" w:rsidRPr="00B81CDD">
        <w:rPr>
          <w:bCs/>
          <w:i/>
        </w:rPr>
        <w:t>K</w:t>
      </w:r>
      <w:r w:rsidR="0096580A" w:rsidRPr="00B81CDD">
        <w:rPr>
          <w:bCs/>
        </w:rPr>
        <w:t xml:space="preserve"> составляет</w:t>
      </w:r>
      <w:bookmarkEnd w:id="0"/>
      <w:bookmarkEnd w:id="1"/>
      <w:r w:rsidR="0096580A" w:rsidRPr="00B81CDD">
        <w:rPr>
          <w:bCs/>
        </w:rPr>
        <w:t>:</w:t>
      </w:r>
    </w:p>
    <w:p w14:paraId="3502A812" w14:textId="77777777" w:rsidR="0096580A" w:rsidRPr="00B81CDD" w:rsidRDefault="0096580A" w:rsidP="0096580A">
      <w:pPr>
        <w:pStyle w:val="SingleTxtG"/>
        <w:tabs>
          <w:tab w:val="left" w:pos="2977"/>
          <w:tab w:val="left" w:pos="3261"/>
        </w:tabs>
        <w:ind w:left="2552" w:right="0"/>
        <w:jc w:val="left"/>
        <w:rPr>
          <w:bCs/>
          <w:lang w:val="en-US"/>
        </w:rPr>
      </w:pPr>
      <w:r w:rsidRPr="00B81CDD">
        <w:rPr>
          <w:bCs/>
          <w:lang w:val="en-US"/>
        </w:rPr>
        <w:t xml:space="preserve">–0,03 </w:t>
      </w:r>
      <w:r w:rsidRPr="00B81CDD">
        <w:rPr>
          <w:bCs/>
        </w:rPr>
        <w:t>дБ</w:t>
      </w:r>
      <w:r w:rsidRPr="00B81CDD">
        <w:rPr>
          <w:bCs/>
          <w:lang w:val="en-US"/>
        </w:rPr>
        <w:t xml:space="preserve">(A)/°C, </w:t>
      </w:r>
      <w:r w:rsidRPr="00B81CDD">
        <w:rPr>
          <w:bCs/>
        </w:rPr>
        <w:t>когда</w:t>
      </w:r>
      <w:r w:rsidRPr="00B81CDD">
        <w:rPr>
          <w:bCs/>
          <w:lang w:val="en-US"/>
        </w:rPr>
        <w:t xml:space="preserve"> </w:t>
      </w:r>
      <w:r w:rsidRPr="00B81CDD">
        <w:rPr>
          <w:bCs/>
          <w:i/>
        </w:rPr>
        <w:sym w:font="WP Greek Courier" w:char="F04A"/>
      </w:r>
      <w:r w:rsidRPr="00B81CDD">
        <w:rPr>
          <w:bCs/>
          <w:i/>
          <w:vertAlign w:val="subscript"/>
          <w:lang w:val="en-US"/>
        </w:rPr>
        <w:t>i</w:t>
      </w:r>
      <w:r w:rsidRPr="00B81CDD">
        <w:rPr>
          <w:bCs/>
          <w:lang w:val="en-US"/>
        </w:rPr>
        <w:t xml:space="preserve"> &gt; </w:t>
      </w:r>
      <w:r w:rsidRPr="00B81CDD">
        <w:rPr>
          <w:bCs/>
          <w:i/>
        </w:rPr>
        <w:sym w:font="WP Greek Courier" w:char="F04A"/>
      </w:r>
      <w:r w:rsidRPr="00B81CDD">
        <w:rPr>
          <w:bCs/>
          <w:vertAlign w:val="subscript"/>
          <w:lang w:val="en-US"/>
        </w:rPr>
        <w:t>ref</w:t>
      </w:r>
      <w:r w:rsidRPr="00B81CDD">
        <w:rPr>
          <w:bCs/>
          <w:lang w:val="en-US"/>
        </w:rPr>
        <w:t> </w:t>
      </w:r>
      <w:r w:rsidRPr="00B81CDD">
        <w:rPr>
          <w:bCs/>
        </w:rPr>
        <w:t>и</w:t>
      </w:r>
    </w:p>
    <w:p w14:paraId="41F68ED5" w14:textId="77777777" w:rsidR="0096580A" w:rsidRPr="00B81CDD" w:rsidRDefault="0096580A" w:rsidP="0096580A">
      <w:pPr>
        <w:pStyle w:val="SingleTxtG"/>
        <w:tabs>
          <w:tab w:val="left" w:pos="2977"/>
          <w:tab w:val="left" w:pos="3261"/>
        </w:tabs>
        <w:ind w:left="2552" w:right="0"/>
        <w:jc w:val="left"/>
        <w:rPr>
          <w:bCs/>
          <w:lang w:val="en-US"/>
        </w:rPr>
      </w:pPr>
      <w:r w:rsidRPr="00B81CDD">
        <w:rPr>
          <w:bCs/>
          <w:lang w:val="en-US"/>
        </w:rPr>
        <w:t xml:space="preserve">–0,06 </w:t>
      </w:r>
      <w:r w:rsidRPr="00B81CDD">
        <w:rPr>
          <w:bCs/>
        </w:rPr>
        <w:t>дБ</w:t>
      </w:r>
      <w:r w:rsidRPr="00B81CDD">
        <w:rPr>
          <w:bCs/>
          <w:lang w:val="en-US"/>
        </w:rPr>
        <w:t xml:space="preserve">(A)/°C, </w:t>
      </w:r>
      <w:r w:rsidRPr="00B81CDD">
        <w:rPr>
          <w:bCs/>
        </w:rPr>
        <w:t>когда</w:t>
      </w:r>
      <w:r w:rsidRPr="00B81CDD">
        <w:rPr>
          <w:bCs/>
          <w:lang w:val="en-US"/>
        </w:rPr>
        <w:t xml:space="preserve"> </w:t>
      </w:r>
      <w:r w:rsidRPr="00B81CDD">
        <w:rPr>
          <w:bCs/>
          <w:i/>
        </w:rPr>
        <w:sym w:font="WP Greek Courier" w:char="F04A"/>
      </w:r>
      <w:r w:rsidRPr="00B81CDD">
        <w:rPr>
          <w:bCs/>
          <w:i/>
          <w:vertAlign w:val="subscript"/>
          <w:lang w:val="en-US"/>
        </w:rPr>
        <w:t>i</w:t>
      </w:r>
      <w:r w:rsidRPr="00B81CDD">
        <w:rPr>
          <w:bCs/>
          <w:lang w:val="en-US"/>
        </w:rPr>
        <w:t xml:space="preserve"> &lt; </w:t>
      </w:r>
      <w:r w:rsidRPr="00B81CDD">
        <w:rPr>
          <w:bCs/>
          <w:i/>
        </w:rPr>
        <w:sym w:font="WP Greek Courier" w:char="F04A"/>
      </w:r>
      <w:r w:rsidRPr="00B81CDD">
        <w:rPr>
          <w:bCs/>
          <w:vertAlign w:val="subscript"/>
          <w:lang w:val="en-US"/>
        </w:rPr>
        <w:t>ref</w:t>
      </w:r>
      <w:r w:rsidRPr="00B81CDD">
        <w:rPr>
          <w:bCs/>
          <w:lang w:val="en-US"/>
        </w:rPr>
        <w:t>;</w:t>
      </w:r>
    </w:p>
    <w:p w14:paraId="2AD2687B" w14:textId="6C4E68F5" w:rsidR="0096580A" w:rsidRPr="00B81CDD" w:rsidRDefault="005110E3" w:rsidP="0096580A">
      <w:pPr>
        <w:pStyle w:val="SingleTxtG"/>
        <w:ind w:left="2268" w:hanging="1134"/>
        <w:rPr>
          <w:bCs/>
        </w:rPr>
      </w:pPr>
      <w:r>
        <w:rPr>
          <w:b/>
          <w:bCs/>
          <w:lang w:val="en-US"/>
        </w:rPr>
        <w:tab/>
      </w:r>
      <w:r w:rsidR="0096580A" w:rsidRPr="00B81CDD">
        <w:rPr>
          <w:b/>
          <w:bCs/>
          <w:lang w:val="en-US"/>
        </w:rPr>
        <w:tab/>
      </w:r>
      <w:r w:rsidR="0096580A" w:rsidRPr="00B81CDD">
        <w:rPr>
          <w:bCs/>
        </w:rPr>
        <w:t xml:space="preserve">для шин класса C2 коэффициент </w:t>
      </w:r>
      <w:r w:rsidR="0096580A" w:rsidRPr="00B81CDD">
        <w:rPr>
          <w:bCs/>
          <w:i/>
        </w:rPr>
        <w:t>K</w:t>
      </w:r>
      <w:r w:rsidR="0096580A" w:rsidRPr="00B81CDD">
        <w:rPr>
          <w:bCs/>
        </w:rPr>
        <w:t xml:space="preserve"> составляет –0,02 дБ(A)/°C.</w:t>
      </w:r>
    </w:p>
    <w:p w14:paraId="64FF0E1F" w14:textId="77777777" w:rsidR="0096580A" w:rsidRPr="00B81CDD" w:rsidRDefault="0096580A" w:rsidP="0096580A">
      <w:pPr>
        <w:spacing w:before="120" w:after="120"/>
        <w:ind w:left="2268" w:right="1134" w:hanging="1134"/>
        <w:jc w:val="both"/>
        <w:rPr>
          <w:b/>
        </w:rPr>
      </w:pPr>
      <w:r w:rsidRPr="00B81CDD">
        <w:rPr>
          <w:b/>
        </w:rPr>
        <w:t>4.2.2</w:t>
      </w:r>
      <w:r w:rsidRPr="00B81CDD">
        <w:rPr>
          <w:b/>
        </w:rPr>
        <w:tab/>
      </w:r>
      <w:r w:rsidRPr="00B81CDD">
        <w:rPr>
          <w:b/>
        </w:rPr>
        <w:tab/>
        <w:t xml:space="preserve">Начиная с даты, указанной в пункте 12.19, для шин классов С1 и С2 уровни звука, производимого при качении шины, </w:t>
      </w:r>
      <w:r w:rsidRPr="00B81CDD">
        <w:rPr>
          <w:b/>
          <w:i/>
        </w:rPr>
        <w:t>L</w:t>
      </w:r>
      <w:r w:rsidRPr="00B81CDD">
        <w:rPr>
          <w:b/>
          <w:i/>
          <w:vertAlign w:val="subscript"/>
        </w:rPr>
        <w:t>i</w:t>
      </w:r>
      <w:r w:rsidRPr="00B81CDD">
        <w:rPr>
          <w:rFonts w:eastAsia="Calibri" w:cs="Arial"/>
          <w:b/>
          <w:i/>
        </w:rPr>
        <w:t>(</w:t>
      </w:r>
      <w:r w:rsidRPr="00B81CDD">
        <w:rPr>
          <w:rFonts w:eastAsia="Calibri" w:cs="Arial"/>
          <w:b/>
        </w:rPr>
        <w:sym w:font="WP Greek Courier" w:char="F04A"/>
      </w:r>
      <w:r w:rsidRPr="00B81CDD">
        <w:rPr>
          <w:rFonts w:eastAsia="Calibri" w:cs="Arial"/>
          <w:b/>
          <w:i/>
          <w:vertAlign w:val="subscript"/>
        </w:rPr>
        <w:t>i</w:t>
      </w:r>
      <w:r w:rsidRPr="00B81CDD">
        <w:rPr>
          <w:rFonts w:eastAsia="Calibri" w:cs="Arial"/>
          <w:b/>
          <w:i/>
        </w:rPr>
        <w:t xml:space="preserve">), </w:t>
      </w:r>
      <w:r w:rsidRPr="00B81CDD">
        <w:rPr>
          <w:b/>
        </w:rPr>
        <w:t xml:space="preserve">измеренные при температуре испытательного покрытия </w:t>
      </w:r>
      <w:r w:rsidRPr="00B81CDD">
        <w:rPr>
          <w:rFonts w:eastAsia="Calibri" w:cs="Arial"/>
          <w:b/>
        </w:rPr>
        <w:sym w:font="WP Greek Courier" w:char="F04A"/>
      </w:r>
      <w:r w:rsidRPr="00B81CDD">
        <w:rPr>
          <w:rFonts w:eastAsia="Calibri" w:cs="Arial"/>
          <w:b/>
          <w:i/>
          <w:vertAlign w:val="subscript"/>
        </w:rPr>
        <w:t>i</w:t>
      </w:r>
      <w:r w:rsidRPr="00B81CDD">
        <w:rPr>
          <w:b/>
          <w:i/>
        </w:rPr>
        <w:t xml:space="preserve"> </w:t>
      </w:r>
      <w:r w:rsidRPr="00B81CDD">
        <w:rPr>
          <w:b/>
        </w:rPr>
        <w:t xml:space="preserve">(где </w:t>
      </w:r>
      <w:r w:rsidRPr="00B81CDD">
        <w:rPr>
          <w:rFonts w:eastAsia="Calibri" w:cs="Arial"/>
          <w:b/>
          <w:i/>
        </w:rPr>
        <w:t>i</w:t>
      </w:r>
      <w:r w:rsidRPr="00B81CDD">
        <w:rPr>
          <w:b/>
        </w:rPr>
        <w:t xml:space="preserve"> означает число единичных измерений), должны приводиться к контрольной температуре испытательного покрытия </w:t>
      </w:r>
      <w:r w:rsidRPr="00B81CDD">
        <w:rPr>
          <w:b/>
          <w:i/>
        </w:rPr>
        <w:sym w:font="WP Greek Courier" w:char="F04A"/>
      </w:r>
      <w:r w:rsidRPr="00B81CDD">
        <w:rPr>
          <w:b/>
          <w:vertAlign w:val="subscript"/>
        </w:rPr>
        <w:t>ref</w:t>
      </w:r>
      <w:r w:rsidRPr="00B81CDD">
        <w:rPr>
          <w:b/>
        </w:rPr>
        <w:t xml:space="preserve"> посредством температурной коррекции по следующей формуле:</w:t>
      </w:r>
    </w:p>
    <w:bookmarkStart w:id="2" w:name="_Hlk124170188"/>
    <w:p w14:paraId="27CDBA7E" w14:textId="77777777" w:rsidR="0096580A" w:rsidRPr="00B81CDD" w:rsidRDefault="0096580A" w:rsidP="0096580A">
      <w:pPr>
        <w:pStyle w:val="SingleTxtG"/>
        <w:ind w:left="2268"/>
        <w:jc w:val="center"/>
        <w:rPr>
          <w:b/>
          <w:lang w:val="en-US"/>
        </w:rPr>
      </w:pPr>
      <m:oMath>
        <m:sSub>
          <m:sSubPr>
            <m:ctrlPr>
              <w:rPr>
                <w:rFonts w:ascii="Cambria Math" w:eastAsia="Calibri" w:hAnsi="Cambria Math" w:cs="Arial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Arial"/>
                <w:lang w:val="en-GB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Arial"/>
                <w:lang w:val="en-GB"/>
              </w:rPr>
              <m:t>i</m:t>
            </m:r>
          </m:sub>
        </m:sSub>
        <m:d>
          <m:dPr>
            <m:ctrlPr>
              <w:rPr>
                <w:rFonts w:ascii="Cambria Math" w:eastAsia="Calibri" w:hAnsi="Cambria Math" w:cs="Arial"/>
                <w:b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Arial"/>
                    <w:lang w:val="en-GB"/>
                  </w:rPr>
                  <m:t>ϑ</m:t>
                </m:r>
              </m:e>
              <m:sub>
                <m:r>
                  <m:rPr>
                    <m:nor/>
                  </m:rPr>
                  <w:rPr>
                    <w:rFonts w:ascii="Cambria Math" w:eastAsia="Calibri" w:hAnsi="Cambria Math" w:cs="Arial"/>
                    <w:b/>
                    <w:lang w:val="en-GB"/>
                  </w:rPr>
                  <m:t>ref</m:t>
                </m:r>
              </m:sub>
            </m:sSub>
          </m:e>
        </m:d>
        <m:r>
          <m:rPr>
            <m:sty m:val="bi"/>
          </m:rPr>
          <w:rPr>
            <w:rFonts w:ascii="Cambria Math" w:eastAsia="Calibri" w:hAnsi="Cambria Math" w:cs="Arial"/>
            <w:lang w:val="en-GB"/>
          </w:rPr>
          <m:t>=</m:t>
        </m:r>
        <m:sSub>
          <m:sSubPr>
            <m:ctrlPr>
              <w:rPr>
                <w:rFonts w:ascii="Cambria Math" w:eastAsia="Calibri" w:hAnsi="Cambria Math" w:cs="Arial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Arial"/>
                <w:lang w:val="en-GB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Arial"/>
                <w:lang w:val="en-GB"/>
              </w:rPr>
              <m:t>i</m:t>
            </m:r>
          </m:sub>
        </m:sSub>
        <m:d>
          <m:dPr>
            <m:ctrlPr>
              <w:rPr>
                <w:rFonts w:ascii="Cambria Math" w:eastAsia="Calibri" w:hAnsi="Cambria Math" w:cs="Arial"/>
                <w:b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Arial"/>
                    <w:lang w:val="en-GB"/>
                  </w:rPr>
                  <m:t>ϑ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Arial"/>
                    <w:lang w:val="en-GB"/>
                  </w:rPr>
                  <m:t>i</m:t>
                </m:r>
              </m:sub>
            </m:sSub>
          </m:e>
        </m:d>
        <m:r>
          <m:rPr>
            <m:sty m:val="bi"/>
          </m:rPr>
          <w:rPr>
            <w:rFonts w:ascii="Cambria Math" w:eastAsia="Calibri" w:hAnsi="Cambria Math" w:cs="Arial"/>
            <w:lang w:val="en-GB"/>
          </w:rPr>
          <m:t>-</m:t>
        </m:r>
        <m:sSub>
          <m:sSubPr>
            <m:ctrlPr>
              <w:rPr>
                <w:rFonts w:ascii="Cambria Math" w:eastAsia="Calibri" w:hAnsi="Cambria Math" w:cs="Arial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Arial"/>
                <w:lang w:val="en-GB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Arial"/>
                <w:lang w:val="en-GB"/>
              </w:rPr>
              <m:t>1</m:t>
            </m:r>
          </m:sub>
        </m:sSub>
        <m:r>
          <m:rPr>
            <m:sty m:val="bi"/>
          </m:rPr>
          <w:rPr>
            <w:rFonts w:ascii="Cambria Math" w:eastAsia="Calibri" w:hAnsi="Cambria Math" w:cs="Arial"/>
            <w:lang w:val="en-GB"/>
          </w:rPr>
          <m:t>∙</m:t>
        </m:r>
        <m:func>
          <m:funcPr>
            <m:ctrlPr>
              <w:rPr>
                <w:rFonts w:ascii="Cambria Math" w:eastAsia="Calibri" w:hAnsi="Cambria Math" w:cs="Arial"/>
                <w:b/>
                <w:i/>
                <w:lang w:val="en-GB"/>
              </w:rPr>
            </m:ctrlPr>
          </m:funcPr>
          <m:fName>
            <m:r>
              <m:rPr>
                <m:sty m:val="b"/>
              </m:rPr>
              <w:rPr>
                <w:rFonts w:ascii="Cambria Math" w:eastAsia="Calibri" w:hAnsi="Cambria Math" w:cs="Arial"/>
                <w:lang w:val="en-GB"/>
              </w:rPr>
              <m:t>lg</m:t>
            </m:r>
          </m:fName>
          <m:e>
            <m:d>
              <m:dPr>
                <m:ctrlPr>
                  <w:rPr>
                    <w:rFonts w:ascii="Cambria Math" w:eastAsia="Calibri" w:hAnsi="Cambria Math" w:cs="Arial"/>
                    <w:b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lang w:val="en-GB"/>
                          </w:rPr>
                          <m:t>ϑ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Calibri" w:hAnsi="Cambria Math" w:cs="Arial"/>
                            <w:b/>
                            <w:lang w:val="en-GB"/>
                          </w:rPr>
                          <m:t>ref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lang w:val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lang w:val="en-GB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lang w:val="en-GB"/>
                          </w:rPr>
                          <m:t>ϑ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lang w:val="en-GB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lang w:val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lang w:val="en-GB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</m:oMath>
      <w:bookmarkEnd w:id="2"/>
      <w:r w:rsidRPr="00B81CDD">
        <w:rPr>
          <w:b/>
          <w:lang w:val="en-US"/>
        </w:rPr>
        <w:t>,</w:t>
      </w:r>
    </w:p>
    <w:p w14:paraId="1A783796" w14:textId="77777777" w:rsidR="0096580A" w:rsidRPr="00B81CDD" w:rsidRDefault="0096580A" w:rsidP="0096580A">
      <w:pPr>
        <w:spacing w:after="120"/>
        <w:ind w:left="2268" w:right="1134"/>
        <w:rPr>
          <w:rFonts w:eastAsia="Calibri" w:cs="Arial"/>
          <w:b/>
        </w:rPr>
      </w:pPr>
      <w:r w:rsidRPr="00B81CDD">
        <w:rPr>
          <w:rFonts w:eastAsia="Calibri" w:cs="Arial"/>
          <w:b/>
        </w:rPr>
        <w:t>где:</w:t>
      </w:r>
    </w:p>
    <w:p w14:paraId="10F937BB" w14:textId="77777777" w:rsidR="0096580A" w:rsidRPr="00B81CDD" w:rsidRDefault="0096580A" w:rsidP="0096580A">
      <w:pPr>
        <w:pStyle w:val="SingleTxtG"/>
        <w:tabs>
          <w:tab w:val="left" w:pos="2977"/>
          <w:tab w:val="left" w:pos="3178"/>
        </w:tabs>
        <w:ind w:left="2552" w:right="0"/>
        <w:jc w:val="left"/>
        <w:rPr>
          <w:rFonts w:eastAsia="Calibri" w:cs="Arial"/>
          <w:b/>
          <w:strike/>
        </w:rPr>
      </w:pPr>
      <w:r w:rsidRPr="00B81CDD">
        <w:rPr>
          <w:b/>
        </w:rPr>
        <w:tab/>
      </w:r>
      <m:oMath>
        <m:r>
          <m:rPr>
            <m:sty m:val="bi"/>
          </m:rPr>
          <w:rPr>
            <w:rFonts w:ascii="Cambria Math" w:eastAsia="Calibri" w:hAnsi="Cambria Math" w:cs="Arial"/>
            <w:lang w:val="en-GB"/>
          </w:rPr>
          <m:t>ϑ</m:t>
        </m:r>
      </m:oMath>
      <w:r w:rsidRPr="00B81CDD">
        <w:rPr>
          <w:rFonts w:eastAsia="Calibri" w:cs="Arial"/>
          <w:b/>
          <w:vertAlign w:val="subscript"/>
          <w:lang w:val="en-GB"/>
        </w:rPr>
        <w:t>ref</w:t>
      </w:r>
      <w:r w:rsidRPr="00B81CDD">
        <w:rPr>
          <w:rFonts w:eastAsia="Calibri" w:cs="Arial"/>
          <w:b/>
        </w:rPr>
        <w:tab/>
        <w:t>= 20 °</w:t>
      </w:r>
      <w:r w:rsidRPr="00B81CDD">
        <w:rPr>
          <w:rFonts w:eastAsia="Calibri" w:cs="Arial"/>
          <w:b/>
          <w:lang w:val="en-GB"/>
        </w:rPr>
        <w:t>C</w:t>
      </w:r>
      <w:r w:rsidRPr="00B81CDD">
        <w:rPr>
          <w:rFonts w:eastAsia="Calibri" w:cs="Arial"/>
          <w:b/>
        </w:rPr>
        <w:t>,</w:t>
      </w:r>
    </w:p>
    <w:p w14:paraId="43DBCA4A" w14:textId="77777777" w:rsidR="0096580A" w:rsidRPr="00B81CDD" w:rsidRDefault="0096580A" w:rsidP="0096580A">
      <w:pPr>
        <w:spacing w:before="120" w:after="120"/>
        <w:ind w:left="2268" w:right="1134"/>
        <w:rPr>
          <w:rFonts w:eastAsia="Calibri" w:cs="Arial"/>
          <w:b/>
        </w:rPr>
      </w:pPr>
      <w:r w:rsidRPr="00B81CDD">
        <w:rPr>
          <w:rFonts w:eastAsia="Calibri" w:cs="Arial"/>
          <w:b/>
        </w:rPr>
        <w:t xml:space="preserve">а коэффициенты </w:t>
      </w:r>
      <w:r w:rsidRPr="00B81CDD">
        <w:rPr>
          <w:rFonts w:eastAsia="Calibri" w:cs="Arial"/>
          <w:b/>
          <w:i/>
          <w:iCs/>
          <w:lang w:val="en-GB"/>
        </w:rPr>
        <w:t>K</w:t>
      </w:r>
      <w:r w:rsidRPr="00B81CDD">
        <w:rPr>
          <w:rFonts w:eastAsia="Calibri" w:cs="Arial"/>
          <w:b/>
          <w:i/>
          <w:iCs/>
          <w:vertAlign w:val="subscript"/>
        </w:rPr>
        <w:t>1</w:t>
      </w:r>
      <w:r w:rsidRPr="00B81CDD">
        <w:rPr>
          <w:rFonts w:eastAsia="Calibri" w:cs="Arial"/>
          <w:b/>
        </w:rPr>
        <w:t xml:space="preserve"> и </w:t>
      </w:r>
      <w:r w:rsidRPr="00B81CDD">
        <w:rPr>
          <w:rFonts w:eastAsia="Calibri" w:cs="Arial"/>
          <w:b/>
          <w:i/>
          <w:iCs/>
          <w:lang w:val="en-GB"/>
        </w:rPr>
        <w:t>K</w:t>
      </w:r>
      <w:r w:rsidRPr="00B81CDD">
        <w:rPr>
          <w:rFonts w:eastAsia="Calibri" w:cs="Arial"/>
          <w:b/>
          <w:i/>
          <w:iCs/>
          <w:vertAlign w:val="subscript"/>
        </w:rPr>
        <w:t>2</w:t>
      </w:r>
      <w:r w:rsidRPr="00B81CDD">
        <w:rPr>
          <w:rFonts w:eastAsia="Calibri" w:cs="Arial"/>
          <w:b/>
        </w:rPr>
        <w:t xml:space="preserve"> </w:t>
      </w:r>
      <w:r w:rsidRPr="00B81CDD">
        <w:rPr>
          <w:b/>
          <w:bCs/>
        </w:rPr>
        <w:t>приведены в таблицах ниже</w:t>
      </w:r>
      <w:r w:rsidRPr="00B81CDD">
        <w:rPr>
          <w:rFonts w:eastAsia="Calibri" w:cs="Arial"/>
          <w:b/>
        </w:rPr>
        <w:t>.</w:t>
      </w:r>
    </w:p>
    <w:p w14:paraId="61EC4C0D" w14:textId="77777777" w:rsidR="0096580A" w:rsidRPr="00B81CDD" w:rsidRDefault="0096580A" w:rsidP="0096580A">
      <w:pPr>
        <w:pStyle w:val="SingleTxtG"/>
        <w:ind w:left="2268"/>
        <w:rPr>
          <w:rFonts w:eastAsia="Calibri" w:cs="Arial"/>
          <w:b/>
        </w:rPr>
      </w:pPr>
    </w:p>
    <w:tbl>
      <w:tblPr>
        <w:tblStyle w:val="ad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</w:tblGrid>
      <w:tr w:rsidR="0096580A" w:rsidRPr="00B81CDD" w14:paraId="5B039E90" w14:textId="77777777" w:rsidTr="000A2613">
        <w:tc>
          <w:tcPr>
            <w:tcW w:w="3114" w:type="dxa"/>
          </w:tcPr>
          <w:p w14:paraId="412E8064" w14:textId="77777777" w:rsidR="0096580A" w:rsidRPr="00B81CDD" w:rsidRDefault="0096580A" w:rsidP="000A2613">
            <w:pPr>
              <w:pStyle w:val="SingleTxtG"/>
              <w:spacing w:line="240" w:lineRule="auto"/>
              <w:ind w:left="0" w:right="140"/>
              <w:jc w:val="center"/>
              <w:rPr>
                <w:rFonts w:eastAsia="Calibri" w:cs="Arial"/>
                <w:b/>
                <w:i/>
                <w:iCs/>
                <w:sz w:val="18"/>
                <w:szCs w:val="18"/>
                <w:lang w:val="en-GB"/>
              </w:rPr>
            </w:pPr>
            <w:bookmarkStart w:id="3" w:name="_Hlk134804333"/>
            <w:r w:rsidRPr="00B81CDD">
              <w:rPr>
                <w:rFonts w:eastAsia="Calibri" w:cs="Arial"/>
                <w:b/>
                <w:i/>
                <w:iCs/>
                <w:sz w:val="18"/>
                <w:szCs w:val="18"/>
              </w:rPr>
              <w:t>Шины класса</w:t>
            </w:r>
            <w:r w:rsidRPr="00B81CDD">
              <w:rPr>
                <w:rFonts w:eastAsia="Calibri" w:cs="Arial"/>
                <w:b/>
                <w:i/>
                <w:iCs/>
                <w:sz w:val="18"/>
                <w:szCs w:val="18"/>
                <w:lang w:val="en-GB"/>
              </w:rPr>
              <w:t xml:space="preserve"> C1</w:t>
            </w:r>
          </w:p>
        </w:tc>
        <w:tc>
          <w:tcPr>
            <w:tcW w:w="992" w:type="dxa"/>
            <w:vAlign w:val="center"/>
          </w:tcPr>
          <w:p w14:paraId="300044DC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</w:pPr>
            <w:r w:rsidRPr="00B81CDD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K</w:t>
            </w:r>
            <w:r w:rsidRPr="00B81CDD"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  <w:t>1</w:t>
            </w:r>
          </w:p>
          <w:p w14:paraId="155E7F2C" w14:textId="77777777" w:rsidR="0096580A" w:rsidRPr="00B81CDD" w:rsidRDefault="0096580A" w:rsidP="000A2613">
            <w:pPr>
              <w:pStyle w:val="SingleTxtG"/>
              <w:spacing w:line="240" w:lineRule="auto"/>
              <w:ind w:left="0" w:right="0"/>
              <w:jc w:val="center"/>
              <w:rPr>
                <w:rFonts w:eastAsia="Calibri" w:cs="Arial"/>
                <w:b/>
                <w:lang w:val="en-GB"/>
              </w:rPr>
            </w:pPr>
            <w:r w:rsidRPr="00B81CDD">
              <w:rPr>
                <w:b/>
                <w:i/>
                <w:iCs/>
                <w:sz w:val="16"/>
                <w:szCs w:val="16"/>
                <w:lang w:val="en-GB"/>
              </w:rPr>
              <w:t>(°C)</w:t>
            </w:r>
          </w:p>
        </w:tc>
        <w:tc>
          <w:tcPr>
            <w:tcW w:w="992" w:type="dxa"/>
            <w:vAlign w:val="center"/>
          </w:tcPr>
          <w:p w14:paraId="654166E4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</w:pPr>
            <w:r w:rsidRPr="00B81CDD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K</w:t>
            </w:r>
            <w:r w:rsidRPr="00B81CDD"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  <w:t>2</w:t>
            </w:r>
          </w:p>
          <w:p w14:paraId="1915239B" w14:textId="77777777" w:rsidR="0096580A" w:rsidRPr="00B81CDD" w:rsidRDefault="0096580A" w:rsidP="000A2613">
            <w:pPr>
              <w:pStyle w:val="SingleTxtG"/>
              <w:spacing w:line="240" w:lineRule="auto"/>
              <w:ind w:left="0" w:right="0"/>
              <w:jc w:val="center"/>
              <w:rPr>
                <w:rFonts w:eastAsia="Calibri" w:cs="Arial"/>
                <w:b/>
                <w:lang w:val="en-GB"/>
              </w:rPr>
            </w:pPr>
            <w:r w:rsidRPr="00B81CDD">
              <w:rPr>
                <w:b/>
                <w:i/>
                <w:iCs/>
                <w:sz w:val="16"/>
                <w:szCs w:val="16"/>
                <w:lang w:val="en-GB"/>
              </w:rPr>
              <w:t>(°C)</w:t>
            </w:r>
          </w:p>
        </w:tc>
      </w:tr>
      <w:tr w:rsidR="0096580A" w:rsidRPr="00B81CDD" w14:paraId="1514E22C" w14:textId="77777777" w:rsidTr="000A2613">
        <w:tc>
          <w:tcPr>
            <w:tcW w:w="3114" w:type="dxa"/>
          </w:tcPr>
          <w:p w14:paraId="34E6EF6D" w14:textId="77777777" w:rsidR="0096580A" w:rsidRPr="00B81CDD" w:rsidRDefault="0096580A" w:rsidP="000A2613">
            <w:pPr>
              <w:pStyle w:val="SingleTxtG"/>
              <w:spacing w:line="240" w:lineRule="auto"/>
              <w:ind w:left="137" w:right="38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81CDD">
              <w:rPr>
                <w:b/>
                <w:bCs/>
                <w:sz w:val="18"/>
                <w:szCs w:val="18"/>
                <w:shd w:val="clear" w:color="auto" w:fill="FFFFFF"/>
              </w:rPr>
              <w:t>Шины, классифицируемые в качестве шин, предназначенных для использования в тяжелых снежных условиях</w:t>
            </w:r>
          </w:p>
        </w:tc>
        <w:tc>
          <w:tcPr>
            <w:tcW w:w="992" w:type="dxa"/>
            <w:vAlign w:val="center"/>
          </w:tcPr>
          <w:p w14:paraId="1A7BFEC5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81C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</w:t>
            </w: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14:paraId="21E97AB3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81C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</w:t>
            </w: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</w:tr>
      <w:tr w:rsidR="0096580A" w:rsidRPr="00B81CDD" w14:paraId="79217D9D" w14:textId="77777777" w:rsidTr="000A2613">
        <w:tc>
          <w:tcPr>
            <w:tcW w:w="3114" w:type="dxa"/>
          </w:tcPr>
          <w:p w14:paraId="5D356DDA" w14:textId="77777777" w:rsidR="0096580A" w:rsidRPr="00B81CDD" w:rsidRDefault="0096580A" w:rsidP="000A2613">
            <w:pPr>
              <w:pStyle w:val="SingleTxtG"/>
              <w:spacing w:line="240" w:lineRule="auto"/>
              <w:ind w:left="137" w:right="134"/>
              <w:jc w:val="center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 w:rsidRPr="00B81CDD">
              <w:rPr>
                <w:rFonts w:eastAsia="Calibri" w:cs="Arial"/>
                <w:b/>
                <w:sz w:val="18"/>
                <w:szCs w:val="18"/>
              </w:rPr>
              <w:t>Другие шины</w:t>
            </w:r>
          </w:p>
        </w:tc>
        <w:tc>
          <w:tcPr>
            <w:tcW w:w="992" w:type="dxa"/>
            <w:vAlign w:val="center"/>
          </w:tcPr>
          <w:p w14:paraId="65C4230D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[2</w:t>
            </w:r>
            <w:r w:rsidRPr="00B81C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</w:t>
            </w: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18]</w:t>
            </w:r>
          </w:p>
        </w:tc>
        <w:tc>
          <w:tcPr>
            <w:tcW w:w="992" w:type="dxa"/>
            <w:vAlign w:val="center"/>
          </w:tcPr>
          <w:p w14:paraId="3081A847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bookmarkEnd w:id="3"/>
    </w:tbl>
    <w:p w14:paraId="14DCD75D" w14:textId="77777777" w:rsidR="0096580A" w:rsidRPr="00B81CDD" w:rsidRDefault="0096580A" w:rsidP="0096580A">
      <w:pPr>
        <w:pStyle w:val="SingleTxtG"/>
        <w:ind w:left="2268"/>
        <w:rPr>
          <w:rFonts w:eastAsia="Calibri" w:cs="Arial"/>
          <w:b/>
          <w:lang w:val="en-GB"/>
        </w:rPr>
      </w:pPr>
    </w:p>
    <w:tbl>
      <w:tblPr>
        <w:tblStyle w:val="ad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</w:tblGrid>
      <w:tr w:rsidR="0096580A" w:rsidRPr="00B81CDD" w14:paraId="545EBE3C" w14:textId="77777777" w:rsidTr="000A2613">
        <w:tc>
          <w:tcPr>
            <w:tcW w:w="3114" w:type="dxa"/>
          </w:tcPr>
          <w:p w14:paraId="773ED0D7" w14:textId="77777777" w:rsidR="0096580A" w:rsidRPr="00B81CDD" w:rsidRDefault="0096580A" w:rsidP="000A2613">
            <w:pPr>
              <w:pStyle w:val="SingleTxtG"/>
              <w:spacing w:line="240" w:lineRule="auto"/>
              <w:ind w:left="0" w:right="140"/>
              <w:jc w:val="center"/>
              <w:rPr>
                <w:rFonts w:eastAsia="Calibri" w:cs="Arial"/>
                <w:b/>
                <w:i/>
                <w:iCs/>
                <w:sz w:val="18"/>
                <w:szCs w:val="18"/>
                <w:lang w:val="en-GB"/>
              </w:rPr>
            </w:pPr>
            <w:r w:rsidRPr="00B81CDD">
              <w:rPr>
                <w:rFonts w:eastAsia="Calibri" w:cs="Arial"/>
                <w:b/>
                <w:i/>
                <w:iCs/>
                <w:sz w:val="18"/>
                <w:szCs w:val="18"/>
              </w:rPr>
              <w:t>Шины класса</w:t>
            </w:r>
            <w:r w:rsidRPr="00B81CDD">
              <w:rPr>
                <w:rFonts w:eastAsia="Calibri" w:cs="Arial"/>
                <w:b/>
                <w:i/>
                <w:iCs/>
                <w:sz w:val="18"/>
                <w:szCs w:val="18"/>
                <w:lang w:val="en-GB"/>
              </w:rPr>
              <w:t xml:space="preserve"> C2 </w:t>
            </w:r>
          </w:p>
        </w:tc>
        <w:tc>
          <w:tcPr>
            <w:tcW w:w="992" w:type="dxa"/>
            <w:vAlign w:val="center"/>
          </w:tcPr>
          <w:p w14:paraId="3FDEC1F0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</w:pPr>
            <w:r w:rsidRPr="00B81CDD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K</w:t>
            </w:r>
            <w:r w:rsidRPr="00B81CDD"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  <w:t>1</w:t>
            </w:r>
          </w:p>
          <w:p w14:paraId="5FC2FB83" w14:textId="77777777" w:rsidR="0096580A" w:rsidRPr="00B81CDD" w:rsidRDefault="0096580A" w:rsidP="000A2613">
            <w:pPr>
              <w:pStyle w:val="SingleTxtG"/>
              <w:spacing w:line="240" w:lineRule="auto"/>
              <w:ind w:left="0" w:right="0"/>
              <w:jc w:val="center"/>
              <w:rPr>
                <w:rFonts w:eastAsia="Calibri" w:cs="Arial"/>
                <w:b/>
                <w:lang w:val="en-GB"/>
              </w:rPr>
            </w:pPr>
            <w:r w:rsidRPr="00B81CDD">
              <w:rPr>
                <w:b/>
                <w:i/>
                <w:iCs/>
                <w:sz w:val="16"/>
                <w:szCs w:val="16"/>
                <w:lang w:val="en-GB"/>
              </w:rPr>
              <w:t>(°C)</w:t>
            </w:r>
          </w:p>
        </w:tc>
        <w:tc>
          <w:tcPr>
            <w:tcW w:w="992" w:type="dxa"/>
            <w:vAlign w:val="center"/>
          </w:tcPr>
          <w:p w14:paraId="5637BCEF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</w:pPr>
            <w:r w:rsidRPr="00B81CDD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K</w:t>
            </w:r>
            <w:r w:rsidRPr="00B81CDD"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  <w:t>2</w:t>
            </w:r>
          </w:p>
          <w:p w14:paraId="33580FB1" w14:textId="77777777" w:rsidR="0096580A" w:rsidRPr="00B81CDD" w:rsidRDefault="0096580A" w:rsidP="000A2613">
            <w:pPr>
              <w:pStyle w:val="SingleTxtG"/>
              <w:spacing w:line="240" w:lineRule="auto"/>
              <w:ind w:left="0" w:right="0"/>
              <w:jc w:val="center"/>
              <w:rPr>
                <w:rFonts w:eastAsia="Calibri" w:cs="Arial"/>
                <w:b/>
                <w:lang w:val="en-GB"/>
              </w:rPr>
            </w:pPr>
            <w:r w:rsidRPr="00B81CDD">
              <w:rPr>
                <w:b/>
                <w:i/>
                <w:iCs/>
                <w:sz w:val="16"/>
                <w:szCs w:val="16"/>
                <w:lang w:val="en-GB"/>
              </w:rPr>
              <w:t>(°C)</w:t>
            </w:r>
          </w:p>
        </w:tc>
      </w:tr>
      <w:tr w:rsidR="0096580A" w:rsidRPr="00B81CDD" w14:paraId="45E77323" w14:textId="77777777" w:rsidTr="000A2613">
        <w:tc>
          <w:tcPr>
            <w:tcW w:w="3114" w:type="dxa"/>
          </w:tcPr>
          <w:p w14:paraId="51B4E1D5" w14:textId="77777777" w:rsidR="0096580A" w:rsidRPr="00B81CDD" w:rsidRDefault="0096580A" w:rsidP="000A2613">
            <w:pPr>
              <w:pStyle w:val="SingleTxtG"/>
              <w:spacing w:line="240" w:lineRule="auto"/>
              <w:ind w:left="137" w:right="14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81CDD">
              <w:rPr>
                <w:b/>
                <w:bCs/>
                <w:sz w:val="18"/>
                <w:szCs w:val="18"/>
                <w:shd w:val="clear" w:color="auto" w:fill="FFFFFF"/>
              </w:rPr>
              <w:t>Шины, классифицируемые в качестве шин, предназначенных для использования в тяжелых снежных условиях</w:t>
            </w:r>
          </w:p>
        </w:tc>
        <w:tc>
          <w:tcPr>
            <w:tcW w:w="992" w:type="dxa"/>
            <w:vAlign w:val="center"/>
          </w:tcPr>
          <w:p w14:paraId="234880A6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F7C12BC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96580A" w:rsidRPr="00B81CDD" w14:paraId="36197C79" w14:textId="77777777" w:rsidTr="000A2613">
        <w:tc>
          <w:tcPr>
            <w:tcW w:w="3114" w:type="dxa"/>
          </w:tcPr>
          <w:p w14:paraId="5B38F26F" w14:textId="77777777" w:rsidR="0096580A" w:rsidRPr="00B81CDD" w:rsidRDefault="0096580A" w:rsidP="000A2613">
            <w:pPr>
              <w:pStyle w:val="SingleTxtG"/>
              <w:spacing w:line="240" w:lineRule="auto"/>
              <w:ind w:left="137" w:right="134"/>
              <w:jc w:val="center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 w:rsidRPr="00B81CDD">
              <w:rPr>
                <w:rFonts w:eastAsia="Calibri" w:cs="Arial"/>
                <w:b/>
                <w:sz w:val="18"/>
                <w:szCs w:val="18"/>
              </w:rPr>
              <w:t>Другие шины</w:t>
            </w:r>
          </w:p>
        </w:tc>
        <w:tc>
          <w:tcPr>
            <w:tcW w:w="992" w:type="dxa"/>
            <w:vAlign w:val="center"/>
          </w:tcPr>
          <w:p w14:paraId="32B97BAB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81C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</w:t>
            </w: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14:paraId="10CA25D1" w14:textId="77777777" w:rsidR="0096580A" w:rsidRPr="00B81CDD" w:rsidRDefault="0096580A" w:rsidP="000A2613">
            <w:pPr>
              <w:pStyle w:val="Tableheader"/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14:paraId="0AC8F49E" w14:textId="77777777" w:rsidR="0096580A" w:rsidRPr="00B81CDD" w:rsidRDefault="0096580A" w:rsidP="0096580A">
      <w:pPr>
        <w:pStyle w:val="SingleTxtG"/>
        <w:ind w:left="2268"/>
        <w:rPr>
          <w:bCs/>
          <w:lang w:val="en-GB"/>
        </w:rPr>
      </w:pPr>
    </w:p>
    <w:p w14:paraId="5A5D0FE3" w14:textId="77777777" w:rsidR="0096580A" w:rsidRPr="00B81CDD" w:rsidRDefault="0096580A" w:rsidP="0096580A">
      <w:pPr>
        <w:spacing w:after="120"/>
        <w:ind w:left="2268" w:right="1134" w:hanging="1134"/>
        <w:jc w:val="both"/>
        <w:rPr>
          <w:shd w:val="clear" w:color="auto" w:fill="FFFFFF"/>
        </w:rPr>
      </w:pPr>
      <w:r w:rsidRPr="00B81CDD">
        <w:rPr>
          <w:b/>
        </w:rPr>
        <w:t>4.2.3</w:t>
      </w:r>
      <w:r w:rsidRPr="00B81CDD">
        <w:rPr>
          <w:bCs/>
        </w:rPr>
        <w:tab/>
      </w:r>
      <w:r w:rsidRPr="00B81CDD">
        <w:rPr>
          <w:shd w:val="clear" w:color="auto" w:fill="FFFFFF"/>
        </w:rPr>
        <w:t xml:space="preserve">Независимо от изложенной выше процедуры температурная коррекция может производиться только для последнего зарегистрированного уровня звука, издаваемого при качении шины, </w:t>
      </w:r>
      <w:r w:rsidRPr="00B81CDD">
        <w:rPr>
          <w:i/>
          <w:iCs/>
          <w:shd w:val="clear" w:color="auto" w:fill="FFFFFF"/>
        </w:rPr>
        <w:t>L</w:t>
      </w:r>
      <w:r w:rsidRPr="00B81CDD">
        <w:rPr>
          <w:i/>
          <w:iCs/>
          <w:shd w:val="clear" w:color="auto" w:fill="FFFFFF"/>
          <w:vertAlign w:val="subscript"/>
        </w:rPr>
        <w:t>R</w:t>
      </w:r>
      <w:r w:rsidRPr="00B81CDD">
        <w:rPr>
          <w:shd w:val="clear" w:color="auto" w:fill="FFFFFF"/>
        </w:rPr>
        <w:t xml:space="preserve">, с использованием среднеарифметического значения измеренных температур, если измеренная температура испытательного покрытия изменяется не более </w:t>
      </w:r>
      <w:r w:rsidRPr="00B81CDD">
        <w:rPr>
          <w:shd w:val="clear" w:color="auto" w:fill="FFFFFF"/>
        </w:rPr>
        <w:lastRenderedPageBreak/>
        <w:t xml:space="preserve">чем на 5 °C при всех измерениях, которые необходимы для определения уровня звука на одном комплекте шин. В этом случае описанный ниже регрессионный анализ основывается на нескорректированных уровнях звука, производимого при качении шины, </w:t>
      </w:r>
      <w:r w:rsidRPr="00B81CDD">
        <w:rPr>
          <w:rFonts w:eastAsia="Calibri" w:cs="Arial"/>
          <w:bCs/>
          <w:i/>
          <w:lang w:val="en-GB"/>
        </w:rPr>
        <w:t>L</w:t>
      </w:r>
      <w:r w:rsidRPr="00B81CDD">
        <w:rPr>
          <w:rFonts w:eastAsia="Calibri" w:cs="Arial"/>
          <w:bCs/>
          <w:i/>
          <w:vertAlign w:val="subscript"/>
          <w:lang w:val="en-GB"/>
        </w:rPr>
        <w:t>i</w:t>
      </w:r>
      <w:r w:rsidRPr="00B81CDD">
        <w:rPr>
          <w:rFonts w:eastAsia="Calibri" w:cs="Arial"/>
          <w:bCs/>
        </w:rPr>
        <w:t>(</w:t>
      </w:r>
      <m:oMath>
        <m:r>
          <w:rPr>
            <w:rFonts w:ascii="Cambria Math" w:eastAsia="Calibri" w:hAnsi="Cambria Math" w:cs="Arial"/>
            <w:lang w:val="en-GB"/>
          </w:rPr>
          <m:t>ϑ</m:t>
        </m:r>
      </m:oMath>
      <w:r w:rsidRPr="00B81CDD">
        <w:rPr>
          <w:rFonts w:eastAsia="Calibri" w:cs="Arial"/>
          <w:bCs/>
          <w:i/>
          <w:vertAlign w:val="subscript"/>
          <w:lang w:val="en-GB"/>
        </w:rPr>
        <w:t>i</w:t>
      </w:r>
      <w:r w:rsidRPr="00B81CDD">
        <w:rPr>
          <w:rFonts w:eastAsia="Calibri" w:cs="Arial"/>
          <w:bCs/>
        </w:rPr>
        <w:t>).</w:t>
      </w:r>
    </w:p>
    <w:p w14:paraId="3F376409" w14:textId="77777777" w:rsidR="0096580A" w:rsidRPr="00B81CDD" w:rsidRDefault="0096580A" w:rsidP="0096580A">
      <w:pPr>
        <w:pStyle w:val="a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B81CDD">
        <w:rPr>
          <w:bCs/>
          <w:lang w:val="ru-RU"/>
        </w:rPr>
        <w:tab/>
      </w:r>
      <w:r w:rsidRPr="00B81CDD">
        <w:rPr>
          <w:lang w:val="ru-RU"/>
        </w:rPr>
        <w:t>Никакой температурной коррекции по шинам класса С3 не производится».</w:t>
      </w:r>
    </w:p>
    <w:p w14:paraId="4B058EAD" w14:textId="77777777" w:rsidR="0096580A" w:rsidRPr="00B81CDD" w:rsidRDefault="0096580A" w:rsidP="0096580A">
      <w:pPr>
        <w:pStyle w:val="HChG"/>
        <w:spacing w:before="0" w:after="120" w:line="240" w:lineRule="exact"/>
        <w:ind w:left="2268" w:right="521"/>
        <w:rPr>
          <w:b w:val="0"/>
          <w:bCs/>
          <w:sz w:val="20"/>
        </w:rPr>
      </w:pPr>
      <w:r w:rsidRPr="00B81CDD">
        <w:rPr>
          <w:b w:val="0"/>
          <w:bCs/>
          <w:i/>
          <w:iCs/>
          <w:sz w:val="20"/>
        </w:rPr>
        <w:t xml:space="preserve">Приложение 4 </w:t>
      </w:r>
      <w:r w:rsidRPr="00B81CDD">
        <w:rPr>
          <w:b w:val="0"/>
          <w:bCs/>
          <w:sz w:val="20"/>
        </w:rPr>
        <w:t>изменить следующим образом:</w:t>
      </w:r>
    </w:p>
    <w:p w14:paraId="2F3F61C8" w14:textId="77777777" w:rsidR="0096580A" w:rsidRPr="00B81CDD" w:rsidRDefault="0096580A" w:rsidP="0096580A">
      <w:pPr>
        <w:pStyle w:val="HChG"/>
      </w:pPr>
      <w:r w:rsidRPr="005110E3">
        <w:rPr>
          <w:b w:val="0"/>
          <w:sz w:val="20"/>
        </w:rPr>
        <w:t>«</w:t>
      </w:r>
      <w:r w:rsidRPr="00B81CDD">
        <w:t>Приложение 4</w:t>
      </w:r>
    </w:p>
    <w:p w14:paraId="2D9714D1" w14:textId="615BCEE2" w:rsidR="0096580A" w:rsidRPr="00B81CDD" w:rsidRDefault="0096580A" w:rsidP="0096580A">
      <w:pPr>
        <w:pStyle w:val="HChG"/>
        <w:rPr>
          <w:strike/>
        </w:rPr>
      </w:pPr>
      <w:r w:rsidRPr="00B81CDD">
        <w:tab/>
      </w:r>
      <w:r w:rsidRPr="00B81CDD">
        <w:tab/>
        <w:t xml:space="preserve">Зарезервировано </w:t>
      </w:r>
      <w:r w:rsidRPr="00B81CDD">
        <w:rPr>
          <w:strike/>
        </w:rPr>
        <w:t>Технические требования к</w:t>
      </w:r>
      <w:r w:rsidR="004C5625">
        <w:rPr>
          <w:strike/>
          <w:lang w:val="en-US"/>
        </w:rPr>
        <w:t> </w:t>
      </w:r>
      <w:r w:rsidRPr="00B81CDD">
        <w:rPr>
          <w:strike/>
        </w:rPr>
        <w:t>испытательной площадке</w:t>
      </w:r>
      <w:r w:rsidRPr="004C5625">
        <w:rPr>
          <w:rStyle w:val="ab"/>
          <w:b w:val="0"/>
          <w:bCs/>
          <w:strike/>
          <w:szCs w:val="18"/>
          <w:lang w:val="en-GB"/>
        </w:rPr>
        <w:footnoteReference w:id="2"/>
      </w:r>
    </w:p>
    <w:p w14:paraId="180663A1" w14:textId="4CEBEB93" w:rsidR="0096580A" w:rsidRPr="00B81CDD" w:rsidRDefault="0096580A" w:rsidP="0096580A">
      <w:pPr>
        <w:pStyle w:val="SingleTxtG"/>
        <w:ind w:left="2268" w:hanging="1134"/>
        <w:rPr>
          <w:bCs/>
          <w:strike/>
        </w:rPr>
      </w:pPr>
      <w:r w:rsidRPr="00B81CDD">
        <w:rPr>
          <w:bCs/>
          <w:strike/>
        </w:rPr>
        <w:t>1.</w:t>
      </w:r>
      <w:r w:rsidRPr="00B81CDD">
        <w:rPr>
          <w:bCs/>
          <w:strike/>
        </w:rPr>
        <w:tab/>
      </w:r>
      <w:r w:rsidR="005110E3">
        <w:rPr>
          <w:bCs/>
          <w:strike/>
        </w:rPr>
        <w:tab/>
      </w:r>
      <w:r w:rsidRPr="00B81CDD">
        <w:rPr>
          <w:strike/>
        </w:rPr>
        <w:t>Введение</w:t>
      </w:r>
    </w:p>
    <w:p w14:paraId="4828D8D3" w14:textId="11B939BA" w:rsidR="0096580A" w:rsidRPr="00B81CDD" w:rsidRDefault="0096580A" w:rsidP="0096580A">
      <w:pPr>
        <w:pStyle w:val="SingleTxtG"/>
        <w:ind w:left="2268" w:hanging="1134"/>
        <w:rPr>
          <w:bCs/>
          <w:strike/>
        </w:rPr>
      </w:pPr>
      <w:r w:rsidRPr="006C43EB">
        <w:rPr>
          <w:bCs/>
          <w:strike/>
        </w:rPr>
        <w:tab/>
      </w:r>
      <w:r w:rsidR="005110E3" w:rsidRPr="006C43EB">
        <w:rPr>
          <w:bCs/>
          <w:strike/>
        </w:rPr>
        <w:tab/>
      </w:r>
      <w:r w:rsidRPr="00B81CDD">
        <w:rPr>
          <w:strike/>
        </w:rPr>
        <w:t>В настоящем приложении излагаются технические требования, касающиеся физических характеристик и строительства испытательного трека. В этих требованиях, в основу которых положен специальный стандарт</w:t>
      </w:r>
      <w:r w:rsidRPr="00B81CDD">
        <w:rPr>
          <w:rStyle w:val="ab"/>
          <w:bCs/>
          <w:strike/>
          <w:lang w:val="en-GB"/>
        </w:rPr>
        <w:footnoteReference w:id="3"/>
      </w:r>
      <w:r w:rsidRPr="00B81CDD">
        <w:rPr>
          <w:bCs/>
          <w:strike/>
        </w:rPr>
        <w:t xml:space="preserve">, </w:t>
      </w:r>
      <w:r w:rsidRPr="00B81CDD">
        <w:rPr>
          <w:strike/>
        </w:rPr>
        <w:t>определены нормативные физические характеристики, а также методы испытаний в отношении этих характеристик.</w:t>
      </w:r>
    </w:p>
    <w:p w14:paraId="6212FF7A" w14:textId="09E84773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2.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Нормативные характеристики покрытия</w:t>
      </w:r>
    </w:p>
    <w:p w14:paraId="0DDFC995" w14:textId="24D178E3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B81CDD">
        <w:rPr>
          <w:strike/>
        </w:rPr>
        <w:t>Считается, что покрытие соответствует этому стандарту, если глубина текстуры и пористость или коэффициент звукопоглощения были измерены и признаны удовлетворяющими всем требованиям пунктов</w:t>
      </w:r>
      <w:r w:rsidR="00025BEC">
        <w:rPr>
          <w:strike/>
        </w:rPr>
        <w:t> </w:t>
      </w:r>
      <w:r w:rsidRPr="00B81CDD">
        <w:rPr>
          <w:strike/>
        </w:rPr>
        <w:t>2.1−2.4 ниже и если были выполнены требования в отношении состава (пункт 3.2 ниже).</w:t>
      </w:r>
    </w:p>
    <w:p w14:paraId="5D451FEF" w14:textId="2526AB2C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2.1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Остаточная пористость</w:t>
      </w:r>
    </w:p>
    <w:p w14:paraId="3FE7069D" w14:textId="13175065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B81CDD">
        <w:rPr>
          <w:strike/>
        </w:rPr>
        <w:t>Остаточная пористость (VС) смеси, используемой для покрытия испытательного трека, не должна превышать 8</w:t>
      </w:r>
      <w:r w:rsidR="00025BEC">
        <w:rPr>
          <w:strike/>
        </w:rPr>
        <w:t> </w:t>
      </w:r>
      <w:r w:rsidRPr="00B81CDD">
        <w:rPr>
          <w:strike/>
        </w:rPr>
        <w:t>%. Процедуру измерения см. в пункте 4.1 настоящего приложения.</w:t>
      </w:r>
    </w:p>
    <w:p w14:paraId="1CF5995E" w14:textId="1E6D398C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2.2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Коэффициент звукопоглощения</w:t>
      </w:r>
    </w:p>
    <w:p w14:paraId="150966F2" w14:textId="5F4560DC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B81CDD">
        <w:rPr>
          <w:strike/>
        </w:rPr>
        <w:t>Если покрытие не отвечает требованиям в отношении остаточной пористости, то оно считается приемлемым только в том случае, если его коэффициент звукопоглощения α ≤ 0,10. Процедуру измерения см. в пункте 4.2 ниже. Требования пунктов 2.1 и 2.2 соблюдены также в том случае, если был измерен только коэффициент звукопоглощения и он равен α ≤ 0,10.</w:t>
      </w:r>
    </w:p>
    <w:p w14:paraId="24BF0372" w14:textId="789CB970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i/>
          <w:strike/>
        </w:rPr>
        <w:tab/>
      </w:r>
      <w:r w:rsidR="005110E3" w:rsidRPr="006C43EB">
        <w:rPr>
          <w:i/>
          <w:strike/>
        </w:rPr>
        <w:tab/>
      </w:r>
      <w:r w:rsidRPr="00B81CDD">
        <w:rPr>
          <w:i/>
          <w:strike/>
        </w:rPr>
        <w:t>Примечание:</w:t>
      </w:r>
      <w:r w:rsidRPr="00B81CDD">
        <w:rPr>
          <w:i/>
          <w:strike/>
        </w:rPr>
        <w:tab/>
      </w:r>
      <w:r w:rsidRPr="00B81CDD">
        <w:rPr>
          <w:strike/>
        </w:rPr>
        <w:t xml:space="preserve">Наиболее значимая характеристика </w:t>
      </w:r>
      <w:r w:rsidR="00025BEC">
        <w:rPr>
          <w:strike/>
        </w:rPr>
        <w:t>—</w:t>
      </w:r>
      <w:r w:rsidRPr="00B81CDD">
        <w:rPr>
          <w:strike/>
        </w:rPr>
        <w:t xml:space="preserve"> звукопоглощение, хотя остаточная пористость является более широко используемой характеристикой в сфере дорожного строительства. Однако коэффициент звукопоглощения должен измеряться только в том случае, если покрытие не отвечает требованию в отношении пористости. Это обусловлено тем, что последняя характеристика связана с довольно существенными неопределенностями как в плане измерений, так и в плане значимости, и если проводить только измерение в отношении пористости, то некоторые покрытия могут быть ошибочно признаны неприемлемыми.</w:t>
      </w:r>
    </w:p>
    <w:p w14:paraId="4EF3E25D" w14:textId="71BC6301" w:rsidR="0096580A" w:rsidRPr="00B81CDD" w:rsidRDefault="0096580A" w:rsidP="00025BEC">
      <w:pPr>
        <w:pStyle w:val="SingleTxtG"/>
        <w:pageBreakBefore/>
        <w:ind w:left="2268" w:hanging="1134"/>
        <w:rPr>
          <w:strike/>
        </w:rPr>
      </w:pPr>
      <w:r w:rsidRPr="00B81CDD">
        <w:rPr>
          <w:strike/>
        </w:rPr>
        <w:lastRenderedPageBreak/>
        <w:t>2.3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Глубина текстуры</w:t>
      </w:r>
    </w:p>
    <w:p w14:paraId="7D3FDB3B" w14:textId="632F0596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B81CDD">
        <w:rPr>
          <w:strike/>
        </w:rPr>
        <w:t>Глубина текстуры (ГТ), измеренная в соответствии с методом объемного анализа (см. ниже пункт 4.3), должна составлять:</w:t>
      </w:r>
    </w:p>
    <w:p w14:paraId="15CA5149" w14:textId="1DF63ECF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B81CDD">
        <w:rPr>
          <w:strike/>
        </w:rPr>
        <w:t>ГТ ≥ 0,4 мм.</w:t>
      </w:r>
    </w:p>
    <w:p w14:paraId="0D9D11E6" w14:textId="0AD45395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2.4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Однородность покрытия</w:t>
      </w:r>
    </w:p>
    <w:p w14:paraId="5DC456C1" w14:textId="0E974071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B81CDD">
        <w:rPr>
          <w:strike/>
        </w:rPr>
        <w:t>Должны быть предприняты все усилия для обеспечения максимально возможной однородности покрытия в пределах зоны испытания. Это относится к текстуре и пористости, однако следует также принимать во внимание, что в случае неравномерной укатки текстура в разных местах может быть различной и могут также появиться неровности, вызывающие толчки.</w:t>
      </w:r>
    </w:p>
    <w:p w14:paraId="50411EC7" w14:textId="5B8FE333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2.5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Периодичность испытаний</w:t>
      </w:r>
    </w:p>
    <w:p w14:paraId="6D468B03" w14:textId="3A0C058D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B81CDD">
        <w:rPr>
          <w:strike/>
        </w:rPr>
        <w:t>Для проверки сохранения соответствия покрытия требованиям в отношении текстуры и пористости или звукопоглощения, изложенным в данном стандарте, должны проводиться периодические испытания покрытия со следующими интервалами:</w:t>
      </w:r>
    </w:p>
    <w:p w14:paraId="464FE04F" w14:textId="2DF0F431" w:rsidR="0096580A" w:rsidRPr="00B81CDD" w:rsidRDefault="006C43EB" w:rsidP="006C43EB">
      <w:pPr>
        <w:pStyle w:val="SingleTxtG"/>
        <w:ind w:left="2835" w:hanging="1701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a)</w:t>
      </w:r>
      <w:r w:rsidR="0096580A" w:rsidRPr="00B81CDD">
        <w:rPr>
          <w:strike/>
        </w:rPr>
        <w:tab/>
        <w:t>в отношении остаточной пористости (VC) или звукопоглощения (α):</w:t>
      </w:r>
    </w:p>
    <w:p w14:paraId="015D1809" w14:textId="0A82EFDB" w:rsidR="0096580A" w:rsidRPr="00B81CDD" w:rsidRDefault="006C43EB" w:rsidP="006C43EB">
      <w:pPr>
        <w:pStyle w:val="SingleTxtG"/>
        <w:ind w:left="2268" w:hanging="1134"/>
        <w:rPr>
          <w:strike/>
        </w:rPr>
      </w:pPr>
      <w:r w:rsidRPr="00BF57F6">
        <w:tab/>
      </w: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после укладки нового покрытия:</w:t>
      </w:r>
    </w:p>
    <w:p w14:paraId="6B6FC2DF" w14:textId="09827256" w:rsidR="0096580A" w:rsidRPr="00B81CDD" w:rsidRDefault="006C43EB" w:rsidP="006C43EB">
      <w:pPr>
        <w:pStyle w:val="SingleTxtG"/>
        <w:ind w:left="2835" w:hanging="1134"/>
        <w:rPr>
          <w:strike/>
        </w:rPr>
      </w:pPr>
      <w:r w:rsidRPr="006C43EB"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 xml:space="preserve">если новое покрытие отвечает требованиям, то последующие </w:t>
      </w:r>
      <w:r>
        <w:rPr>
          <w:strike/>
        </w:rPr>
        <w:br/>
      </w:r>
      <w:r w:rsidR="0096580A" w:rsidRPr="00B81CDD">
        <w:rPr>
          <w:strike/>
        </w:rPr>
        <w:t>периодические испытания не проводят. Если новое покрытие не отвечает требованиям, оно может удовлетворять им впоследствии, поскольку покрытия со временем засоряются и уплотняются;</w:t>
      </w:r>
    </w:p>
    <w:p w14:paraId="3993C84B" w14:textId="7FD1C186" w:rsidR="0096580A" w:rsidRPr="00B81CDD" w:rsidRDefault="006C43EB" w:rsidP="006C43EB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b)</w:t>
      </w:r>
      <w:r w:rsidR="0096580A" w:rsidRPr="00B81CDD">
        <w:rPr>
          <w:strike/>
        </w:rPr>
        <w:tab/>
        <w:t>в отношении глубины текстуры (ГТ):</w:t>
      </w:r>
    </w:p>
    <w:p w14:paraId="7577BE2F" w14:textId="6128C689" w:rsidR="0096580A" w:rsidRPr="00B81CDD" w:rsidRDefault="006C43EB" w:rsidP="006C43EB">
      <w:pPr>
        <w:pStyle w:val="SingleTxtG"/>
        <w:ind w:left="2268" w:hanging="1134"/>
        <w:rPr>
          <w:strike/>
        </w:rPr>
      </w:pPr>
      <w:r w:rsidRPr="006C43EB">
        <w:tab/>
      </w: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после укладки нового покрытия:</w:t>
      </w:r>
    </w:p>
    <w:p w14:paraId="0DC80238" w14:textId="5B1998BD" w:rsidR="0096580A" w:rsidRPr="00B81CDD" w:rsidRDefault="006C43EB" w:rsidP="006C43EB">
      <w:pPr>
        <w:pStyle w:val="SingleTxtG"/>
        <w:ind w:left="2835" w:hanging="1134"/>
        <w:rPr>
          <w:strike/>
        </w:rPr>
      </w:pPr>
      <w:r w:rsidRPr="006C43EB"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перед началом испытания в отношении шума (</w:t>
      </w:r>
      <w:r w:rsidR="0096580A" w:rsidRPr="00B81CDD">
        <w:rPr>
          <w:i/>
          <w:strike/>
        </w:rPr>
        <w:t>Примечание</w:t>
      </w:r>
      <w:r w:rsidR="0096580A" w:rsidRPr="00B81CDD">
        <w:rPr>
          <w:strike/>
        </w:rPr>
        <w:t xml:space="preserve">: не </w:t>
      </w:r>
      <w:r>
        <w:rPr>
          <w:strike/>
        </w:rPr>
        <w:br/>
      </w:r>
      <w:r w:rsidR="0096580A" w:rsidRPr="00B81CDD">
        <w:rPr>
          <w:strike/>
        </w:rPr>
        <w:t>ранее чем через четыре недели после укладки);</w:t>
      </w:r>
    </w:p>
    <w:p w14:paraId="4D09DC9C" w14:textId="057A0653" w:rsidR="0096580A" w:rsidRPr="00B81CDD" w:rsidRDefault="006C43EB" w:rsidP="006C43EB">
      <w:pPr>
        <w:pStyle w:val="SingleTxtG"/>
        <w:ind w:left="2835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впоследствии через каждые 12 месяцев.</w:t>
      </w:r>
    </w:p>
    <w:p w14:paraId="0E612457" w14:textId="7A3DCCE2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Концепция испытательного покрытия</w:t>
      </w:r>
    </w:p>
    <w:p w14:paraId="3FBBE503" w14:textId="2FE9F210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3.1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Зона</w:t>
      </w:r>
    </w:p>
    <w:p w14:paraId="264D81E7" w14:textId="3CF8224F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B81CDD">
        <w:rPr>
          <w:strike/>
        </w:rPr>
        <w:t>При проектировании испытательного трека важно обеспечить, чтобы как минимум зона, пересекаемая транспортными средствами, движущимися по испытательному участку, была покрыта оговоренным испытательным материалом и имела надлежащий запас по ширине для обеспечения безопасного и удобного вождения. Для этого необходимо, чтобы ширина участка составляла не менее 3 м, а его длина выходила за линии AA и BB по крайней мере на 10 м с каждой стороны. На рис. 1 приведен план надлежащей испытательной площадки и показана минимальная зона, которая должна иметь покрытие из испытательного материала, уложенное и укатанное механизированным способом. В соответствии с пунктом 3.2 приложения 3 измерения должны проводиться с каждой стороны транспортного средства. Они могут проводиться либо в двух точках расположения микрофонов (по одной с каждой стороны испытательного трека) при движении транспортного средства в одном направлении, либо при помощи микрофона, расположенного только с одной стороны трека, но с последовательным движением транспортного средства в обоих направлениях. Если используют последний метод, то к покрытию той стороны испытательного трека, где не устанавливается микрофон, никаких требований не предъявляют.</w:t>
      </w:r>
    </w:p>
    <w:p w14:paraId="067D3E48" w14:textId="2505E381" w:rsidR="0096580A" w:rsidRPr="00B81CDD" w:rsidRDefault="0096580A" w:rsidP="0096580A">
      <w:pPr>
        <w:pStyle w:val="SingleTxtGR"/>
        <w:keepNext/>
        <w:keepLines/>
        <w:pageBreakBefore/>
        <w:tabs>
          <w:tab w:val="clear" w:pos="2268"/>
          <w:tab w:val="left" w:pos="2254"/>
        </w:tabs>
        <w:spacing w:line="230" w:lineRule="atLeast"/>
        <w:jc w:val="left"/>
        <w:rPr>
          <w:b/>
          <w:strike/>
        </w:rPr>
      </w:pPr>
      <w:bookmarkStart w:id="4" w:name="_Toc367177766"/>
      <w:bookmarkStart w:id="5" w:name="_Toc432594580"/>
      <w:bookmarkStart w:id="6" w:name="_Toc440609132"/>
      <w:bookmarkStart w:id="7" w:name="_Toc61444508"/>
      <w:r w:rsidRPr="00B81CDD">
        <w:rPr>
          <w:b/>
          <w:bCs/>
          <w:strike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08343" wp14:editId="186862C1">
                <wp:simplePos x="0" y="0"/>
                <wp:positionH relativeFrom="margin">
                  <wp:posOffset>545923</wp:posOffset>
                </wp:positionH>
                <wp:positionV relativeFrom="paragraph">
                  <wp:posOffset>479615</wp:posOffset>
                </wp:positionV>
                <wp:extent cx="5412922" cy="3018064"/>
                <wp:effectExtent l="19050" t="19050" r="355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922" cy="30180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46B8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pt,37.75pt" to="469.2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" strokecolor="black [3040]" strokeweight="2.25pt">
                <w10:wrap anchorx="margin"/>
              </v:line>
            </w:pict>
          </mc:Fallback>
        </mc:AlternateContent>
      </w:r>
      <w:r w:rsidRPr="00B81CDD">
        <w:rPr>
          <w:strike/>
        </w:rPr>
        <w:t>Рис. 1</w:t>
      </w:r>
      <w:r w:rsidRPr="00B81CDD">
        <w:rPr>
          <w:strike/>
        </w:rPr>
        <w:br/>
      </w:r>
      <w:r w:rsidRPr="00B81CDD">
        <w:rPr>
          <w:b/>
          <w:strike/>
        </w:rPr>
        <w:t xml:space="preserve">Минимальные требования в отношении зоны с испытательным </w:t>
      </w:r>
      <w:r w:rsidRPr="00B81CDD">
        <w:rPr>
          <w:b/>
          <w:strike/>
        </w:rPr>
        <w:br/>
        <w:t xml:space="preserve">покрытием. Затемненная часть называется </w:t>
      </w:r>
      <w:r w:rsidR="00025BEC" w:rsidRPr="00370640">
        <w:rPr>
          <w:b/>
          <w:bCs/>
          <w:strike/>
          <w:lang w:val="en-GB"/>
        </w:rPr>
        <w:t>"</w:t>
      </w:r>
      <w:r w:rsidRPr="00B81CDD">
        <w:rPr>
          <w:b/>
          <w:strike/>
        </w:rPr>
        <w:t>зоной испытания</w:t>
      </w:r>
      <w:r w:rsidR="00025BEC" w:rsidRPr="00370640">
        <w:rPr>
          <w:b/>
          <w:bCs/>
          <w:strike/>
          <w:lang w:val="en-GB"/>
        </w:rPr>
        <w:t>"</w:t>
      </w:r>
    </w:p>
    <w:p w14:paraId="0DCB0EF3" w14:textId="77777777" w:rsidR="0096580A" w:rsidRPr="00B81CDD" w:rsidRDefault="0096580A" w:rsidP="0096580A">
      <w:pPr>
        <w:tabs>
          <w:tab w:val="left" w:pos="1418"/>
          <w:tab w:val="left" w:pos="1701"/>
          <w:tab w:val="left" w:pos="2155"/>
          <w:tab w:val="left" w:pos="2254"/>
        </w:tabs>
        <w:spacing w:line="230" w:lineRule="atLeast"/>
        <w:ind w:right="1359"/>
        <w:jc w:val="right"/>
        <w:rPr>
          <w:strike/>
          <w:sz w:val="18"/>
          <w:lang w:val="en-US"/>
        </w:rPr>
      </w:pPr>
      <w:r w:rsidRPr="00B81CDD">
        <w:rPr>
          <w:strike/>
          <w:sz w:val="18"/>
        </w:rPr>
        <w:t>Размеры в метрах</w:t>
      </w:r>
    </w:p>
    <w:p w14:paraId="42093BFF" w14:textId="77777777" w:rsidR="0096580A" w:rsidRPr="00B81CDD" w:rsidRDefault="0096580A" w:rsidP="0096580A">
      <w:pPr>
        <w:pStyle w:val="SingleTxtGR"/>
        <w:rPr>
          <w:lang w:val="en-US"/>
        </w:rPr>
      </w:pPr>
      <w:r w:rsidRPr="00B81CDD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14F8A" wp14:editId="027561A4">
                <wp:simplePos x="0" y="0"/>
                <wp:positionH relativeFrom="column">
                  <wp:posOffset>1322705</wp:posOffset>
                </wp:positionH>
                <wp:positionV relativeFrom="paragraph">
                  <wp:posOffset>398780</wp:posOffset>
                </wp:positionV>
                <wp:extent cx="774700" cy="184785"/>
                <wp:effectExtent l="0" t="0" r="0" b="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7DEA2" w14:textId="77777777" w:rsidR="0096580A" w:rsidRPr="004241D6" w:rsidRDefault="0096580A" w:rsidP="0096580A">
                            <w:pPr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4241D6">
                              <w:rPr>
                                <w:strike/>
                                <w:sz w:val="18"/>
                                <w:szCs w:val="18"/>
                              </w:rPr>
                              <w:t>Ось движения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14F8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4.15pt;margin-top:31.4pt;width:61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" filled="f" stroked="f">
                <v:textbox inset="0,0,0,0">
                  <w:txbxContent>
                    <w:p w14:paraId="3AB7DEA2" w14:textId="77777777" w:rsidR="0096580A" w:rsidRPr="004241D6" w:rsidRDefault="0096580A" w:rsidP="0096580A">
                      <w:pPr>
                        <w:rPr>
                          <w:strike/>
                          <w:sz w:val="18"/>
                          <w:szCs w:val="18"/>
                        </w:rPr>
                      </w:pPr>
                      <w:r w:rsidRPr="004241D6">
                        <w:rPr>
                          <w:strike/>
                          <w:sz w:val="18"/>
                          <w:szCs w:val="18"/>
                        </w:rPr>
                        <w:t>Ось движения</w:t>
                      </w:r>
                    </w:p>
                  </w:txbxContent>
                </v:textbox>
              </v:shape>
            </w:pict>
          </mc:Fallback>
        </mc:AlternateContent>
      </w:r>
      <w:r w:rsidRPr="00B81CDD">
        <w:rPr>
          <w:noProof/>
          <w:lang w:eastAsia="ru-RU"/>
        </w:rPr>
        <w:drawing>
          <wp:inline distT="0" distB="0" distL="0" distR="0" wp14:anchorId="6C2F7178" wp14:editId="7320FED5">
            <wp:extent cx="5368925" cy="2926080"/>
            <wp:effectExtent l="0" t="0" r="3175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768E" w14:textId="77777777" w:rsidR="0096580A" w:rsidRPr="00B81CDD" w:rsidRDefault="0096580A" w:rsidP="0096580A">
      <w:pPr>
        <w:pStyle w:val="SingleTxtGR"/>
        <w:rPr>
          <w:lang w:val="en-US"/>
        </w:rPr>
      </w:pPr>
      <w:r w:rsidRPr="00B81CDD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D140F" wp14:editId="635765D4">
                <wp:simplePos x="0" y="0"/>
                <wp:positionH relativeFrom="column">
                  <wp:posOffset>1859915</wp:posOffset>
                </wp:positionH>
                <wp:positionV relativeFrom="paragraph">
                  <wp:posOffset>72390</wp:posOffset>
                </wp:positionV>
                <wp:extent cx="3483610" cy="628015"/>
                <wp:effectExtent l="2540" t="0" r="0" b="44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F623" w14:textId="77777777" w:rsidR="0096580A" w:rsidRPr="004241D6" w:rsidRDefault="0096580A" w:rsidP="0096580A">
                            <w:pPr>
                              <w:spacing w:line="240" w:lineRule="auto"/>
                              <w:rPr>
                                <w:strike/>
                                <w:sz w:val="16"/>
                              </w:rPr>
                            </w:pPr>
                            <w:r w:rsidRPr="004241D6">
                              <w:rPr>
                                <w:strike/>
                                <w:sz w:val="16"/>
                              </w:rPr>
                              <w:t>Минимальная зона с испытательным дорожным покрытием, т.е. зона испытания</w:t>
                            </w:r>
                          </w:p>
                          <w:p w14:paraId="54D28683" w14:textId="77777777" w:rsidR="0096580A" w:rsidRPr="004241D6" w:rsidRDefault="0096580A" w:rsidP="0096580A">
                            <w:pPr>
                              <w:spacing w:before="360" w:line="240" w:lineRule="auto"/>
                              <w:rPr>
                                <w:strike/>
                                <w:lang w:val="en-US"/>
                              </w:rPr>
                            </w:pPr>
                            <w:r w:rsidRPr="004241D6">
                              <w:rPr>
                                <w:strike/>
                                <w:sz w:val="16"/>
                              </w:rPr>
                              <w:t xml:space="preserve">Микрофон </w:t>
                            </w:r>
                            <w:r w:rsidRPr="004241D6">
                              <w:rPr>
                                <w:strike/>
                                <w:sz w:val="16"/>
                                <w:lang w:val="en-US"/>
                              </w:rPr>
                              <w:t>(</w:t>
                            </w:r>
                            <w:r w:rsidRPr="004241D6">
                              <w:rPr>
                                <w:strike/>
                                <w:sz w:val="16"/>
                              </w:rPr>
                              <w:t>высота 1,2 м</w:t>
                            </w:r>
                            <w:r w:rsidRPr="004241D6">
                              <w:rPr>
                                <w:strike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140F" id="Text Box 17" o:spid="_x0000_s1027" type="#_x0000_t202" style="position:absolute;left:0;text-align:left;margin-left:146.45pt;margin-top:5.7pt;width:274.3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" filled="f" stroked="f">
                <v:textbox inset="0,0,0,0">
                  <w:txbxContent>
                    <w:p w14:paraId="743FF623" w14:textId="77777777" w:rsidR="0096580A" w:rsidRPr="004241D6" w:rsidRDefault="0096580A" w:rsidP="0096580A">
                      <w:pPr>
                        <w:spacing w:line="240" w:lineRule="auto"/>
                        <w:rPr>
                          <w:strike/>
                          <w:sz w:val="16"/>
                        </w:rPr>
                      </w:pPr>
                      <w:r w:rsidRPr="004241D6">
                        <w:rPr>
                          <w:strike/>
                          <w:sz w:val="16"/>
                        </w:rPr>
                        <w:t>Минимальная зона с испытательным дорожным покрытием, т.е. зона испытания</w:t>
                      </w:r>
                    </w:p>
                    <w:p w14:paraId="54D28683" w14:textId="77777777" w:rsidR="0096580A" w:rsidRPr="004241D6" w:rsidRDefault="0096580A" w:rsidP="0096580A">
                      <w:pPr>
                        <w:spacing w:before="360" w:line="240" w:lineRule="auto"/>
                        <w:rPr>
                          <w:strike/>
                          <w:lang w:val="en-US"/>
                        </w:rPr>
                      </w:pPr>
                      <w:r w:rsidRPr="004241D6">
                        <w:rPr>
                          <w:strike/>
                          <w:sz w:val="16"/>
                        </w:rPr>
                        <w:t xml:space="preserve">Микрофон </w:t>
                      </w:r>
                      <w:r w:rsidRPr="004241D6">
                        <w:rPr>
                          <w:strike/>
                          <w:sz w:val="16"/>
                          <w:lang w:val="en-US"/>
                        </w:rPr>
                        <w:t>(</w:t>
                      </w:r>
                      <w:r w:rsidRPr="004241D6">
                        <w:rPr>
                          <w:strike/>
                          <w:sz w:val="16"/>
                        </w:rPr>
                        <w:t>высота 1,2 м</w:t>
                      </w:r>
                      <w:r w:rsidRPr="004241D6">
                        <w:rPr>
                          <w:strike/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81CDD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62D0" wp14:editId="7CDD9582">
                <wp:simplePos x="0" y="0"/>
                <wp:positionH relativeFrom="column">
                  <wp:posOffset>756285</wp:posOffset>
                </wp:positionH>
                <wp:positionV relativeFrom="paragraph">
                  <wp:posOffset>53975</wp:posOffset>
                </wp:positionV>
                <wp:extent cx="640080" cy="365760"/>
                <wp:effectExtent l="3810" t="0" r="381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9314" w14:textId="77777777" w:rsidR="0096580A" w:rsidRPr="004241D6" w:rsidRDefault="0096580A" w:rsidP="0096580A">
                            <w:pPr>
                              <w:spacing w:line="240" w:lineRule="auto"/>
                              <w:rPr>
                                <w:strike/>
                                <w:sz w:val="16"/>
                                <w:lang w:val="en-US"/>
                              </w:rPr>
                            </w:pPr>
                            <w:r w:rsidRPr="004241D6">
                              <w:rPr>
                                <w:strike/>
                                <w:sz w:val="16"/>
                              </w:rPr>
                              <w:t xml:space="preserve">Условные </w:t>
                            </w:r>
                            <w:r w:rsidRPr="004241D6">
                              <w:rPr>
                                <w:strike/>
                                <w:sz w:val="16"/>
                              </w:rPr>
                              <w:br/>
                              <w:t>обозначения</w:t>
                            </w:r>
                            <w:r w:rsidRPr="004241D6">
                              <w:rPr>
                                <w:strike/>
                                <w:sz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62D0" id="Text Box 18" o:spid="_x0000_s1028" type="#_x0000_t202" style="position:absolute;left:0;text-align:left;margin-left:59.55pt;margin-top:4.25pt;width:50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" filled="f" stroked="f">
                <v:textbox inset="0,0,0,0">
                  <w:txbxContent>
                    <w:p w14:paraId="4B229314" w14:textId="77777777" w:rsidR="0096580A" w:rsidRPr="004241D6" w:rsidRDefault="0096580A" w:rsidP="0096580A">
                      <w:pPr>
                        <w:spacing w:line="240" w:lineRule="auto"/>
                        <w:rPr>
                          <w:strike/>
                          <w:sz w:val="16"/>
                          <w:lang w:val="en-US"/>
                        </w:rPr>
                      </w:pPr>
                      <w:r w:rsidRPr="004241D6">
                        <w:rPr>
                          <w:strike/>
                          <w:sz w:val="16"/>
                        </w:rPr>
                        <w:t xml:space="preserve">Условные </w:t>
                      </w:r>
                      <w:r w:rsidRPr="004241D6">
                        <w:rPr>
                          <w:strike/>
                          <w:sz w:val="16"/>
                        </w:rPr>
                        <w:br/>
                        <w:t>обозначения</w:t>
                      </w:r>
                      <w:r w:rsidRPr="004241D6">
                        <w:rPr>
                          <w:strike/>
                          <w:sz w:val="1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81CDD">
        <w:rPr>
          <w:noProof/>
          <w:lang w:eastAsia="ru-RU"/>
        </w:rPr>
        <w:drawing>
          <wp:inline distT="0" distB="0" distL="0" distR="0" wp14:anchorId="5BBD9529" wp14:editId="13102655">
            <wp:extent cx="4676775" cy="74485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24" t="81549" r="2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2C62" w14:textId="77777777" w:rsidR="0096580A" w:rsidRPr="00B81CDD" w:rsidRDefault="0096580A" w:rsidP="0096580A">
      <w:pPr>
        <w:pStyle w:val="SingleTxtGR"/>
        <w:spacing w:after="80" w:line="230" w:lineRule="atLeast"/>
        <w:rPr>
          <w:strike/>
          <w:sz w:val="16"/>
          <w:szCs w:val="16"/>
        </w:rPr>
      </w:pPr>
      <w:r w:rsidRPr="00B81CDD">
        <w:rPr>
          <w:strike/>
          <w:sz w:val="16"/>
          <w:szCs w:val="16"/>
        </w:rPr>
        <w:t>ПРИМЕЧАНИЕ − В пределах этого радиуса не должно быть крупных звукоотражающих объектов.</w:t>
      </w:r>
    </w:p>
    <w:p w14:paraId="6FA77CBF" w14:textId="77777777" w:rsidR="0096580A" w:rsidRPr="00B81CDD" w:rsidRDefault="0096580A" w:rsidP="0096580A">
      <w:pPr>
        <w:pStyle w:val="1"/>
        <w:numPr>
          <w:ilvl w:val="0"/>
          <w:numId w:val="0"/>
        </w:numPr>
        <w:ind w:left="1134"/>
        <w:rPr>
          <w:strike/>
        </w:rPr>
      </w:pPr>
    </w:p>
    <w:bookmarkEnd w:id="4"/>
    <w:bookmarkEnd w:id="5"/>
    <w:bookmarkEnd w:id="6"/>
    <w:bookmarkEnd w:id="7"/>
    <w:p w14:paraId="0769A0BA" w14:textId="16490A04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3.2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Состав покрытия и его подготовка</w:t>
      </w:r>
    </w:p>
    <w:p w14:paraId="7A47C46D" w14:textId="0B1202B7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3.2.1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Основные требования к составу</w:t>
      </w:r>
    </w:p>
    <w:p w14:paraId="2E478707" w14:textId="4CFECFFE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6C43EB">
        <w:rPr>
          <w:strike/>
        </w:rPr>
        <w:tab/>
      </w:r>
      <w:r w:rsidR="005110E3" w:rsidRPr="006C43EB">
        <w:rPr>
          <w:strike/>
        </w:rPr>
        <w:tab/>
      </w:r>
      <w:r w:rsidRPr="006C43EB">
        <w:rPr>
          <w:strike/>
        </w:rPr>
        <w:t>Испытательное</w:t>
      </w:r>
      <w:r w:rsidRPr="00B81CDD">
        <w:rPr>
          <w:strike/>
        </w:rPr>
        <w:t xml:space="preserve"> покрытие должно отвечать четырем требованиям к составу:</w:t>
      </w:r>
    </w:p>
    <w:p w14:paraId="0913F415" w14:textId="667E0EE0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3.2.1.1</w:t>
      </w:r>
      <w:r w:rsidR="005110E3">
        <w:rPr>
          <w:strike/>
        </w:rPr>
        <w:tab/>
      </w:r>
      <w:r w:rsidRPr="00B81CDD">
        <w:rPr>
          <w:strike/>
        </w:rPr>
        <w:tab/>
        <w:t>оно должно состоять из плотного асфальтобетона;</w:t>
      </w:r>
    </w:p>
    <w:p w14:paraId="5D87899E" w14:textId="0D0D8BC8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3.2.1.2</w:t>
      </w:r>
      <w:r w:rsidR="005110E3">
        <w:rPr>
          <w:strike/>
        </w:rPr>
        <w:tab/>
      </w:r>
      <w:r w:rsidRPr="00B81CDD">
        <w:rPr>
          <w:strike/>
        </w:rPr>
        <w:tab/>
        <w:t xml:space="preserve">максимальный размер щебня должен составлять 8 мм (допуск: </w:t>
      </w:r>
      <w:r w:rsidRPr="00B81CDD">
        <w:rPr>
          <w:strike/>
        </w:rPr>
        <w:br/>
        <w:t>6,3–10 мм);</w:t>
      </w:r>
    </w:p>
    <w:p w14:paraId="33B750E2" w14:textId="5BB83A6A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3.2.1.3</w:t>
      </w:r>
      <w:r w:rsidR="005110E3">
        <w:rPr>
          <w:strike/>
        </w:rPr>
        <w:tab/>
      </w:r>
      <w:r w:rsidRPr="00B81CDD">
        <w:rPr>
          <w:strike/>
        </w:rPr>
        <w:tab/>
        <w:t>толщина слоя износа должна быть ≥30 мм;</w:t>
      </w:r>
    </w:p>
    <w:p w14:paraId="1AA6C9D1" w14:textId="45A5EEA4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3.2.1.4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в качестве вяжущего материала должен использоваться немодифицированный битум, обеспечивающий прямую пропитку.</w:t>
      </w:r>
    </w:p>
    <w:p w14:paraId="0B9916FE" w14:textId="09C0E645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3.2.2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Указания в отношении состава</w:t>
      </w:r>
    </w:p>
    <w:p w14:paraId="0B13CD5E" w14:textId="484E8CA1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025BEC">
        <w:rPr>
          <w:strike/>
        </w:rPr>
        <w:tab/>
      </w:r>
      <w:r w:rsidR="005110E3" w:rsidRPr="00025BEC">
        <w:rPr>
          <w:strike/>
        </w:rPr>
        <w:tab/>
      </w:r>
      <w:r w:rsidRPr="00B81CDD">
        <w:rPr>
          <w:strike/>
        </w:rPr>
        <w:t>В качестве руководства для строителей покрытия на рис. 2 показана гранулометрическая кривая, отражающая состав скелетного материала, который обеспечивает нужные характеристики. Кроме того, в таблице 1 приведены некоторые целевые параметры для обеспечения требуемой текстуры и износостойкости. Гранулометрическая кривая соответствует следующей формуле:</w:t>
      </w:r>
    </w:p>
    <w:p w14:paraId="11BA4061" w14:textId="51A911CA" w:rsidR="0096580A" w:rsidRPr="00B81CDD" w:rsidRDefault="0096580A" w:rsidP="0096580A">
      <w:pPr>
        <w:pStyle w:val="SingleTxtG"/>
        <w:ind w:left="2268"/>
        <w:rPr>
          <w:strike/>
        </w:rPr>
      </w:pPr>
      <w:r w:rsidRPr="00B81CDD">
        <w:rPr>
          <w:strike/>
        </w:rPr>
        <w:t xml:space="preserve">P (% прохождения) </w:t>
      </w:r>
      <w:r w:rsidR="00025BEC">
        <w:rPr>
          <w:strike/>
        </w:rPr>
        <w:t>—</w:t>
      </w:r>
      <w:r w:rsidRPr="00B81CDD">
        <w:rPr>
          <w:strike/>
        </w:rPr>
        <w:t xml:space="preserve"> 100 </w:t>
      </w:r>
      <w:r w:rsidRPr="00B81CDD">
        <w:rPr>
          <w:bCs/>
          <w:strike/>
        </w:rPr>
        <w:t>·</w:t>
      </w:r>
      <w:r w:rsidRPr="00B81CDD">
        <w:rPr>
          <w:strike/>
        </w:rPr>
        <w:t xml:space="preserve"> (d/d</w:t>
      </w:r>
      <w:r w:rsidRPr="00B81CDD">
        <w:rPr>
          <w:strike/>
          <w:vertAlign w:val="subscript"/>
        </w:rPr>
        <w:t>max</w:t>
      </w:r>
      <w:r w:rsidRPr="00B81CDD">
        <w:rPr>
          <w:strike/>
        </w:rPr>
        <w:t>)1/2,</w:t>
      </w:r>
    </w:p>
    <w:p w14:paraId="314489AE" w14:textId="77777777" w:rsidR="0096580A" w:rsidRPr="00B81CDD" w:rsidRDefault="0096580A" w:rsidP="0096580A">
      <w:pPr>
        <w:pStyle w:val="SingleTxtG"/>
        <w:ind w:left="2268"/>
        <w:rPr>
          <w:strike/>
        </w:rPr>
      </w:pPr>
      <w:r w:rsidRPr="00B81CDD">
        <w:rPr>
          <w:strike/>
        </w:rPr>
        <w:t>где:</w:t>
      </w:r>
    </w:p>
    <w:p w14:paraId="2D6293C8" w14:textId="77777777" w:rsidR="0096580A" w:rsidRPr="00B81CDD" w:rsidRDefault="0096580A" w:rsidP="0096580A">
      <w:pPr>
        <w:pStyle w:val="SingleTxtG"/>
        <w:ind w:left="2268"/>
        <w:rPr>
          <w:strike/>
        </w:rPr>
      </w:pPr>
      <w:r w:rsidRPr="00B81CDD">
        <w:rPr>
          <w:strike/>
        </w:rPr>
        <w:t>d</w:t>
      </w:r>
      <w:r w:rsidRPr="00B81CDD">
        <w:rPr>
          <w:strike/>
        </w:rPr>
        <w:tab/>
        <w:t>=</w:t>
      </w:r>
      <w:r w:rsidRPr="00B81CDD">
        <w:rPr>
          <w:strike/>
        </w:rPr>
        <w:tab/>
        <w:t>размер квадратного отверстия сита в мм</w:t>
      </w:r>
    </w:p>
    <w:p w14:paraId="661727EF" w14:textId="77777777" w:rsidR="00025BEC" w:rsidRDefault="0096580A" w:rsidP="00BF57F6">
      <w:pPr>
        <w:pStyle w:val="SingleTxtG"/>
        <w:pageBreakBefore/>
        <w:ind w:left="2268"/>
        <w:jc w:val="left"/>
        <w:rPr>
          <w:strike/>
        </w:rPr>
      </w:pPr>
      <w:r w:rsidRPr="00B81CDD">
        <w:rPr>
          <w:strike/>
        </w:rPr>
        <w:lastRenderedPageBreak/>
        <w:t>d</w:t>
      </w:r>
      <w:r w:rsidRPr="00B81CDD">
        <w:rPr>
          <w:strike/>
          <w:vertAlign w:val="subscript"/>
        </w:rPr>
        <w:t>max</w:t>
      </w:r>
      <w:r w:rsidRPr="00B81CDD">
        <w:rPr>
          <w:strike/>
        </w:rPr>
        <w:tab/>
        <w:t>=</w:t>
      </w:r>
      <w:r w:rsidRPr="00B81CDD">
        <w:rPr>
          <w:strike/>
        </w:rPr>
        <w:tab/>
        <w:t>8 мм для средней кривой</w:t>
      </w:r>
    </w:p>
    <w:p w14:paraId="2028FF19" w14:textId="77777777" w:rsidR="00025BEC" w:rsidRDefault="0096580A" w:rsidP="0096580A">
      <w:pPr>
        <w:pStyle w:val="SingleTxtG"/>
        <w:ind w:left="2268"/>
        <w:jc w:val="left"/>
        <w:rPr>
          <w:strike/>
        </w:rPr>
      </w:pPr>
      <w:r w:rsidRPr="00B81CDD">
        <w:tab/>
      </w:r>
      <w:r w:rsidRPr="00B81CDD">
        <w:tab/>
      </w:r>
      <w:r w:rsidRPr="00B81CDD">
        <w:rPr>
          <w:strike/>
        </w:rPr>
        <w:t>=</w:t>
      </w:r>
      <w:r w:rsidRPr="00B81CDD">
        <w:rPr>
          <w:strike/>
        </w:rPr>
        <w:tab/>
        <w:t>10 мм для нижней кривой допуска</w:t>
      </w:r>
    </w:p>
    <w:p w14:paraId="39CC22A5" w14:textId="11951A92" w:rsidR="0096580A" w:rsidRPr="00B81CDD" w:rsidRDefault="0096580A" w:rsidP="0096580A">
      <w:pPr>
        <w:pStyle w:val="SingleTxtG"/>
        <w:ind w:left="2268"/>
        <w:jc w:val="left"/>
        <w:rPr>
          <w:strike/>
        </w:rPr>
      </w:pPr>
      <w:r w:rsidRPr="00B81CDD">
        <w:tab/>
      </w:r>
      <w:r w:rsidRPr="00B81CDD">
        <w:tab/>
      </w:r>
      <w:r w:rsidRPr="00B81CDD">
        <w:rPr>
          <w:strike/>
        </w:rPr>
        <w:t>=</w:t>
      </w:r>
      <w:r w:rsidRPr="00B81CDD">
        <w:rPr>
          <w:strike/>
        </w:rPr>
        <w:tab/>
        <w:t>6,3 мм для верхней кривой допуска</w:t>
      </w:r>
    </w:p>
    <w:p w14:paraId="6759D640" w14:textId="77777777" w:rsidR="0096580A" w:rsidRPr="00B81CDD" w:rsidRDefault="0096580A" w:rsidP="00025BEC">
      <w:pPr>
        <w:pStyle w:val="1"/>
        <w:keepNext w:val="0"/>
        <w:numPr>
          <w:ilvl w:val="0"/>
          <w:numId w:val="0"/>
        </w:numPr>
        <w:ind w:left="1134"/>
        <w:jc w:val="left"/>
        <w:rPr>
          <w:b w:val="0"/>
          <w:strike/>
        </w:rPr>
      </w:pPr>
      <w:bookmarkStart w:id="8" w:name="_Toc367177767"/>
      <w:bookmarkStart w:id="9" w:name="_Toc432594581"/>
      <w:bookmarkStart w:id="10" w:name="_Toc440609133"/>
      <w:bookmarkStart w:id="11" w:name="_Toc61444509"/>
      <w:r w:rsidRPr="00025BEC">
        <w:rPr>
          <w:b w:val="0"/>
          <w:bCs w:val="0"/>
          <w:strike/>
        </w:rPr>
        <w:t>Рис. 2</w:t>
      </w:r>
      <w:r w:rsidRPr="00B81CDD">
        <w:rPr>
          <w:strike/>
        </w:rPr>
        <w:br/>
        <w:t>Гранулометрическая кривая, отражающая состав асфальтобетонной смеси с допусками</w:t>
      </w:r>
    </w:p>
    <w:p w14:paraId="7C7D4BEF" w14:textId="77777777" w:rsidR="0096580A" w:rsidRPr="00B81CDD" w:rsidRDefault="0096580A" w:rsidP="0096580A">
      <w:pPr>
        <w:pStyle w:val="SingleTxtGR"/>
        <w:jc w:val="left"/>
        <w:rPr>
          <w:b/>
        </w:rPr>
      </w:pPr>
      <w:r w:rsidRPr="00B81CDD">
        <w:rPr>
          <w:b/>
          <w:bCs/>
          <w:strike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B3596" wp14:editId="7663A9DC">
                <wp:simplePos x="0" y="0"/>
                <wp:positionH relativeFrom="column">
                  <wp:posOffset>898446</wp:posOffset>
                </wp:positionH>
                <wp:positionV relativeFrom="paragraph">
                  <wp:posOffset>23749</wp:posOffset>
                </wp:positionV>
                <wp:extent cx="5241575" cy="4630651"/>
                <wp:effectExtent l="19050" t="19050" r="35560" b="3683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1575" cy="46306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A928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1.85pt" to="483.45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" strokecolor="black [3040]" strokeweight="2.25pt"/>
            </w:pict>
          </mc:Fallback>
        </mc:AlternateContent>
      </w:r>
      <w:r w:rsidRPr="00B81CDD">
        <w:rPr>
          <w:b/>
          <w:bCs/>
          <w:noProof/>
          <w:w w:val="10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784C30" wp14:editId="6A0FC399">
                <wp:simplePos x="0" y="0"/>
                <wp:positionH relativeFrom="column">
                  <wp:posOffset>697230</wp:posOffset>
                </wp:positionH>
                <wp:positionV relativeFrom="paragraph">
                  <wp:posOffset>160020</wp:posOffset>
                </wp:positionV>
                <wp:extent cx="4827270" cy="5241925"/>
                <wp:effectExtent l="0" t="0" r="0" b="0"/>
                <wp:wrapNone/>
                <wp:docPr id="4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5241925"/>
                          <a:chOff x="2237" y="5644"/>
                          <a:chExt cx="7602" cy="8255"/>
                        </a:xfrm>
                      </wpg:grpSpPr>
                      <wps:wsp>
                        <wps:cNvPr id="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841" y="13610"/>
                            <a:ext cx="199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D6C38" w14:textId="77777777" w:rsidR="0096580A" w:rsidRPr="004241D6" w:rsidRDefault="0096580A" w:rsidP="0096580A">
                              <w:pPr>
                                <w:rPr>
                                  <w:strike/>
                                  <w:sz w:val="18"/>
                                  <w:szCs w:val="18"/>
                                </w:rPr>
                              </w:pPr>
                              <w:r w:rsidRPr="004241D6">
                                <w:rPr>
                                  <w:strike/>
                                  <w:sz w:val="18"/>
                                  <w:szCs w:val="18"/>
                                </w:rPr>
                                <w:t>Размер отверстия в 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5644"/>
                            <a:ext cx="285" cy="2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DDD17" w14:textId="77777777" w:rsidR="0096580A" w:rsidRPr="004241D6" w:rsidRDefault="0096580A" w:rsidP="0096580A">
                              <w:pPr>
                                <w:rPr>
                                  <w:strike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1D6">
                                <w:rPr>
                                  <w:strike/>
                                  <w:sz w:val="18"/>
                                  <w:szCs w:val="18"/>
                                </w:rPr>
                                <w:t>% прохождения (по массе)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84C30" id="Group 68" o:spid="_x0000_s1029" style="position:absolute;left:0;text-align:left;margin-left:54.9pt;margin-top:12.6pt;width:380.1pt;height:412.75pt;z-index:251663360" coordorigin="2237,5644" coordsize="760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">
                <v:shape id="Text Box 66" o:spid="_x0000_s1030" type="#_x0000_t202" style="position:absolute;left:7841;top:13610;width:199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1AxQAAANs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D1qv1AxQAAANsAAAAP&#10;AAAAAAAAAAAAAAAAAAcCAABkcnMvZG93bnJldi54bWxQSwUGAAAAAAMAAwC3AAAA+QIAAAAA&#10;" stroked="f">
                  <v:textbox inset="0,0,0,0">
                    <w:txbxContent>
                      <w:p w14:paraId="7A6D6C38" w14:textId="77777777" w:rsidR="0096580A" w:rsidRPr="004241D6" w:rsidRDefault="0096580A" w:rsidP="0096580A">
                        <w:pPr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4241D6">
                          <w:rPr>
                            <w:strike/>
                            <w:sz w:val="18"/>
                            <w:szCs w:val="18"/>
                          </w:rPr>
                          <w:t>Размер отверстия в мм</w:t>
                        </w:r>
                      </w:p>
                    </w:txbxContent>
                  </v:textbox>
                </v:shape>
                <v:shape id="Text Box 67" o:spid="_x0000_s1031" type="#_x0000_t202" style="position:absolute;left:2237;top:5644;width:285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" stroked="f">
                  <v:textbox style="layout-flow:vertical;mso-layout-flow-alt:bottom-to-top" inset="0,0,0,0">
                    <w:txbxContent>
                      <w:p w14:paraId="1CBDDD17" w14:textId="77777777" w:rsidR="0096580A" w:rsidRPr="004241D6" w:rsidRDefault="0096580A" w:rsidP="0096580A">
                        <w:pPr>
                          <w:rPr>
                            <w:strike/>
                            <w:sz w:val="18"/>
                            <w:szCs w:val="18"/>
                            <w:lang w:val="en-US"/>
                          </w:rPr>
                        </w:pPr>
                        <w:r w:rsidRPr="004241D6">
                          <w:rPr>
                            <w:strike/>
                            <w:sz w:val="18"/>
                            <w:szCs w:val="18"/>
                          </w:rPr>
                          <w:t>% прохождения (по массе)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1CDD">
        <w:rPr>
          <w:b/>
          <w:bCs/>
          <w:noProof/>
          <w:lang w:eastAsia="ru-RU"/>
        </w:rPr>
        <w:drawing>
          <wp:inline distT="0" distB="0" distL="0" distR="0" wp14:anchorId="79CFAF94" wp14:editId="2F8FA94B">
            <wp:extent cx="4564380" cy="5395926"/>
            <wp:effectExtent l="0" t="0" r="7620" b="0"/>
            <wp:docPr id="51" name="Рисунок 51" descr="Reg 117 An 4 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g 117 An 4 Fi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38" cy="53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bookmarkEnd w:id="11"/>
    <w:p w14:paraId="6DD7053C" w14:textId="74FBA129" w:rsidR="0096580A" w:rsidRPr="00B81CDD" w:rsidRDefault="00BF57F6" w:rsidP="00BF57F6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В дополнение к изложенному выше применяют следующие рекомендации:</w:t>
      </w:r>
    </w:p>
    <w:p w14:paraId="6CF0C0E9" w14:textId="508B5BFB" w:rsidR="0096580A" w:rsidRPr="00B81CDD" w:rsidRDefault="0096580A" w:rsidP="0096580A">
      <w:pPr>
        <w:pStyle w:val="SingleTxtG"/>
        <w:ind w:left="2835" w:hanging="567"/>
        <w:rPr>
          <w:strike/>
        </w:rPr>
      </w:pPr>
      <w:r w:rsidRPr="00B81CDD">
        <w:rPr>
          <w:strike/>
        </w:rPr>
        <w:t>а)</w:t>
      </w:r>
      <w:r w:rsidRPr="00B81CDD">
        <w:rPr>
          <w:strike/>
        </w:rPr>
        <w:tab/>
        <w:t>фракция песка (0,063 мм &lt; размер квадратного отверстия сита &lt;2 мм) должна содержать не более 55</w:t>
      </w:r>
      <w:r w:rsidR="00025BEC">
        <w:rPr>
          <w:strike/>
        </w:rPr>
        <w:t> </w:t>
      </w:r>
      <w:r w:rsidRPr="00B81CDD">
        <w:rPr>
          <w:strike/>
        </w:rPr>
        <w:t>% природного песка и по крайней мере 45</w:t>
      </w:r>
      <w:r w:rsidR="00025BEC">
        <w:rPr>
          <w:strike/>
        </w:rPr>
        <w:t> </w:t>
      </w:r>
      <w:r w:rsidRPr="00B81CDD">
        <w:rPr>
          <w:strike/>
        </w:rPr>
        <w:t>% дробленого песка;</w:t>
      </w:r>
    </w:p>
    <w:p w14:paraId="6B259D0F" w14:textId="77777777" w:rsidR="0096580A" w:rsidRPr="00B81CDD" w:rsidRDefault="0096580A" w:rsidP="0096580A">
      <w:pPr>
        <w:pStyle w:val="SingleTxtG"/>
        <w:ind w:left="2835" w:hanging="567"/>
        <w:rPr>
          <w:strike/>
        </w:rPr>
      </w:pPr>
      <w:r w:rsidRPr="00B81CDD">
        <w:rPr>
          <w:strike/>
        </w:rPr>
        <w:t>b)</w:t>
      </w:r>
      <w:r w:rsidRPr="00B81CDD">
        <w:rPr>
          <w:strike/>
        </w:rPr>
        <w:tab/>
        <w:t>основание и подстилающий слой должны обеспечивать надлежащую прочность и ровность в соответствии с наивысшими нормативами в области дорожного строительства;</w:t>
      </w:r>
    </w:p>
    <w:p w14:paraId="1D073061" w14:textId="77777777" w:rsidR="0096580A" w:rsidRPr="00B81CDD" w:rsidRDefault="0096580A" w:rsidP="0096580A">
      <w:pPr>
        <w:pStyle w:val="SingleTxtG"/>
        <w:ind w:left="2835" w:hanging="567"/>
        <w:rPr>
          <w:strike/>
        </w:rPr>
      </w:pPr>
      <w:r w:rsidRPr="00B81CDD">
        <w:rPr>
          <w:strike/>
        </w:rPr>
        <w:t>c)</w:t>
      </w:r>
      <w:r w:rsidRPr="00B81CDD">
        <w:rPr>
          <w:strike/>
        </w:rPr>
        <w:tab/>
        <w:t>щебень должен быть дробленым (100-процентное дробление наружной поверхности) и обладать высокой устойчивостью к дроблению;</w:t>
      </w:r>
    </w:p>
    <w:p w14:paraId="37D7AA51" w14:textId="77777777" w:rsidR="0096580A" w:rsidRPr="00B81CDD" w:rsidRDefault="0096580A" w:rsidP="0096580A">
      <w:pPr>
        <w:pStyle w:val="SingleTxtG"/>
        <w:ind w:left="2835" w:hanging="567"/>
        <w:rPr>
          <w:strike/>
        </w:rPr>
      </w:pPr>
      <w:r w:rsidRPr="00B81CDD">
        <w:rPr>
          <w:strike/>
        </w:rPr>
        <w:t>d)</w:t>
      </w:r>
      <w:r w:rsidRPr="00B81CDD">
        <w:rPr>
          <w:strike/>
        </w:rPr>
        <w:tab/>
        <w:t>щебень, используемый в смеси, должен быть промытым;</w:t>
      </w:r>
    </w:p>
    <w:p w14:paraId="67ADBE4A" w14:textId="77777777" w:rsidR="0096580A" w:rsidRPr="00B81CDD" w:rsidRDefault="0096580A" w:rsidP="0096580A">
      <w:pPr>
        <w:pStyle w:val="SingleTxtG"/>
        <w:ind w:left="2835" w:hanging="567"/>
        <w:rPr>
          <w:strike/>
        </w:rPr>
      </w:pPr>
      <w:r w:rsidRPr="00B81CDD">
        <w:rPr>
          <w:strike/>
        </w:rPr>
        <w:t>e)</w:t>
      </w:r>
      <w:r w:rsidRPr="00B81CDD">
        <w:rPr>
          <w:strike/>
        </w:rPr>
        <w:tab/>
        <w:t>на поверхности не должно быть никаких дополнительных добавок щебня;</w:t>
      </w:r>
    </w:p>
    <w:p w14:paraId="0F6A070F" w14:textId="77777777" w:rsidR="0096580A" w:rsidRPr="00B81CDD" w:rsidRDefault="0096580A" w:rsidP="0096580A">
      <w:pPr>
        <w:pStyle w:val="SingleTxtG"/>
        <w:ind w:left="2835" w:hanging="567"/>
        <w:rPr>
          <w:strike/>
        </w:rPr>
      </w:pPr>
      <w:r w:rsidRPr="00B81CDD">
        <w:rPr>
          <w:strike/>
        </w:rPr>
        <w:lastRenderedPageBreak/>
        <w:t>f)</w:t>
      </w:r>
      <w:r w:rsidRPr="00B81CDD">
        <w:rPr>
          <w:strike/>
        </w:rPr>
        <w:tab/>
        <w:t>твердость вяжущего материала, выраженная в единицах PEN, должна составлять 40−60, 60−80 или даже 80−100 в зависимости от климатических условий страны. Как правило, должен использоваться как можно более твердый вяжущий материал при условии, что это соответствует обычной практике;</w:t>
      </w:r>
    </w:p>
    <w:p w14:paraId="719D8CAF" w14:textId="7E6CE86F" w:rsidR="0096580A" w:rsidRPr="00B81CDD" w:rsidRDefault="0096580A" w:rsidP="0096580A">
      <w:pPr>
        <w:pStyle w:val="SingleTxtG"/>
        <w:ind w:left="2835" w:hanging="567"/>
        <w:rPr>
          <w:strike/>
        </w:rPr>
      </w:pPr>
      <w:r w:rsidRPr="00B81CDD">
        <w:rPr>
          <w:strike/>
        </w:rPr>
        <w:t>g)</w:t>
      </w:r>
      <w:r w:rsidRPr="00B81CDD">
        <w:rPr>
          <w:strike/>
        </w:rPr>
        <w:tab/>
        <w:t>температура смеси до укатки должна выбираться таким образом, чтобы в результате последующей укатки достигалась требуемая пористость. В целях повышения вероятности удовлетворения требований пунктов 2.1</w:t>
      </w:r>
      <w:r w:rsidR="00025BEC">
        <w:rPr>
          <w:strike/>
        </w:rPr>
        <w:t>—</w:t>
      </w:r>
      <w:r w:rsidRPr="00B81CDD">
        <w:rPr>
          <w:strike/>
        </w:rPr>
        <w:t>2.4 выше плотность должна обеспечиваться не только за счет надлежащего выбора температуры смеси, но и за счет определения надлежащего числа проходов и типа катка.</w:t>
      </w:r>
    </w:p>
    <w:p w14:paraId="442B054B" w14:textId="77777777" w:rsidR="0096580A" w:rsidRPr="00B81CDD" w:rsidRDefault="0096580A" w:rsidP="00025BEC">
      <w:pPr>
        <w:pStyle w:val="1"/>
        <w:numPr>
          <w:ilvl w:val="0"/>
          <w:numId w:val="0"/>
        </w:numPr>
        <w:ind w:left="1134"/>
        <w:jc w:val="left"/>
        <w:rPr>
          <w:strike/>
        </w:rPr>
      </w:pPr>
      <w:r w:rsidRPr="00025BEC">
        <w:rPr>
          <w:b w:val="0"/>
          <w:bCs w:val="0"/>
          <w:strike/>
        </w:rPr>
        <w:t>Таблица 1</w:t>
      </w:r>
      <w:r w:rsidRPr="00B81CDD">
        <w:rPr>
          <w:strike/>
        </w:rPr>
        <w:br/>
        <w:t>Рекомендации в отношении состава</w:t>
      </w:r>
    </w:p>
    <w:tbl>
      <w:tblPr>
        <w:tblStyle w:val="TabNum"/>
        <w:tblW w:w="7517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1091"/>
        <w:gridCol w:w="1526"/>
        <w:gridCol w:w="1022"/>
      </w:tblGrid>
      <w:tr w:rsidR="0096580A" w:rsidRPr="00B81CDD" w14:paraId="32B76230" w14:textId="77777777" w:rsidTr="000A261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  <w:shd w:val="clear" w:color="auto" w:fill="auto"/>
          </w:tcPr>
          <w:p w14:paraId="4176E17E" w14:textId="77777777" w:rsidR="0096580A" w:rsidRPr="00B81CDD" w:rsidRDefault="0096580A" w:rsidP="000A2613">
            <w:pPr>
              <w:spacing w:line="200" w:lineRule="exact"/>
              <w:ind w:left="28" w:right="28"/>
              <w:rPr>
                <w:i/>
                <w:strike/>
                <w:sz w:val="16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14:paraId="08B5710C" w14:textId="77777777" w:rsidR="0096580A" w:rsidRPr="00B81CDD" w:rsidRDefault="0096580A" w:rsidP="000A2613">
            <w:pPr>
              <w:spacing w:line="200" w:lineRule="exact"/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  <w:r w:rsidRPr="00B81CDD">
              <w:rPr>
                <w:i/>
                <w:strike/>
                <w:sz w:val="16"/>
              </w:rPr>
              <w:t>Целевые значения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33BE9DC5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  <w:r w:rsidRPr="00B81CDD">
              <w:rPr>
                <w:i/>
                <w:strike/>
                <w:sz w:val="16"/>
              </w:rPr>
              <w:t>Допуски</w:t>
            </w:r>
          </w:p>
        </w:tc>
      </w:tr>
      <w:tr w:rsidR="0096580A" w:rsidRPr="00B81CDD" w14:paraId="675C4C0D" w14:textId="77777777" w:rsidTr="000A261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  <w:tcBorders>
              <w:bottom w:val="single" w:sz="12" w:space="0" w:color="auto"/>
            </w:tcBorders>
            <w:shd w:val="clear" w:color="auto" w:fill="auto"/>
          </w:tcPr>
          <w:p w14:paraId="403E9A30" w14:textId="77777777" w:rsidR="0096580A" w:rsidRPr="00B81CDD" w:rsidRDefault="0096580A" w:rsidP="000A2613">
            <w:pPr>
              <w:spacing w:line="200" w:lineRule="exact"/>
              <w:ind w:left="28" w:right="28"/>
              <w:rPr>
                <w:i/>
                <w:strike/>
                <w:sz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CADF99B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  <w:r w:rsidRPr="00B81CDD">
              <w:rPr>
                <w:i/>
                <w:strike/>
                <w:sz w:val="16"/>
              </w:rPr>
              <w:t xml:space="preserve">От общей </w:t>
            </w:r>
            <w:r w:rsidRPr="00B81CDD">
              <w:rPr>
                <w:i/>
                <w:strike/>
                <w:sz w:val="16"/>
              </w:rPr>
              <w:br/>
              <w:t>массы смеси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94D84CC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  <w:r w:rsidRPr="00B81CDD">
              <w:rPr>
                <w:i/>
                <w:strike/>
                <w:sz w:val="16"/>
              </w:rPr>
              <w:t>От массы скелетного материала</w:t>
            </w:r>
          </w:p>
        </w:tc>
        <w:tc>
          <w:tcPr>
            <w:tcW w:w="1022" w:type="dxa"/>
            <w:vMerge/>
            <w:shd w:val="clear" w:color="auto" w:fill="auto"/>
          </w:tcPr>
          <w:p w14:paraId="2DEC8FFB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</w:p>
        </w:tc>
      </w:tr>
      <w:tr w:rsidR="0096580A" w:rsidRPr="00B81CDD" w14:paraId="6211F9FB" w14:textId="77777777" w:rsidTr="000A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  <w:tcBorders>
              <w:top w:val="single" w:sz="12" w:space="0" w:color="auto"/>
            </w:tcBorders>
          </w:tcPr>
          <w:p w14:paraId="5ADE6D95" w14:textId="77777777" w:rsidR="0096580A" w:rsidRPr="00B81CDD" w:rsidRDefault="0096580A" w:rsidP="000A2613">
            <w:pPr>
              <w:spacing w:line="200" w:lineRule="exact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Масса щебня, размер квадратного отверстия сита (SM) &gt; 2 мм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14:paraId="221EC552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47,6%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14:paraId="1184AC9D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50,5%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29DEC400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±5%</w:t>
            </w:r>
          </w:p>
        </w:tc>
      </w:tr>
      <w:tr w:rsidR="0096580A" w:rsidRPr="00B81CDD" w14:paraId="778366FD" w14:textId="77777777" w:rsidTr="000A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66B0050C" w14:textId="77777777" w:rsidR="0096580A" w:rsidRPr="00B81CDD" w:rsidRDefault="0096580A" w:rsidP="000A2613">
            <w:pPr>
              <w:spacing w:line="200" w:lineRule="exact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Масса песка 0,063 &lt; SM &lt; 2 мм</w:t>
            </w:r>
          </w:p>
        </w:tc>
        <w:tc>
          <w:tcPr>
            <w:tcW w:w="1091" w:type="dxa"/>
          </w:tcPr>
          <w:p w14:paraId="09BE88A9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38,0%</w:t>
            </w:r>
          </w:p>
        </w:tc>
        <w:tc>
          <w:tcPr>
            <w:tcW w:w="1526" w:type="dxa"/>
          </w:tcPr>
          <w:p w14:paraId="6D8D7310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40,2%</w:t>
            </w:r>
          </w:p>
        </w:tc>
        <w:tc>
          <w:tcPr>
            <w:tcW w:w="1022" w:type="dxa"/>
          </w:tcPr>
          <w:p w14:paraId="66842B70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±5%</w:t>
            </w:r>
          </w:p>
        </w:tc>
      </w:tr>
      <w:tr w:rsidR="0096580A" w:rsidRPr="00B81CDD" w14:paraId="2519D06E" w14:textId="77777777" w:rsidTr="000A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0712E90E" w14:textId="77777777" w:rsidR="0096580A" w:rsidRPr="00B81CDD" w:rsidRDefault="0096580A" w:rsidP="000A2613">
            <w:pPr>
              <w:spacing w:line="200" w:lineRule="exact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Масса минерального порошка SM &lt; 0,063 мм</w:t>
            </w:r>
          </w:p>
        </w:tc>
        <w:tc>
          <w:tcPr>
            <w:tcW w:w="1091" w:type="dxa"/>
          </w:tcPr>
          <w:p w14:paraId="7B837C59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8,8%</w:t>
            </w:r>
          </w:p>
        </w:tc>
        <w:tc>
          <w:tcPr>
            <w:tcW w:w="1526" w:type="dxa"/>
          </w:tcPr>
          <w:p w14:paraId="7E46605C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9,3%</w:t>
            </w:r>
          </w:p>
        </w:tc>
        <w:tc>
          <w:tcPr>
            <w:tcW w:w="1022" w:type="dxa"/>
          </w:tcPr>
          <w:p w14:paraId="6CEB9757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±5%</w:t>
            </w:r>
          </w:p>
        </w:tc>
      </w:tr>
      <w:tr w:rsidR="0096580A" w:rsidRPr="00B81CDD" w14:paraId="68088D75" w14:textId="77777777" w:rsidTr="000A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6A5DCE1F" w14:textId="77777777" w:rsidR="0096580A" w:rsidRPr="00B81CDD" w:rsidRDefault="0096580A" w:rsidP="000A2613">
            <w:pPr>
              <w:spacing w:line="200" w:lineRule="exact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Масса вяжущего материала (битум)</w:t>
            </w:r>
          </w:p>
        </w:tc>
        <w:tc>
          <w:tcPr>
            <w:tcW w:w="1091" w:type="dxa"/>
          </w:tcPr>
          <w:p w14:paraId="2BB96403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5,8%</w:t>
            </w:r>
          </w:p>
        </w:tc>
        <w:tc>
          <w:tcPr>
            <w:tcW w:w="1526" w:type="dxa"/>
          </w:tcPr>
          <w:p w14:paraId="023E9E63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н.д.</w:t>
            </w:r>
          </w:p>
        </w:tc>
        <w:tc>
          <w:tcPr>
            <w:tcW w:w="1022" w:type="dxa"/>
          </w:tcPr>
          <w:p w14:paraId="374EE088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±0,5%</w:t>
            </w:r>
          </w:p>
        </w:tc>
      </w:tr>
      <w:tr w:rsidR="0096580A" w:rsidRPr="00B81CDD" w14:paraId="261AC87D" w14:textId="77777777" w:rsidTr="000A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2B27C05C" w14:textId="77777777" w:rsidR="0096580A" w:rsidRPr="00B81CDD" w:rsidRDefault="0096580A" w:rsidP="000A2613">
            <w:pPr>
              <w:spacing w:line="200" w:lineRule="exact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Максимальный размер щебня</w:t>
            </w:r>
          </w:p>
        </w:tc>
        <w:tc>
          <w:tcPr>
            <w:tcW w:w="2617" w:type="dxa"/>
            <w:gridSpan w:val="2"/>
          </w:tcPr>
          <w:p w14:paraId="2F0B50C1" w14:textId="77777777" w:rsidR="0096580A" w:rsidRPr="00B81CDD" w:rsidRDefault="0096580A" w:rsidP="000A2613">
            <w:pPr>
              <w:spacing w:line="200" w:lineRule="exact"/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8 мм</w:t>
            </w:r>
          </w:p>
        </w:tc>
        <w:tc>
          <w:tcPr>
            <w:tcW w:w="1022" w:type="dxa"/>
          </w:tcPr>
          <w:p w14:paraId="6025D2F4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6,3–10 мм</w:t>
            </w:r>
          </w:p>
        </w:tc>
      </w:tr>
      <w:tr w:rsidR="0096580A" w:rsidRPr="00B81CDD" w14:paraId="395FC3A3" w14:textId="77777777" w:rsidTr="000A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6C8A21D3" w14:textId="77777777" w:rsidR="0096580A" w:rsidRPr="00B81CDD" w:rsidRDefault="0096580A" w:rsidP="000A2613">
            <w:pPr>
              <w:spacing w:line="200" w:lineRule="exact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Твердость вяжущего материала</w:t>
            </w:r>
          </w:p>
        </w:tc>
        <w:tc>
          <w:tcPr>
            <w:tcW w:w="2617" w:type="dxa"/>
            <w:gridSpan w:val="2"/>
            <w:vAlign w:val="center"/>
          </w:tcPr>
          <w:p w14:paraId="0A408142" w14:textId="77777777" w:rsidR="0096580A" w:rsidRPr="00B81CDD" w:rsidRDefault="0096580A" w:rsidP="000A2613">
            <w:pPr>
              <w:spacing w:line="200" w:lineRule="exact"/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(см. пункт 3.2.2 f))</w:t>
            </w:r>
          </w:p>
        </w:tc>
        <w:tc>
          <w:tcPr>
            <w:tcW w:w="1022" w:type="dxa"/>
          </w:tcPr>
          <w:p w14:paraId="67AB8024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</w:p>
        </w:tc>
      </w:tr>
      <w:tr w:rsidR="0096580A" w:rsidRPr="00B81CDD" w14:paraId="79C4B9CC" w14:textId="77777777" w:rsidTr="000A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29E126E6" w14:textId="77777777" w:rsidR="0096580A" w:rsidRPr="00B81CDD" w:rsidRDefault="0096580A" w:rsidP="000A2613">
            <w:pPr>
              <w:spacing w:line="200" w:lineRule="exact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Коэффициент полирования в слое износа (КПИ)</w:t>
            </w:r>
          </w:p>
        </w:tc>
        <w:tc>
          <w:tcPr>
            <w:tcW w:w="2617" w:type="dxa"/>
            <w:gridSpan w:val="2"/>
          </w:tcPr>
          <w:p w14:paraId="3D9E017F" w14:textId="77777777" w:rsidR="0096580A" w:rsidRPr="00B81CDD" w:rsidRDefault="0096580A" w:rsidP="000A2613">
            <w:pPr>
              <w:spacing w:line="200" w:lineRule="exact"/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&gt;50</w:t>
            </w:r>
          </w:p>
        </w:tc>
        <w:tc>
          <w:tcPr>
            <w:tcW w:w="1022" w:type="dxa"/>
          </w:tcPr>
          <w:p w14:paraId="71AC4AF6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</w:p>
        </w:tc>
      </w:tr>
      <w:tr w:rsidR="0096580A" w:rsidRPr="00B81CDD" w14:paraId="14C6B5C8" w14:textId="77777777" w:rsidTr="000A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0B18BFD3" w14:textId="77777777" w:rsidR="0096580A" w:rsidRPr="00B81CDD" w:rsidRDefault="0096580A" w:rsidP="000A2613">
            <w:pPr>
              <w:spacing w:line="200" w:lineRule="exact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Плотность относительно плотности</w:t>
            </w:r>
            <w:r w:rsidRPr="00B81CDD">
              <w:rPr>
                <w:strike/>
                <w:szCs w:val="18"/>
              </w:rPr>
              <w:br/>
              <w:t>по Маршаллу</w:t>
            </w:r>
          </w:p>
        </w:tc>
        <w:tc>
          <w:tcPr>
            <w:tcW w:w="2617" w:type="dxa"/>
            <w:gridSpan w:val="2"/>
            <w:tcBorders>
              <w:bottom w:val="single" w:sz="12" w:space="0" w:color="auto"/>
            </w:tcBorders>
          </w:tcPr>
          <w:p w14:paraId="4F83A6BE" w14:textId="77777777" w:rsidR="0096580A" w:rsidRPr="00B81CDD" w:rsidRDefault="0096580A" w:rsidP="000A2613">
            <w:pPr>
              <w:spacing w:line="200" w:lineRule="exact"/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98%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08A09D7F" w14:textId="77777777" w:rsidR="0096580A" w:rsidRPr="00B81CDD" w:rsidRDefault="0096580A" w:rsidP="000A2613">
            <w:pPr>
              <w:spacing w:line="200" w:lineRule="exac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</w:p>
        </w:tc>
      </w:tr>
    </w:tbl>
    <w:p w14:paraId="26386651" w14:textId="77777777" w:rsidR="0096580A" w:rsidRPr="00B81CDD" w:rsidRDefault="0096580A" w:rsidP="0096580A">
      <w:pPr>
        <w:pStyle w:val="1"/>
        <w:numPr>
          <w:ilvl w:val="0"/>
          <w:numId w:val="0"/>
        </w:numPr>
        <w:ind w:left="1134"/>
        <w:rPr>
          <w:strike/>
          <w:lang w:val="en-GB"/>
        </w:rPr>
      </w:pPr>
      <w:bookmarkStart w:id="12" w:name="_Toc367177768"/>
      <w:bookmarkStart w:id="13" w:name="_Toc432594582"/>
      <w:bookmarkStart w:id="14" w:name="_Toc440609134"/>
      <w:bookmarkStart w:id="15" w:name="_Toc61444510"/>
    </w:p>
    <w:bookmarkEnd w:id="12"/>
    <w:bookmarkEnd w:id="13"/>
    <w:bookmarkEnd w:id="14"/>
    <w:bookmarkEnd w:id="15"/>
    <w:p w14:paraId="5CB9EECA" w14:textId="0875D2BC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4.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Метод испытания</w:t>
      </w:r>
    </w:p>
    <w:p w14:paraId="640AB284" w14:textId="2B222C66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4.1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Измерение остаточной пористости</w:t>
      </w:r>
    </w:p>
    <w:p w14:paraId="096F6AD1" w14:textId="686933FC" w:rsidR="0096580A" w:rsidRPr="00025BEC" w:rsidRDefault="00025BEC" w:rsidP="00025BEC">
      <w:pPr>
        <w:pStyle w:val="SingleTxtG"/>
        <w:ind w:left="2268" w:hanging="1134"/>
        <w:rPr>
          <w:strike/>
        </w:rPr>
      </w:pPr>
      <w:r w:rsidRPr="00025BEC">
        <w:rPr>
          <w:strike/>
        </w:rPr>
        <w:tab/>
      </w:r>
      <w:r w:rsidRPr="00025BEC">
        <w:rPr>
          <w:strike/>
        </w:rPr>
        <w:tab/>
      </w:r>
      <w:r w:rsidR="0096580A" w:rsidRPr="00025BEC">
        <w:rPr>
          <w:strike/>
        </w:rPr>
        <w:t xml:space="preserve">Для целей этого измерения образцы покрытия испытательного трека должны высверливаться по крайней мере в четырех разных точках, равномерно распределенных на испытательной зоне между линиями AA и BB (см. рис. 1). Для исключения неточностей, связанных с неоднородностью и неровностью покрытия на участках следов колес, образцы покрытия должны высверливаться не в самих следах колес, а рядом с ними. Два образца (как минимум) должны высверливаться рядом со следами колес и один образец (как минимум) </w:t>
      </w:r>
      <w:r>
        <w:rPr>
          <w:strike/>
        </w:rPr>
        <w:t>—</w:t>
      </w:r>
      <w:r w:rsidR="0096580A" w:rsidRPr="00025BEC">
        <w:rPr>
          <w:strike/>
        </w:rPr>
        <w:t xml:space="preserve"> приблизительно посередине между следами колес и каждой точкой расположения микрофона.</w:t>
      </w:r>
    </w:p>
    <w:p w14:paraId="126186E1" w14:textId="3F592C47" w:rsidR="0096580A" w:rsidRPr="00B81CDD" w:rsidRDefault="00025BEC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 xml:space="preserve">Если имеется подозрение, что условия однородности не соблюдаются (см. пункт 2.4), то образцы должны высверливаться в большем числе точек в пределах зоны испытания. </w:t>
      </w:r>
    </w:p>
    <w:p w14:paraId="42802CFF" w14:textId="26FC3399" w:rsidR="0096580A" w:rsidRPr="00B81CDD" w:rsidRDefault="00025BEC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Остаточную пористость определяют для каждого образца, затем рассчитывают среднее значение для всех образцов, которое сопоставляют с требованием пункта 2.1 настоящего приложения. Кроме того, ни один образец не должен иметь пористость более 10</w:t>
      </w:r>
      <w:r>
        <w:rPr>
          <w:strike/>
        </w:rPr>
        <w:t> </w:t>
      </w:r>
      <w:r w:rsidR="0096580A" w:rsidRPr="00B81CDD">
        <w:rPr>
          <w:strike/>
        </w:rPr>
        <w:t xml:space="preserve">%. </w:t>
      </w:r>
    </w:p>
    <w:p w14:paraId="4A4B0283" w14:textId="2A609F95" w:rsidR="0096580A" w:rsidRPr="00B81CDD" w:rsidRDefault="00025BEC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 xml:space="preserve">Строителям испытательного покрытия следует помнить о проблеме, которая может возникнуть, если испытательная зона нагревается трубами или электрическими кабелями и если в этой зоне нужно высверлить образцы. Расположение такого оборудования должно быть тщательно спланировано с учетом будущих точек высверливания образцов. Рекомендуется оставлять несколько участков размером приблизительно </w:t>
      </w:r>
      <w:r w:rsidR="0096580A" w:rsidRPr="00B81CDD">
        <w:rPr>
          <w:strike/>
        </w:rPr>
        <w:lastRenderedPageBreak/>
        <w:t>200 × 300 мм, в которых отсутствуют кабели/трубы или в которых кабели и трубы проходят на достаточной глубине, что позволяет избежать их повреждения при высверливании образцов из покрытия.</w:t>
      </w:r>
    </w:p>
    <w:p w14:paraId="3AAC2731" w14:textId="590DFE13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4.2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Коэффициент звукопоглощения</w:t>
      </w:r>
    </w:p>
    <w:p w14:paraId="79686734" w14:textId="1F5D2D69" w:rsidR="0096580A" w:rsidRPr="00B81CDD" w:rsidRDefault="00025BEC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Коэффициент звукопоглощения (нормальное падение) должен измеряться с использованием метода трубы, указанного в стандарте ISO 10534−1:1996 или ISO 10534−2:1998.</w:t>
      </w:r>
    </w:p>
    <w:p w14:paraId="354C1F04" w14:textId="7BB2414F" w:rsidR="0096580A" w:rsidRPr="00B81CDD" w:rsidRDefault="00025BEC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 xml:space="preserve">Применительно к испытательным образцам должны соблюдаться те же требования, что и в отношении остаточной пористости (см. пункт 4.1 выше). Коэффициент звукопоглощения измеряют в пределах 400−800 Гц и в пределах 800 </w:t>
      </w:r>
      <w:r w:rsidR="006C43EB">
        <w:rPr>
          <w:strike/>
        </w:rPr>
        <w:t>—</w:t>
      </w:r>
      <w:r w:rsidR="0096580A" w:rsidRPr="00B81CDD">
        <w:rPr>
          <w:strike/>
        </w:rPr>
        <w:t xml:space="preserve"> 1 600 Гц (по крайней мере в центральных частотах полос третьей октавы), и для обоих этих диапазонов частот определяют максимальные значения. Затем на их основе высчитывают среднеарифметическое значение для всех испытательных образцов, которое составляет окончательный результат.</w:t>
      </w:r>
    </w:p>
    <w:p w14:paraId="444EB04C" w14:textId="08D90183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4.3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Измерение глубины текстуры</w:t>
      </w:r>
    </w:p>
    <w:p w14:paraId="19CE3744" w14:textId="3CE66545" w:rsidR="0096580A" w:rsidRPr="00B81CDD" w:rsidRDefault="00025BEC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Для цели этого стандарта измерение глубины текстуры проводят по крайней мере в 10 точках, равномерно расположенных по всей длине следов колес на испытательном участке, и среднеарифметическое значение сопоставляют с установленной минимальной глубиной текстуры. Описание процедуры см. в стандарте ISO 10844:2014.</w:t>
      </w:r>
    </w:p>
    <w:p w14:paraId="172AF583" w14:textId="081BB391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5.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Стабильность характеристик во времени и содержание</w:t>
      </w:r>
    </w:p>
    <w:p w14:paraId="661952D7" w14:textId="29C48543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5.1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Возраст покрытия</w:t>
      </w:r>
    </w:p>
    <w:p w14:paraId="748C0168" w14:textId="5A2123F8" w:rsidR="0096580A" w:rsidRPr="00B81CDD" w:rsidRDefault="006C43EB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Предполагается, что, как и на любом другом покрытии, уровень шума, возникающего в результате качения шины по испытательному покрытию, может незначительно увеличиться в течение первых 6−12</w:t>
      </w:r>
      <w:r>
        <w:rPr>
          <w:strike/>
        </w:rPr>
        <w:t> </w:t>
      </w:r>
      <w:r w:rsidR="0096580A" w:rsidRPr="00B81CDD">
        <w:rPr>
          <w:strike/>
        </w:rPr>
        <w:t>месяцев после строительства.</w:t>
      </w:r>
    </w:p>
    <w:p w14:paraId="3A1EE3EC" w14:textId="63A56488" w:rsidR="0096580A" w:rsidRPr="00B81CDD" w:rsidRDefault="006C43EB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Покрытие приобретает требуемые от него характеристики не ранее чем через четыре недели после строительства. Возраст покрытия в целом меньше влияет на уровень шума, производимого грузовыми автомобилями, чем на уровень шума, производимого легковыми автомобилями.</w:t>
      </w:r>
    </w:p>
    <w:p w14:paraId="4E1AB95D" w14:textId="165E9D20" w:rsidR="0096580A" w:rsidRPr="00B81CDD" w:rsidRDefault="006C43EB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Стабильность во времени определяют главным образом с учетом сглаживания и уплотнения покрытия в результате движения транспортных средств. Покрытие должно периодически проверяться, как указано в пункте 2.5 выше.</w:t>
      </w:r>
    </w:p>
    <w:p w14:paraId="7245FC73" w14:textId="73392F08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5.2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Содержание покрытия</w:t>
      </w:r>
    </w:p>
    <w:p w14:paraId="01F2B58D" w14:textId="196C1D1B" w:rsidR="0096580A" w:rsidRPr="00B81CDD" w:rsidRDefault="006C43EB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С покрытия удаляют мусор и пыль, которые могут существенно уменьшить эффективную глубину текстуры. В странах с холодным климатом для борьбы с обледенением иногда используют соль. Воздействие соли может привести к временному или даже постоянному изменению характеристик покрытия, в результате чего повышается уровень шума, поэтому ее применение не рекомендуется.</w:t>
      </w:r>
    </w:p>
    <w:p w14:paraId="572B99BE" w14:textId="73CE41FC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5.3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Замена покрытия испытательной зоны</w:t>
      </w:r>
    </w:p>
    <w:p w14:paraId="3EB5FEB8" w14:textId="42D6DB68" w:rsidR="0096580A" w:rsidRPr="00B81CDD" w:rsidRDefault="006C43EB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Если возникает необходимость замены покрытия испытательного трека, то, как правило, необходимо заменить покрытие только той испытательной полосы (шириной 3 м, как показано на рис. 1), по которой движутся транспортные средства, при условии, что при проведении соответствующих измерений испытательная зона за пределами этой полосы соответствует требованиям в отношении остаточной пористости или звукопоглощения.</w:t>
      </w:r>
    </w:p>
    <w:p w14:paraId="66F9AA83" w14:textId="4AC658F5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lastRenderedPageBreak/>
        <w:t>6.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Документация, касающаяся испытательного покрытия и проведенных на нем испытаний</w:t>
      </w:r>
    </w:p>
    <w:p w14:paraId="130F6358" w14:textId="364F84F3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</w:t>
      </w:r>
      <w:r w:rsidR="005110E3">
        <w:rPr>
          <w:strike/>
        </w:rPr>
        <w:tab/>
      </w:r>
      <w:r w:rsidRPr="00B81CDD">
        <w:rPr>
          <w:strike/>
        </w:rPr>
        <w:tab/>
        <w:t>Документация, касающаяся испытательного покрытия</w:t>
      </w:r>
    </w:p>
    <w:p w14:paraId="5062F531" w14:textId="2D2E619B" w:rsidR="0096580A" w:rsidRPr="00B81CDD" w:rsidRDefault="006C43EB" w:rsidP="00025BEC">
      <w:pPr>
        <w:pStyle w:val="SingleTxtG"/>
        <w:ind w:left="2268" w:hanging="1134"/>
        <w:rPr>
          <w:strike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В документе, содержащем описание испытательного покрытия, должны быть указаны следующие данные:</w:t>
      </w:r>
    </w:p>
    <w:p w14:paraId="7F654AEA" w14:textId="23AC1EDE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6.1.1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расположение испытательного трека;</w:t>
      </w:r>
    </w:p>
    <w:p w14:paraId="6BF7E559" w14:textId="3ED6DD6C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6.1.2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тип вяжущего материала, твердость вяжущего материала, тип заполнителя, максимальная теоретическая плотность бетона (DR), толщина слоя износа и гранулометрическая кривая, определенная на основе анализа образцов покрытия испытательного трека;</w:t>
      </w:r>
    </w:p>
    <w:p w14:paraId="2026685E" w14:textId="53F95F43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6.1.3</w:t>
      </w:r>
      <w:r w:rsidR="005110E3">
        <w:rPr>
          <w:strike/>
        </w:rPr>
        <w:tab/>
      </w:r>
      <w:r w:rsidRPr="00B81CDD">
        <w:rPr>
          <w:strike/>
        </w:rPr>
        <w:tab/>
        <w:t>метод уплотнения (например, тип катка, масса катка, число проходов);</w:t>
      </w:r>
    </w:p>
    <w:p w14:paraId="7C7E9A50" w14:textId="20C85DD1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6.1.4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температура смеси, температура окружающего воздуха и скорость ветра во время укладки покрытия;</w:t>
      </w:r>
    </w:p>
    <w:p w14:paraId="1FF2E9CC" w14:textId="41C3D18C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6.1.5</w:t>
      </w:r>
      <w:r w:rsidR="005110E3">
        <w:rPr>
          <w:strike/>
        </w:rPr>
        <w:tab/>
      </w:r>
      <w:r w:rsidRPr="00B81CDD">
        <w:rPr>
          <w:strike/>
        </w:rPr>
        <w:tab/>
        <w:t>дата укладки покрытия и подрядчик;</w:t>
      </w:r>
    </w:p>
    <w:p w14:paraId="44FFFEF7" w14:textId="104AD1A9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результаты всех или по крайней мере последних испытаний, в том числе:</w:t>
      </w:r>
    </w:p>
    <w:p w14:paraId="2BE52AFD" w14:textId="215A0628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6.1.6.1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остаточная пористость каждого образца;</w:t>
      </w:r>
    </w:p>
    <w:p w14:paraId="11AEFCE9" w14:textId="15AAE422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6.1.6.2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точки испытательной зоны, в которых были высверлены образцы для проведения измерений пористости;</w:t>
      </w:r>
    </w:p>
    <w:p w14:paraId="012937B0" w14:textId="57FE9749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6.1.6.3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коэффициент звукопоглощения каждого образца (в случае его измерения). Указать результаты по каждому образцу и по каждому диапазону частот, а также общее среднее значение;</w:t>
      </w:r>
    </w:p>
    <w:p w14:paraId="254A0187" w14:textId="5CFEA86E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6.1.6.4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точки испытательной зоны, в которых были высверлены образцы для измерения коэффициента звукопоглощения;</w:t>
      </w:r>
    </w:p>
    <w:p w14:paraId="2329606D" w14:textId="309066CB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6.1.6.5</w:t>
      </w:r>
      <w:r w:rsidR="005110E3">
        <w:rPr>
          <w:strike/>
        </w:rPr>
        <w:tab/>
      </w:r>
      <w:r w:rsidRPr="00B81CDD">
        <w:rPr>
          <w:strike/>
        </w:rPr>
        <w:tab/>
        <w:t>глубина текстуры, включая число испытаний и стандартное отклонение;</w:t>
      </w:r>
    </w:p>
    <w:p w14:paraId="05650669" w14:textId="2EC443A0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6.1.6.6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учреждение, ответственное за проведение испытаний в соответствии с пунктами 6.1.6.1 и 6.1.6.2, и тип использованного оборудования;</w:t>
      </w:r>
    </w:p>
    <w:p w14:paraId="0FB3ACF2" w14:textId="3A632EB6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6.1.6.7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дата проведения испытания(й) и дата отбора образцов покрытия испытательного трека.</w:t>
      </w:r>
    </w:p>
    <w:p w14:paraId="7AFE83FC" w14:textId="0A03D0F1" w:rsidR="0096580A" w:rsidRPr="00B81CDD" w:rsidRDefault="0096580A" w:rsidP="0096580A">
      <w:pPr>
        <w:pStyle w:val="SingleTxtG"/>
        <w:ind w:left="2268" w:hanging="1134"/>
        <w:rPr>
          <w:strike/>
        </w:rPr>
      </w:pPr>
      <w:r w:rsidRPr="00B81CDD">
        <w:rPr>
          <w:strike/>
        </w:rPr>
        <w:t>6.2</w:t>
      </w:r>
      <w:r w:rsidRPr="00B81CDD">
        <w:rPr>
          <w:strike/>
        </w:rPr>
        <w:tab/>
      </w:r>
      <w:r w:rsidR="005110E3">
        <w:rPr>
          <w:strike/>
        </w:rPr>
        <w:tab/>
      </w:r>
      <w:r w:rsidRPr="00B81CDD">
        <w:rPr>
          <w:strike/>
        </w:rPr>
        <w:t>Документация, касающаяся испытаний транспортных средств в отношении производимого ими шума, проведенных на покрытии</w:t>
      </w:r>
    </w:p>
    <w:p w14:paraId="111A485C" w14:textId="7C4F5CE9" w:rsidR="0096580A" w:rsidRPr="00B81CDD" w:rsidRDefault="006C43EB" w:rsidP="006C43EB">
      <w:pPr>
        <w:pStyle w:val="SingleTxtG"/>
        <w:ind w:left="2268" w:hanging="1134"/>
        <w:rPr>
          <w:bCs/>
        </w:rPr>
      </w:pPr>
      <w:r>
        <w:rPr>
          <w:strike/>
        </w:rPr>
        <w:tab/>
      </w:r>
      <w:r>
        <w:rPr>
          <w:strike/>
        </w:rPr>
        <w:tab/>
      </w:r>
      <w:r w:rsidR="0096580A" w:rsidRPr="00B81CDD">
        <w:rPr>
          <w:strike/>
        </w:rPr>
        <w:t>В документе, в котором содержится описание испытания транспортных средств в отношении производимого ими шума, должно быть указано, были ли выполнены все требования данного стандарта. Должен быть указан документ, оговоренный в пункте 6.1 выше, в котором изложены подтверждающие это результаты</w:t>
      </w:r>
      <w:r w:rsidR="0096580A" w:rsidRPr="00B81CDD">
        <w:rPr>
          <w:bCs/>
        </w:rPr>
        <w:t>».</w:t>
      </w:r>
    </w:p>
    <w:p w14:paraId="38569936" w14:textId="6DB1B002" w:rsidR="0096580A" w:rsidRPr="002F135C" w:rsidRDefault="002F135C" w:rsidP="002F135C">
      <w:pPr>
        <w:pStyle w:val="HChG"/>
        <w:rPr>
          <w:lang w:val="en-GB"/>
        </w:rPr>
      </w:pPr>
      <w:r>
        <w:rPr>
          <w:lang w:val="en-GB"/>
        </w:rPr>
        <w:tab/>
      </w:r>
      <w:r w:rsidRPr="00B81CDD">
        <w:rPr>
          <w:lang w:val="en-GB"/>
        </w:rPr>
        <w:t>II.</w:t>
      </w:r>
      <w:r w:rsidRPr="00B81CDD">
        <w:rPr>
          <w:lang w:val="en-GB"/>
        </w:rPr>
        <w:tab/>
      </w:r>
      <w:r w:rsidR="0096580A" w:rsidRPr="002F135C">
        <w:tab/>
        <w:t>Обоснование</w:t>
      </w:r>
      <w:r w:rsidR="0096580A" w:rsidRPr="002F135C">
        <w:rPr>
          <w:lang w:val="en-GB"/>
        </w:rPr>
        <w:t xml:space="preserve"> </w:t>
      </w:r>
    </w:p>
    <w:p w14:paraId="6D407166" w14:textId="77777777" w:rsidR="0096580A" w:rsidRPr="00B81CDD" w:rsidRDefault="0096580A" w:rsidP="0096580A">
      <w:pPr>
        <w:pStyle w:val="SingleTxtG"/>
        <w:rPr>
          <w:shd w:val="clear" w:color="auto" w:fill="FFFFFF"/>
        </w:rPr>
      </w:pPr>
      <w:bookmarkStart w:id="16" w:name="_Hlk50446194"/>
      <w:bookmarkStart w:id="17" w:name="_Hlk50446402"/>
      <w:r w:rsidRPr="00B81CDD">
        <w:rPr>
          <w:bCs/>
        </w:rPr>
        <w:t>1.</w:t>
      </w:r>
      <w:r w:rsidRPr="00B81CDD">
        <w:rPr>
          <w:bCs/>
        </w:rPr>
        <w:tab/>
        <w:t>Как уже указывалось в неофициальном документе GRBP-77-11 (НРГ по НИ), предлагаемое введение специальной поправки на температуру для шин с маркировкой в виде трехглавой горной вершины со сне</w:t>
      </w:r>
      <w:r w:rsidRPr="00B81CDD">
        <w:rPr>
          <w:shd w:val="clear" w:color="auto" w:fill="FFFFFF"/>
        </w:rPr>
        <w:t>жинкой (3PMSF) позволяет уменьшить неточности в измерениях применительно к шинам класса С1. Предлагаемый для температурной коррекции переход от билинейной к логарифмической функции соответствует температурным характеристикам резины, отмечаемым как при испытании материалов, так и при измерениях шума, издаваемого шинами при качении.</w:t>
      </w:r>
    </w:p>
    <w:p w14:paraId="5C4B4C84" w14:textId="77777777" w:rsidR="0096580A" w:rsidRPr="00B81CDD" w:rsidRDefault="0096580A" w:rsidP="0096580A">
      <w:pPr>
        <w:pStyle w:val="SingleTxtG"/>
        <w:rPr>
          <w:shd w:val="clear" w:color="auto" w:fill="FFFFFF"/>
        </w:rPr>
      </w:pPr>
      <w:r w:rsidRPr="00B81CDD">
        <w:rPr>
          <w:bCs/>
        </w:rPr>
        <w:t>2.</w:t>
      </w:r>
      <w:r w:rsidRPr="00B81CDD">
        <w:rPr>
          <w:bCs/>
        </w:rPr>
        <w:tab/>
        <w:t xml:space="preserve">Как указывалось в неофициальном документе GRBP-77-11 (НРГ по НИ), в случае шин </w:t>
      </w:r>
      <w:r w:rsidRPr="00B81CDD">
        <w:rPr>
          <w:shd w:val="clear" w:color="auto" w:fill="FFFFFF"/>
        </w:rPr>
        <w:t xml:space="preserve">класса С2 требуется проведение дальнейших исследований. Применительно к шинам класса С2 без маркировки 3PMSF для температурной коррекции вводится логарифмическая функция. Применительно же к шинам класса С2 </w:t>
      </w:r>
      <w:r w:rsidRPr="00B81CDD">
        <w:rPr>
          <w:shd w:val="clear" w:color="auto" w:fill="FFFFFF"/>
        </w:rPr>
        <w:lastRenderedPageBreak/>
        <w:t>с маркировкой 3PMSF, равно как к шинам класса С3 необходимости во введении формулы температурной коррекции не усматривается ввиду их низкой чувствительности к температуре.</w:t>
      </w:r>
    </w:p>
    <w:p w14:paraId="4FC34489" w14:textId="77777777" w:rsidR="0096580A" w:rsidRPr="00B81CDD" w:rsidRDefault="0096580A" w:rsidP="0096580A">
      <w:pPr>
        <w:pStyle w:val="SingleTxtG"/>
        <w:rPr>
          <w:shd w:val="clear" w:color="auto" w:fill="FFFFFF"/>
        </w:rPr>
      </w:pPr>
      <w:r w:rsidRPr="00B81CDD">
        <w:rPr>
          <w:bCs/>
        </w:rPr>
        <w:t>3.</w:t>
      </w:r>
      <w:r w:rsidRPr="00B81CDD">
        <w:rPr>
          <w:bCs/>
        </w:rPr>
        <w:tab/>
      </w:r>
      <w:r w:rsidRPr="00B81CDD">
        <w:rPr>
          <w:shd w:val="clear" w:color="auto" w:fill="FFFFFF"/>
        </w:rPr>
        <w:t>Что касается шин класса C3, то необходимости во введении формулы температурной коррекции не усматривается по причине низкой чувствительности входящих в состав шин класса C3 соединений к температуре, а также высокой тепловой инерции этих шин.</w:t>
      </w:r>
    </w:p>
    <w:p w14:paraId="11291AC8" w14:textId="4009DE12" w:rsidR="0096580A" w:rsidRPr="00B81CDD" w:rsidRDefault="0096580A" w:rsidP="0096580A">
      <w:pPr>
        <w:pStyle w:val="SingleTxtG"/>
        <w:rPr>
          <w:bCs/>
        </w:rPr>
      </w:pPr>
      <w:r w:rsidRPr="00B81CDD">
        <w:rPr>
          <w:bCs/>
        </w:rPr>
        <w:t>4.</w:t>
      </w:r>
      <w:r w:rsidRPr="00B81CDD">
        <w:rPr>
          <w:bCs/>
        </w:rPr>
        <w:tab/>
      </w:r>
      <w:r w:rsidRPr="00B81CDD">
        <w:rPr>
          <w:shd w:val="clear" w:color="auto" w:fill="FFFFFF"/>
        </w:rPr>
        <w:t xml:space="preserve">Учитывая, что соответствие производства (CП) может наступать гораздо позднее момента обязательного применения новой формулы температурной коррекции, настоящее предложение обеспечит каждому изготовителю возможность использовать </w:t>
      </w:r>
      <w:r w:rsidR="006C43EB">
        <w:rPr>
          <w:shd w:val="clear" w:color="auto" w:fill="FFFFFF"/>
        </w:rPr>
        <w:t>—</w:t>
      </w:r>
      <w:r w:rsidRPr="00B81CDD">
        <w:rPr>
          <w:shd w:val="clear" w:color="auto" w:fill="FFFFFF"/>
        </w:rPr>
        <w:t xml:space="preserve"> в зависимости от имеющейся на момент CП системы сбора и обработки данных </w:t>
      </w:r>
      <w:r w:rsidR="006C43EB">
        <w:rPr>
          <w:shd w:val="clear" w:color="auto" w:fill="FFFFFF"/>
        </w:rPr>
        <w:t>—</w:t>
      </w:r>
      <w:r w:rsidRPr="00B81CDD">
        <w:rPr>
          <w:shd w:val="clear" w:color="auto" w:fill="FFFFFF"/>
        </w:rPr>
        <w:t xml:space="preserve"> старую или новую формулу, причем независимо от той, которая использовалась на момент официального утверждения типа.</w:t>
      </w:r>
    </w:p>
    <w:p w14:paraId="70F52A6B" w14:textId="595DDDD5" w:rsidR="0096580A" w:rsidRPr="00B81CDD" w:rsidRDefault="0096580A" w:rsidP="0096580A">
      <w:pPr>
        <w:pStyle w:val="SingleTxtG"/>
        <w:rPr>
          <w:bCs/>
        </w:rPr>
      </w:pPr>
      <w:r w:rsidRPr="00B81CDD">
        <w:rPr>
          <w:bCs/>
        </w:rPr>
        <w:t>5.</w:t>
      </w:r>
      <w:r w:rsidRPr="00B81CDD">
        <w:rPr>
          <w:bCs/>
        </w:rPr>
        <w:tab/>
        <w:t xml:space="preserve">Поскольку внесение в Правила № 117 ООН возможных поправок уже намечено на сессии Рабочей группы по вопросам шума и шин (GRBP) в феврале 2024 года, </w:t>
      </w:r>
      <w:r w:rsidR="006C43EB">
        <w:rPr>
          <w:bCs/>
        </w:rPr>
        <w:br/>
      </w:r>
      <w:r w:rsidRPr="00B81CDD">
        <w:rPr>
          <w:bCs/>
        </w:rPr>
        <w:t xml:space="preserve">мы предлагаем вынести настоящее предложению по дополнению на голосование </w:t>
      </w:r>
      <w:r w:rsidR="006C43EB">
        <w:rPr>
          <w:bCs/>
        </w:rPr>
        <w:br/>
      </w:r>
      <w:r w:rsidRPr="00B81CDD">
        <w:rPr>
          <w:bCs/>
        </w:rPr>
        <w:t xml:space="preserve">на сессии Всемирного форума (WP.29) в июне 2024 года. Соответственно, оно </w:t>
      </w:r>
      <w:r w:rsidR="006C43EB">
        <w:rPr>
          <w:bCs/>
        </w:rPr>
        <w:br/>
      </w:r>
      <w:r w:rsidRPr="00B81CDD">
        <w:rPr>
          <w:bCs/>
        </w:rPr>
        <w:t>вступит в силу примерно в январе 2025 года. Учитывая предусматриваемую стандартом</w:t>
      </w:r>
      <w:r w:rsidR="006C43EB">
        <w:rPr>
          <w:bCs/>
        </w:rPr>
        <w:t> </w:t>
      </w:r>
      <w:r w:rsidRPr="00B81CDD">
        <w:rPr>
          <w:bCs/>
        </w:rPr>
        <w:t>ISO</w:t>
      </w:r>
      <w:r w:rsidR="006C43EB">
        <w:rPr>
          <w:bCs/>
        </w:rPr>
        <w:t> </w:t>
      </w:r>
      <w:r w:rsidRPr="00B81CDD">
        <w:rPr>
          <w:bCs/>
        </w:rPr>
        <w:t xml:space="preserve">17025 аккредитацию технических служб, после вступления в силу данного дополнения предлагается 6-месячный переходный период, исчисляемый с </w:t>
      </w:r>
      <w:r w:rsidR="006C43EB">
        <w:rPr>
          <w:bCs/>
        </w:rPr>
        <w:br/>
      </w:r>
      <w:r w:rsidRPr="00B81CDD">
        <w:rPr>
          <w:bCs/>
        </w:rPr>
        <w:t>[6 июля 2025 года].</w:t>
      </w:r>
    </w:p>
    <w:p w14:paraId="08693AD1" w14:textId="77777777" w:rsidR="0096580A" w:rsidRPr="00B81CDD" w:rsidRDefault="0096580A" w:rsidP="0096580A">
      <w:pPr>
        <w:pStyle w:val="SingleTxtG"/>
        <w:rPr>
          <w:bCs/>
        </w:rPr>
      </w:pPr>
      <w:r w:rsidRPr="00B81CDD">
        <w:rPr>
          <w:bCs/>
        </w:rPr>
        <w:t>6.</w:t>
      </w:r>
      <w:r w:rsidRPr="00B81CDD">
        <w:rPr>
          <w:bCs/>
        </w:rPr>
        <w:tab/>
        <w:t>Был исключен т</w:t>
      </w:r>
      <w:r w:rsidRPr="00B81CDD">
        <w:rPr>
          <w:shd w:val="clear" w:color="auto" w:fill="FFFFFF"/>
        </w:rPr>
        <w:t>екст приложения 4, равно как удалены ссылки на него, а также на пункт 12.8, содержание которого ныне претерпело изменения и никак не связано с приложением 4. Незаполненное приложение 4 сохраняется и резервируется для использования в будущем.</w:t>
      </w:r>
    </w:p>
    <w:bookmarkEnd w:id="16"/>
    <w:bookmarkEnd w:id="17"/>
    <w:p w14:paraId="480225CA" w14:textId="2CB1C517" w:rsidR="0096580A" w:rsidRPr="00CB674B" w:rsidRDefault="00CB674B" w:rsidP="00CB674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2F108D" w14:textId="77777777" w:rsidR="00E12C5F" w:rsidRPr="008D53B6" w:rsidRDefault="00E12C5F" w:rsidP="00D9145B"/>
    <w:sectPr w:rsidR="00E12C5F" w:rsidRPr="008D53B6" w:rsidSect="0096580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7F2D" w14:textId="77777777" w:rsidR="00704FCC" w:rsidRPr="00A312BC" w:rsidRDefault="00704FCC" w:rsidP="00A312BC"/>
  </w:endnote>
  <w:endnote w:type="continuationSeparator" w:id="0">
    <w:p w14:paraId="59088048" w14:textId="77777777" w:rsidR="00704FCC" w:rsidRPr="00A312BC" w:rsidRDefault="00704F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P Greek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6160" w14:textId="7F0F62C4" w:rsidR="0096580A" w:rsidRPr="0096580A" w:rsidRDefault="0096580A">
    <w:pPr>
      <w:pStyle w:val="a9"/>
    </w:pPr>
    <w:r w:rsidRPr="0096580A">
      <w:rPr>
        <w:b/>
        <w:sz w:val="18"/>
      </w:rPr>
      <w:fldChar w:fldCharType="begin"/>
    </w:r>
    <w:r w:rsidRPr="0096580A">
      <w:rPr>
        <w:b/>
        <w:sz w:val="18"/>
      </w:rPr>
      <w:instrText xml:space="preserve"> PAGE  \* MERGEFORMAT </w:instrText>
    </w:r>
    <w:r w:rsidRPr="0096580A">
      <w:rPr>
        <w:b/>
        <w:sz w:val="18"/>
      </w:rPr>
      <w:fldChar w:fldCharType="separate"/>
    </w:r>
    <w:r w:rsidRPr="0096580A">
      <w:rPr>
        <w:b/>
        <w:noProof/>
        <w:sz w:val="18"/>
      </w:rPr>
      <w:t>2</w:t>
    </w:r>
    <w:r w:rsidRPr="0096580A">
      <w:rPr>
        <w:b/>
        <w:sz w:val="18"/>
      </w:rPr>
      <w:fldChar w:fldCharType="end"/>
    </w:r>
    <w:r>
      <w:rPr>
        <w:b/>
        <w:sz w:val="18"/>
      </w:rPr>
      <w:tab/>
    </w:r>
    <w:r>
      <w:t>GE.23-11511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AEE" w14:textId="2B912F22" w:rsidR="0096580A" w:rsidRPr="0096580A" w:rsidRDefault="0096580A" w:rsidP="0096580A">
    <w:pPr>
      <w:pStyle w:val="a9"/>
      <w:tabs>
        <w:tab w:val="clear" w:pos="9639"/>
        <w:tab w:val="right" w:pos="9638"/>
      </w:tabs>
      <w:rPr>
        <w:b/>
        <w:sz w:val="18"/>
      </w:rPr>
    </w:pPr>
    <w:r>
      <w:t>GE.23-11511</w:t>
    </w:r>
    <w:r>
      <w:tab/>
    </w:r>
    <w:r w:rsidRPr="0096580A">
      <w:rPr>
        <w:b/>
        <w:sz w:val="18"/>
      </w:rPr>
      <w:fldChar w:fldCharType="begin"/>
    </w:r>
    <w:r w:rsidRPr="0096580A">
      <w:rPr>
        <w:b/>
        <w:sz w:val="18"/>
      </w:rPr>
      <w:instrText xml:space="preserve"> PAGE  \* MERGEFORMAT </w:instrText>
    </w:r>
    <w:r w:rsidRPr="0096580A">
      <w:rPr>
        <w:b/>
        <w:sz w:val="18"/>
      </w:rPr>
      <w:fldChar w:fldCharType="separate"/>
    </w:r>
    <w:r w:rsidRPr="0096580A">
      <w:rPr>
        <w:b/>
        <w:noProof/>
        <w:sz w:val="18"/>
      </w:rPr>
      <w:t>3</w:t>
    </w:r>
    <w:r w:rsidRPr="009658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360" w14:textId="64E0FA97" w:rsidR="00042B72" w:rsidRPr="0060058F" w:rsidRDefault="0096580A" w:rsidP="0096580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910295" wp14:editId="290F81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23-11511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C683AF" wp14:editId="30226A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58F">
      <w:rPr>
        <w:lang w:val="en-US"/>
      </w:rPr>
      <w:t xml:space="preserve">  220623  260623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FABC" w14:textId="77777777" w:rsidR="00704FCC" w:rsidRPr="001075E9" w:rsidRDefault="00704F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DAF82F" w14:textId="77777777" w:rsidR="00704FCC" w:rsidRDefault="00704F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8F89E8" w14:textId="5018CC48" w:rsidR="0096580A" w:rsidRPr="00E87ED8" w:rsidRDefault="0096580A" w:rsidP="0096580A">
      <w:pPr>
        <w:pStyle w:val="ae"/>
      </w:pPr>
      <w:r>
        <w:tab/>
      </w:r>
      <w:r w:rsidRPr="0096580A">
        <w:rPr>
          <w:rStyle w:val="ab"/>
          <w:sz w:val="20"/>
          <w:vertAlign w:val="baseline"/>
        </w:rPr>
        <w:t>*</w:t>
      </w:r>
      <w:r w:rsidRPr="00841766">
        <w:rPr>
          <w:sz w:val="20"/>
        </w:rPr>
        <w:tab/>
      </w:r>
      <w:r w:rsidRPr="00AE64C0">
        <w:rPr>
          <w:color w:val="333333"/>
          <w:szCs w:val="18"/>
          <w:shd w:val="clear" w:color="auto" w:fill="FFFFFF"/>
        </w:rPr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 w:rsidR="00044185">
        <w:rPr>
          <w:color w:val="333333"/>
          <w:szCs w:val="18"/>
          <w:shd w:val="clear" w:color="auto" w:fill="FFFFFF"/>
        </w:rPr>
        <w:br/>
      </w:r>
      <w:r w:rsidRPr="00AE64C0">
        <w:rPr>
          <w:color w:val="333333"/>
          <w:szCs w:val="18"/>
          <w:shd w:val="clear" w:color="auto" w:fill="FFFFFF"/>
        </w:rPr>
        <w:t xml:space="preserve">таблица 20.6),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E87ED8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E87ED8">
        <w:rPr>
          <w:szCs w:val="18"/>
        </w:rPr>
        <w:t>.</w:t>
      </w:r>
    </w:p>
  </w:footnote>
  <w:footnote w:id="2">
    <w:p w14:paraId="355E64B5" w14:textId="77777777" w:rsidR="0096580A" w:rsidRPr="00B53393" w:rsidRDefault="0096580A" w:rsidP="0096580A">
      <w:pPr>
        <w:pStyle w:val="ae"/>
        <w:widowControl w:val="0"/>
        <w:tabs>
          <w:tab w:val="clear" w:pos="1021"/>
          <w:tab w:val="right" w:pos="1020"/>
        </w:tabs>
        <w:rPr>
          <w:strike/>
        </w:rPr>
      </w:pPr>
      <w:r w:rsidRPr="00E87ED8">
        <w:tab/>
      </w:r>
      <w:r w:rsidRPr="00B53393">
        <w:rPr>
          <w:rStyle w:val="ab"/>
          <w:strike/>
        </w:rPr>
        <w:footnoteRef/>
      </w:r>
      <w:r w:rsidRPr="00B53393">
        <w:rPr>
          <w:strike/>
        </w:rPr>
        <w:tab/>
        <w:t>Технические требования к испытательной площадке, приведенные в настоящем приложении, действительны до конца периода, указанного в пункте 12.8 настоящих Правил.</w:t>
      </w:r>
    </w:p>
  </w:footnote>
  <w:footnote w:id="3">
    <w:p w14:paraId="014A5205" w14:textId="77777777" w:rsidR="0096580A" w:rsidRPr="0088753D" w:rsidRDefault="0096580A" w:rsidP="0096580A">
      <w:pPr>
        <w:pStyle w:val="ae"/>
        <w:rPr>
          <w:lang w:val="en-US"/>
        </w:rPr>
      </w:pPr>
      <w:r w:rsidRPr="00E87ED8">
        <w:tab/>
      </w:r>
      <w:r w:rsidRPr="001668EF">
        <w:rPr>
          <w:rStyle w:val="ab"/>
          <w:strike/>
        </w:rPr>
        <w:footnoteRef/>
      </w:r>
      <w:r w:rsidRPr="001668EF">
        <w:rPr>
          <w:strike/>
        </w:rPr>
        <w:tab/>
      </w:r>
      <w:r w:rsidRPr="001668EF">
        <w:rPr>
          <w:strike/>
          <w:lang w:val="en-US"/>
        </w:rPr>
        <w:t>ISO 10844:2014.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9695" w14:textId="062C35B3" w:rsidR="0096580A" w:rsidRPr="0096580A" w:rsidRDefault="0096580A">
    <w:pPr>
      <w:pStyle w:val="a6"/>
    </w:pPr>
    <w:fldSimple w:instr=" TITLE  \* MERGEFORMAT ">
      <w:r w:rsidR="008776D6">
        <w:t>ECE/TRANS/WP.29/GRBP/2023/19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E81" w14:textId="5B7EA552" w:rsidR="0096580A" w:rsidRPr="0096580A" w:rsidRDefault="0096580A" w:rsidP="0096580A">
    <w:pPr>
      <w:pStyle w:val="a6"/>
      <w:jc w:val="right"/>
    </w:pPr>
    <w:fldSimple w:instr=" TITLE  \* MERGEFORMAT ">
      <w:r w:rsidR="008776D6">
        <w:t>ECE/TRANS/WP.29/GRBP/2023/19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02873800">
    <w:abstractNumId w:val="18"/>
  </w:num>
  <w:num w:numId="2" w16cid:durableId="278727118">
    <w:abstractNumId w:val="13"/>
  </w:num>
  <w:num w:numId="3" w16cid:durableId="1785345383">
    <w:abstractNumId w:val="12"/>
  </w:num>
  <w:num w:numId="4" w16cid:durableId="281423694">
    <w:abstractNumId w:val="19"/>
  </w:num>
  <w:num w:numId="5" w16cid:durableId="1887062196">
    <w:abstractNumId w:val="15"/>
  </w:num>
  <w:num w:numId="6" w16cid:durableId="108404501">
    <w:abstractNumId w:val="8"/>
  </w:num>
  <w:num w:numId="7" w16cid:durableId="1843734358">
    <w:abstractNumId w:val="3"/>
  </w:num>
  <w:num w:numId="8" w16cid:durableId="1325280697">
    <w:abstractNumId w:val="2"/>
  </w:num>
  <w:num w:numId="9" w16cid:durableId="1670407621">
    <w:abstractNumId w:val="1"/>
  </w:num>
  <w:num w:numId="10" w16cid:durableId="443161930">
    <w:abstractNumId w:val="0"/>
  </w:num>
  <w:num w:numId="11" w16cid:durableId="43527236">
    <w:abstractNumId w:val="9"/>
  </w:num>
  <w:num w:numId="12" w16cid:durableId="1066489110">
    <w:abstractNumId w:val="7"/>
  </w:num>
  <w:num w:numId="13" w16cid:durableId="646785187">
    <w:abstractNumId w:val="6"/>
  </w:num>
  <w:num w:numId="14" w16cid:durableId="122621776">
    <w:abstractNumId w:val="5"/>
  </w:num>
  <w:num w:numId="15" w16cid:durableId="2136092279">
    <w:abstractNumId w:val="4"/>
  </w:num>
  <w:num w:numId="16" w16cid:durableId="1550728159">
    <w:abstractNumId w:val="17"/>
  </w:num>
  <w:num w:numId="17" w16cid:durableId="798376783">
    <w:abstractNumId w:val="14"/>
  </w:num>
  <w:num w:numId="18" w16cid:durableId="764037940">
    <w:abstractNumId w:val="16"/>
  </w:num>
  <w:num w:numId="19" w16cid:durableId="120848905">
    <w:abstractNumId w:val="17"/>
  </w:num>
  <w:num w:numId="20" w16cid:durableId="263923296">
    <w:abstractNumId w:val="14"/>
  </w:num>
  <w:num w:numId="21" w16cid:durableId="1034429773">
    <w:abstractNumId w:val="16"/>
  </w:num>
  <w:num w:numId="22" w16cid:durableId="2006854138">
    <w:abstractNumId w:val="10"/>
    <w:lvlOverride w:ilvl="0">
      <w:lvl w:ilvl="0">
        <w:start w:val="1"/>
        <w:numFmt w:val="upperRoman"/>
        <w:lvlText w:val="Article %1."/>
        <w:lvlJc w:val="left"/>
        <w:pPr>
          <w:tabs>
            <w:tab w:val="num" w:pos="1440"/>
          </w:tabs>
          <w:ind w:left="0" w:firstLine="0"/>
        </w:pPr>
      </w:lvl>
    </w:lvlOverride>
  </w:num>
  <w:num w:numId="23" w16cid:durableId="1690908074">
    <w:abstractNumId w:val="11"/>
  </w:num>
  <w:num w:numId="24" w16cid:durableId="183903533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CC"/>
    <w:rsid w:val="00025BEC"/>
    <w:rsid w:val="00033EE1"/>
    <w:rsid w:val="00042B72"/>
    <w:rsid w:val="00044185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35C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5625"/>
    <w:rsid w:val="004E05B7"/>
    <w:rsid w:val="0050108D"/>
    <w:rsid w:val="005110E3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058F"/>
    <w:rsid w:val="00617A43"/>
    <w:rsid w:val="006345DB"/>
    <w:rsid w:val="00640F49"/>
    <w:rsid w:val="00680D03"/>
    <w:rsid w:val="00681A10"/>
    <w:rsid w:val="006A1ED8"/>
    <w:rsid w:val="006C2031"/>
    <w:rsid w:val="006C43EB"/>
    <w:rsid w:val="006D461A"/>
    <w:rsid w:val="006F35EE"/>
    <w:rsid w:val="007021FF"/>
    <w:rsid w:val="00704FCC"/>
    <w:rsid w:val="00707817"/>
    <w:rsid w:val="00712895"/>
    <w:rsid w:val="00734ACB"/>
    <w:rsid w:val="00757357"/>
    <w:rsid w:val="00792497"/>
    <w:rsid w:val="00806737"/>
    <w:rsid w:val="00825F8D"/>
    <w:rsid w:val="00834B71"/>
    <w:rsid w:val="0086445C"/>
    <w:rsid w:val="008776D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580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57F6"/>
    <w:rsid w:val="00C106D6"/>
    <w:rsid w:val="00C119AE"/>
    <w:rsid w:val="00C60F0C"/>
    <w:rsid w:val="00C71E84"/>
    <w:rsid w:val="00C805C9"/>
    <w:rsid w:val="00C92939"/>
    <w:rsid w:val="00CA1679"/>
    <w:rsid w:val="00CB151C"/>
    <w:rsid w:val="00CB674B"/>
    <w:rsid w:val="00CE5A1A"/>
    <w:rsid w:val="00CF55F6"/>
    <w:rsid w:val="00D33D63"/>
    <w:rsid w:val="00D5253A"/>
    <w:rsid w:val="00D53E9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414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47975"/>
  <w15:docId w15:val="{2F026F3E-F376-4925-81B5-77DA54D9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6580A"/>
    <w:rPr>
      <w:lang w:val="ru-RU" w:eastAsia="en-US"/>
    </w:rPr>
  </w:style>
  <w:style w:type="character" w:customStyle="1" w:styleId="H1GChar">
    <w:name w:val="_ H_1_G Char"/>
    <w:link w:val="H1G"/>
    <w:rsid w:val="0096580A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6580A"/>
    <w:rPr>
      <w:b/>
      <w:sz w:val="28"/>
      <w:lang w:val="ru-RU" w:eastAsia="ru-RU"/>
    </w:rPr>
  </w:style>
  <w:style w:type="numbering" w:styleId="a">
    <w:name w:val="Outline List 3"/>
    <w:basedOn w:val="a3"/>
    <w:rsid w:val="0096580A"/>
    <w:pPr>
      <w:numPr>
        <w:numId w:val="22"/>
      </w:numPr>
    </w:pPr>
  </w:style>
  <w:style w:type="paragraph" w:styleId="af4">
    <w:name w:val="List Paragraph"/>
    <w:basedOn w:val="a0"/>
    <w:uiPriority w:val="34"/>
    <w:qFormat/>
    <w:rsid w:val="0096580A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styleId="11">
    <w:name w:val="toc 1"/>
    <w:basedOn w:val="a0"/>
    <w:next w:val="a0"/>
    <w:uiPriority w:val="39"/>
    <w:rsid w:val="0096580A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ableheader">
    <w:name w:val="Table header"/>
    <w:basedOn w:val="a0"/>
    <w:rsid w:val="0096580A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n-GB"/>
    </w:rPr>
  </w:style>
  <w:style w:type="paragraph" w:customStyle="1" w:styleId="SingleTxtGR">
    <w:name w:val="_ Single Txt_GR"/>
    <w:basedOn w:val="a0"/>
    <w:link w:val="SingleTxtGR0"/>
    <w:qFormat/>
    <w:rsid w:val="0096580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1"/>
    <w:link w:val="SingleTxtGR"/>
    <w:rsid w:val="0096580A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57C67-8633-49AD-8BC9-90CDA1BF8725}"/>
</file>

<file path=customXml/itemProps2.xml><?xml version="1.0" encoding="utf-8"?>
<ds:datastoreItem xmlns:ds="http://schemas.openxmlformats.org/officeDocument/2006/customXml" ds:itemID="{21DA080B-762C-4822-AE5A-39E2A01E667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11</Pages>
  <Words>2886</Words>
  <Characters>19369</Characters>
  <Application>Microsoft Office Word</Application>
  <DocSecurity>0</DocSecurity>
  <Lines>1760</Lines>
  <Paragraphs>741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ECE/TRANS/WP.29/GRBP/2023/19</vt:lpstr>
      <vt:lpstr>A/</vt:lpstr>
      <vt:lpstr>A/</vt:lpstr>
    </vt:vector>
  </TitlesOfParts>
  <Company>DCM</Company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ECE/TRANS/WP.29/GRBP/2023/19</dc:title>
  <dc:subject/>
  <dc:creator>No author</dc:creator>
  <cp:keywords/>
  <cp:lastModifiedBy>No author</cp:lastModifiedBy>
  <cp:revision>3</cp:revision>
  <cp:lastPrinted>2023-06-26T11:43:00Z</cp:lastPrinted>
  <dcterms:created xsi:type="dcterms:W3CDTF">2023-06-26T11:43:00Z</dcterms:created>
  <dcterms:modified xsi:type="dcterms:W3CDTF">2023-06-26T11:44:00Z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