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4271E4" w14:textId="77777777" w:rsidTr="00C97039">
        <w:trPr>
          <w:trHeight w:hRule="exact" w:val="851"/>
        </w:trPr>
        <w:tc>
          <w:tcPr>
            <w:tcW w:w="1276" w:type="dxa"/>
            <w:tcBorders>
              <w:bottom w:val="single" w:sz="4" w:space="0" w:color="auto"/>
            </w:tcBorders>
          </w:tcPr>
          <w:p w14:paraId="6DDA1B19" w14:textId="77777777" w:rsidR="00F35BAF" w:rsidRPr="00DB58B5" w:rsidRDefault="00F35BAF" w:rsidP="003448E7"/>
        </w:tc>
        <w:tc>
          <w:tcPr>
            <w:tcW w:w="2268" w:type="dxa"/>
            <w:tcBorders>
              <w:bottom w:val="single" w:sz="4" w:space="0" w:color="auto"/>
            </w:tcBorders>
            <w:vAlign w:val="bottom"/>
          </w:tcPr>
          <w:p w14:paraId="634E6F9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1ACD4A" w14:textId="34CD1CD9" w:rsidR="00F35BAF" w:rsidRPr="00DB58B5" w:rsidRDefault="003448E7" w:rsidP="003448E7">
            <w:pPr>
              <w:jc w:val="right"/>
            </w:pPr>
            <w:r w:rsidRPr="003448E7">
              <w:rPr>
                <w:sz w:val="40"/>
              </w:rPr>
              <w:t>ECE</w:t>
            </w:r>
            <w:r>
              <w:t>/TRANS/WP.29/GRBP/2023/17</w:t>
            </w:r>
          </w:p>
        </w:tc>
      </w:tr>
      <w:tr w:rsidR="00F35BAF" w:rsidRPr="00DB58B5" w14:paraId="733780C4" w14:textId="77777777" w:rsidTr="00C97039">
        <w:trPr>
          <w:trHeight w:hRule="exact" w:val="2835"/>
        </w:trPr>
        <w:tc>
          <w:tcPr>
            <w:tcW w:w="1276" w:type="dxa"/>
            <w:tcBorders>
              <w:top w:val="single" w:sz="4" w:space="0" w:color="auto"/>
              <w:bottom w:val="single" w:sz="12" w:space="0" w:color="auto"/>
            </w:tcBorders>
          </w:tcPr>
          <w:p w14:paraId="7E1801C7" w14:textId="77777777" w:rsidR="00F35BAF" w:rsidRPr="00DB58B5" w:rsidRDefault="00F35BAF" w:rsidP="00C97039">
            <w:pPr>
              <w:spacing w:before="120"/>
              <w:jc w:val="center"/>
            </w:pPr>
            <w:r>
              <w:rPr>
                <w:noProof/>
                <w:lang w:eastAsia="fr-CH"/>
              </w:rPr>
              <w:drawing>
                <wp:inline distT="0" distB="0" distL="0" distR="0" wp14:anchorId="22DC62B3" wp14:editId="7BC33F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093A3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19C743" w14:textId="77777777" w:rsidR="00F35BAF" w:rsidRDefault="003448E7" w:rsidP="00C97039">
            <w:pPr>
              <w:spacing w:before="240"/>
            </w:pPr>
            <w:proofErr w:type="spellStart"/>
            <w:r>
              <w:t>Distr</w:t>
            </w:r>
            <w:proofErr w:type="spellEnd"/>
            <w:r>
              <w:t>. générale</w:t>
            </w:r>
          </w:p>
          <w:p w14:paraId="089A036E" w14:textId="77777777" w:rsidR="003448E7" w:rsidRDefault="003448E7" w:rsidP="003448E7">
            <w:pPr>
              <w:spacing w:line="240" w:lineRule="exact"/>
            </w:pPr>
            <w:r>
              <w:t>15 juin 2023</w:t>
            </w:r>
          </w:p>
          <w:p w14:paraId="5BCA60E1" w14:textId="77777777" w:rsidR="003448E7" w:rsidRDefault="003448E7" w:rsidP="003448E7">
            <w:pPr>
              <w:spacing w:line="240" w:lineRule="exact"/>
            </w:pPr>
            <w:r>
              <w:t>Français</w:t>
            </w:r>
          </w:p>
          <w:p w14:paraId="4F0AFA77" w14:textId="0113B887" w:rsidR="003448E7" w:rsidRPr="00DB58B5" w:rsidRDefault="003448E7" w:rsidP="003448E7">
            <w:pPr>
              <w:spacing w:line="240" w:lineRule="exact"/>
            </w:pPr>
            <w:r>
              <w:t>Original : anglais</w:t>
            </w:r>
          </w:p>
        </w:tc>
      </w:tr>
    </w:tbl>
    <w:p w14:paraId="3353E1BB" w14:textId="77777777" w:rsidR="007F20FA" w:rsidRPr="000312C0" w:rsidRDefault="007F20FA" w:rsidP="007F20FA">
      <w:pPr>
        <w:spacing w:before="120"/>
        <w:rPr>
          <w:b/>
          <w:sz w:val="28"/>
          <w:szCs w:val="28"/>
        </w:rPr>
      </w:pPr>
      <w:r w:rsidRPr="000312C0">
        <w:rPr>
          <w:b/>
          <w:sz w:val="28"/>
          <w:szCs w:val="28"/>
        </w:rPr>
        <w:t>Commission économique pour l’Europe</w:t>
      </w:r>
    </w:p>
    <w:p w14:paraId="34078698" w14:textId="77777777" w:rsidR="007F20FA" w:rsidRDefault="007F20FA" w:rsidP="007F20FA">
      <w:pPr>
        <w:spacing w:before="120"/>
        <w:rPr>
          <w:sz w:val="28"/>
          <w:szCs w:val="28"/>
        </w:rPr>
      </w:pPr>
      <w:r w:rsidRPr="00685843">
        <w:rPr>
          <w:sz w:val="28"/>
          <w:szCs w:val="28"/>
        </w:rPr>
        <w:t>Comité des transports intérieurs</w:t>
      </w:r>
    </w:p>
    <w:p w14:paraId="6EF4E0E3" w14:textId="7C8CF3F6" w:rsidR="00A03695" w:rsidRPr="00A03695" w:rsidRDefault="00A03695" w:rsidP="00A03695">
      <w:pPr>
        <w:spacing w:before="120"/>
        <w:rPr>
          <w:sz w:val="24"/>
          <w:szCs w:val="24"/>
        </w:rPr>
      </w:pPr>
      <w:r w:rsidRPr="00A03695">
        <w:rPr>
          <w:b/>
          <w:bCs/>
          <w:sz w:val="24"/>
          <w:szCs w:val="24"/>
          <w:lang w:val="fr-FR"/>
        </w:rPr>
        <w:t xml:space="preserve">Forum mondial de l’harmonisation des Règlements </w:t>
      </w:r>
      <w:r>
        <w:rPr>
          <w:b/>
          <w:bCs/>
          <w:sz w:val="24"/>
          <w:szCs w:val="24"/>
          <w:lang w:val="fr-FR"/>
        </w:rPr>
        <w:br/>
      </w:r>
      <w:r w:rsidRPr="00A03695">
        <w:rPr>
          <w:b/>
          <w:bCs/>
          <w:sz w:val="24"/>
          <w:szCs w:val="24"/>
          <w:lang w:val="fr-FR"/>
        </w:rPr>
        <w:t>concernant les véhicules</w:t>
      </w:r>
      <w:r w:rsidRPr="00A03695">
        <w:rPr>
          <w:sz w:val="24"/>
          <w:szCs w:val="24"/>
          <w:lang w:val="fr-FR"/>
        </w:rPr>
        <w:t xml:space="preserve"> </w:t>
      </w:r>
    </w:p>
    <w:p w14:paraId="43645169" w14:textId="46782625" w:rsidR="00A03695" w:rsidRPr="00531110" w:rsidRDefault="00A03695" w:rsidP="00A03695">
      <w:pPr>
        <w:tabs>
          <w:tab w:val="left" w:pos="7256"/>
        </w:tabs>
        <w:spacing w:before="120" w:after="120"/>
        <w:rPr>
          <w:b/>
          <w:bCs/>
        </w:rPr>
      </w:pPr>
      <w:r w:rsidRPr="00531110">
        <w:rPr>
          <w:b/>
          <w:bCs/>
          <w:lang w:val="fr-FR"/>
        </w:rPr>
        <w:t>Groupe de travail du bruit et des pneumatiques</w:t>
      </w:r>
    </w:p>
    <w:p w14:paraId="7A94072D" w14:textId="77777777" w:rsidR="00A03695" w:rsidRPr="00531110" w:rsidRDefault="00A03695" w:rsidP="00A03695">
      <w:pPr>
        <w:rPr>
          <w:b/>
        </w:rPr>
      </w:pPr>
      <w:r w:rsidRPr="00531110">
        <w:rPr>
          <w:b/>
          <w:bCs/>
          <w:lang w:val="fr-FR"/>
        </w:rPr>
        <w:t>Soixante-dix-huitième session</w:t>
      </w:r>
      <w:r w:rsidRPr="00531110">
        <w:rPr>
          <w:lang w:val="fr-FR"/>
        </w:rPr>
        <w:t xml:space="preserve"> </w:t>
      </w:r>
    </w:p>
    <w:p w14:paraId="1BE447FB" w14:textId="77777777" w:rsidR="00A03695" w:rsidRPr="00531110" w:rsidRDefault="00A03695" w:rsidP="00A03695">
      <w:pPr>
        <w:rPr>
          <w:bCs/>
        </w:rPr>
      </w:pPr>
      <w:r w:rsidRPr="00531110">
        <w:rPr>
          <w:lang w:val="fr-FR"/>
        </w:rPr>
        <w:t>Genève, 30 août-1</w:t>
      </w:r>
      <w:r w:rsidRPr="00531110">
        <w:rPr>
          <w:vertAlign w:val="superscript"/>
          <w:lang w:val="fr-FR"/>
        </w:rPr>
        <w:t>er</w:t>
      </w:r>
      <w:r w:rsidRPr="00531110">
        <w:rPr>
          <w:lang w:val="fr-FR"/>
        </w:rPr>
        <w:t xml:space="preserve"> septembre 2023</w:t>
      </w:r>
    </w:p>
    <w:p w14:paraId="1FAA1AC3" w14:textId="77777777" w:rsidR="00A03695" w:rsidRPr="00531110" w:rsidRDefault="00A03695" w:rsidP="00A03695">
      <w:pPr>
        <w:rPr>
          <w:bCs/>
        </w:rPr>
      </w:pPr>
      <w:r w:rsidRPr="00531110">
        <w:rPr>
          <w:lang w:val="fr-FR"/>
        </w:rPr>
        <w:t>Point 5 de l’ordre du jour provisoire</w:t>
      </w:r>
    </w:p>
    <w:p w14:paraId="5BD1759E" w14:textId="7143F6BC" w:rsidR="00A03695" w:rsidRPr="00531110" w:rsidRDefault="00A03695" w:rsidP="00A03695">
      <w:pPr>
        <w:rPr>
          <w:b/>
          <w:bCs/>
        </w:rPr>
      </w:pPr>
      <w:r w:rsidRPr="00531110">
        <w:rPr>
          <w:b/>
          <w:bCs/>
          <w:lang w:val="fr-FR"/>
        </w:rPr>
        <w:t>Règlement ONU n</w:t>
      </w:r>
      <w:r w:rsidRPr="00531110">
        <w:rPr>
          <w:b/>
          <w:bCs/>
          <w:vertAlign w:val="superscript"/>
          <w:lang w:val="fr-FR"/>
        </w:rPr>
        <w:t>o</w:t>
      </w:r>
      <w:r w:rsidRPr="00531110">
        <w:rPr>
          <w:b/>
          <w:bCs/>
          <w:lang w:val="fr-FR"/>
        </w:rPr>
        <w:t xml:space="preserve"> 92 (Dispositifs silencieux d’échappement </w:t>
      </w:r>
      <w:r>
        <w:rPr>
          <w:b/>
          <w:bCs/>
          <w:lang w:val="fr-FR"/>
        </w:rPr>
        <w:br/>
      </w:r>
      <w:r w:rsidRPr="00531110">
        <w:rPr>
          <w:b/>
          <w:bCs/>
          <w:lang w:val="fr-FR"/>
        </w:rPr>
        <w:t>de remplacement pour motocycles)</w:t>
      </w:r>
      <w:r w:rsidRPr="00531110">
        <w:rPr>
          <w:lang w:val="fr-FR"/>
        </w:rPr>
        <w:t xml:space="preserve"> </w:t>
      </w:r>
    </w:p>
    <w:p w14:paraId="0D9A12E1" w14:textId="77777777" w:rsidR="00A03695" w:rsidRPr="00531110" w:rsidRDefault="00A03695" w:rsidP="00A03695">
      <w:pPr>
        <w:pStyle w:val="HChG"/>
      </w:pPr>
      <w:r w:rsidRPr="00531110">
        <w:rPr>
          <w:lang w:val="fr-FR"/>
        </w:rPr>
        <w:tab/>
      </w:r>
      <w:r w:rsidRPr="00531110">
        <w:rPr>
          <w:lang w:val="fr-FR"/>
        </w:rPr>
        <w:tab/>
        <w:t xml:space="preserve">Proposition de document de référence </w:t>
      </w:r>
    </w:p>
    <w:p w14:paraId="6AD30B77" w14:textId="77777777" w:rsidR="00A03695" w:rsidRPr="00531110" w:rsidRDefault="00A03695" w:rsidP="00A03695">
      <w:pPr>
        <w:pStyle w:val="H1G"/>
      </w:pPr>
      <w:r w:rsidRPr="00531110">
        <w:rPr>
          <w:lang w:val="fr-FR"/>
        </w:rPr>
        <w:tab/>
      </w:r>
      <w:r w:rsidRPr="00531110">
        <w:rPr>
          <w:lang w:val="fr-FR"/>
        </w:rPr>
        <w:tab/>
        <w:t xml:space="preserve">Communication de l’expert de l’International </w:t>
      </w:r>
      <w:proofErr w:type="spellStart"/>
      <w:r w:rsidRPr="00531110">
        <w:rPr>
          <w:lang w:val="fr-FR"/>
        </w:rPr>
        <w:t>Motorcycle</w:t>
      </w:r>
      <w:proofErr w:type="spellEnd"/>
      <w:r w:rsidRPr="00531110">
        <w:rPr>
          <w:lang w:val="fr-FR"/>
        </w:rPr>
        <w:t xml:space="preserve"> </w:t>
      </w:r>
      <w:proofErr w:type="spellStart"/>
      <w:r w:rsidRPr="00531110">
        <w:rPr>
          <w:lang w:val="fr-FR"/>
        </w:rPr>
        <w:t>Manufacturers</w:t>
      </w:r>
      <w:proofErr w:type="spellEnd"/>
      <w:r w:rsidRPr="00531110">
        <w:rPr>
          <w:lang w:val="fr-FR"/>
        </w:rPr>
        <w:t xml:space="preserve"> Association</w:t>
      </w:r>
      <w:r w:rsidRPr="00A03695">
        <w:rPr>
          <w:b w:val="0"/>
          <w:bCs/>
          <w:sz w:val="20"/>
          <w:lang w:val="fr-FR"/>
        </w:rPr>
        <w:footnoteReference w:customMarkFollows="1" w:id="2"/>
        <w:t>*</w:t>
      </w:r>
      <w:r w:rsidRPr="00531110">
        <w:rPr>
          <w:lang w:val="fr-FR"/>
        </w:rPr>
        <w:t xml:space="preserve">  </w:t>
      </w:r>
    </w:p>
    <w:p w14:paraId="3D6BCA3E" w14:textId="286B3736" w:rsidR="00A03695" w:rsidRPr="00531110" w:rsidRDefault="00A03695" w:rsidP="00A03695">
      <w:pPr>
        <w:pStyle w:val="SingleTxtG"/>
        <w:spacing w:before="120" w:after="0"/>
        <w:ind w:firstLine="567"/>
      </w:pPr>
      <w:r w:rsidRPr="00531110">
        <w:rPr>
          <w:lang w:val="fr-FR"/>
        </w:rPr>
        <w:tab/>
        <w:t xml:space="preserve">Le texte ci-après, établi par l’expert de l’International </w:t>
      </w:r>
      <w:proofErr w:type="spellStart"/>
      <w:r w:rsidRPr="00531110">
        <w:rPr>
          <w:lang w:val="fr-FR"/>
        </w:rPr>
        <w:t>Motorcycle</w:t>
      </w:r>
      <w:proofErr w:type="spellEnd"/>
      <w:r w:rsidRPr="00531110">
        <w:rPr>
          <w:lang w:val="fr-FR"/>
        </w:rPr>
        <w:t xml:space="preserve"> </w:t>
      </w:r>
      <w:proofErr w:type="spellStart"/>
      <w:r w:rsidRPr="00531110">
        <w:rPr>
          <w:lang w:val="fr-FR"/>
        </w:rPr>
        <w:t>Manufacturers</w:t>
      </w:r>
      <w:proofErr w:type="spellEnd"/>
      <w:r w:rsidRPr="00531110">
        <w:rPr>
          <w:lang w:val="fr-FR"/>
        </w:rPr>
        <w:t xml:space="preserve"> Association (IMMA), est fondé sur le document informel GRBP-77-20. Il vise à établir des lignes directrices à l’intention du secteur concernant les dispositions relatives à la protection contre toute manipulation non autorisée des dispositifs silencieux d’échappement de remplacement non d’origine qui sont énoncées dans le Règlement ONU </w:t>
      </w:r>
      <w:r w:rsidRPr="00A03695">
        <w:rPr>
          <w:rFonts w:eastAsia="MS Mincho"/>
          <w:lang w:val="fr-FR"/>
        </w:rPr>
        <w:t>n</w:t>
      </w:r>
      <w:r w:rsidRPr="00A03695">
        <w:rPr>
          <w:rFonts w:eastAsia="MS Mincho"/>
          <w:vertAlign w:val="superscript"/>
          <w:lang w:val="fr-FR"/>
        </w:rPr>
        <w:t>o</w:t>
      </w:r>
      <w:r>
        <w:rPr>
          <w:lang w:val="fr-FR"/>
        </w:rPr>
        <w:t> </w:t>
      </w:r>
      <w:r w:rsidRPr="00A03695">
        <w:rPr>
          <w:lang w:val="fr-FR"/>
        </w:rPr>
        <w:t>92</w:t>
      </w:r>
      <w:r>
        <w:rPr>
          <w:lang w:val="fr-FR"/>
        </w:rPr>
        <w:t xml:space="preserve">. </w:t>
      </w:r>
      <w:r w:rsidRPr="00531110">
        <w:rPr>
          <w:lang w:val="fr-FR"/>
        </w:rPr>
        <w:t>Le présent document d’orientation est destiné aux autorités d’homologation de type et aux acteurs du secteur, qui s’en serviront pour évaluer la conformité au paragraphe 6.3.1 du Règlement ONU n</w:t>
      </w:r>
      <w:r w:rsidRPr="00531110">
        <w:rPr>
          <w:vertAlign w:val="superscript"/>
          <w:lang w:val="fr-FR"/>
        </w:rPr>
        <w:t>o</w:t>
      </w:r>
      <w:r w:rsidRPr="00531110">
        <w:rPr>
          <w:lang w:val="fr-FR"/>
        </w:rPr>
        <w:t xml:space="preserve"> 92. </w:t>
      </w:r>
    </w:p>
    <w:p w14:paraId="6B3A89A8" w14:textId="51CA9115" w:rsidR="00E218B7" w:rsidRDefault="00E218B7">
      <w:pPr>
        <w:suppressAutoHyphens w:val="0"/>
        <w:kinsoku/>
        <w:overflowPunct/>
        <w:autoSpaceDE/>
        <w:autoSpaceDN/>
        <w:adjustRightInd/>
        <w:snapToGrid/>
        <w:spacing w:after="200" w:line="276" w:lineRule="auto"/>
        <w:rPr>
          <w:lang w:val="fr-FR"/>
        </w:rPr>
      </w:pPr>
      <w:r>
        <w:rPr>
          <w:lang w:val="fr-FR"/>
        </w:rPr>
        <w:br w:type="page"/>
      </w:r>
    </w:p>
    <w:p w14:paraId="3FBFE9C4" w14:textId="74CCAAF4" w:rsidR="00A03695" w:rsidRPr="00531110" w:rsidRDefault="00A03695" w:rsidP="00E218B7">
      <w:pPr>
        <w:pStyle w:val="HChG"/>
        <w:rPr>
          <w:rFonts w:asciiTheme="minorHAnsi" w:hAnsiTheme="minorHAnsi"/>
        </w:rPr>
      </w:pPr>
      <w:r w:rsidRPr="00531110">
        <w:rPr>
          <w:lang w:val="fr-FR"/>
        </w:rPr>
        <w:lastRenderedPageBreak/>
        <w:tab/>
        <w:t xml:space="preserve"> </w:t>
      </w:r>
      <w:r w:rsidRPr="00531110">
        <w:rPr>
          <w:lang w:val="fr-FR"/>
        </w:rPr>
        <w:tab/>
        <w:t xml:space="preserve">Lignes directrices à l’intention du secteur concernant </w:t>
      </w:r>
      <w:r w:rsidR="00E218B7">
        <w:rPr>
          <w:lang w:val="fr-FR"/>
        </w:rPr>
        <w:br/>
      </w:r>
      <w:r w:rsidRPr="00531110">
        <w:rPr>
          <w:lang w:val="fr-FR"/>
        </w:rPr>
        <w:t xml:space="preserve">les dispositions relatives à la protection contre toute manipulation non autorisée des dispositifs silencieux d’échappement de remplacement non d’origine prévues </w:t>
      </w:r>
      <w:r w:rsidR="00E218B7">
        <w:rPr>
          <w:lang w:val="fr-FR"/>
        </w:rPr>
        <w:br/>
      </w:r>
      <w:r w:rsidRPr="00531110">
        <w:rPr>
          <w:lang w:val="fr-FR"/>
        </w:rPr>
        <w:t>dans le Règlement ONU n</w:t>
      </w:r>
      <w:r w:rsidRPr="00531110">
        <w:rPr>
          <w:vertAlign w:val="superscript"/>
          <w:lang w:val="fr-FR"/>
        </w:rPr>
        <w:t>o</w:t>
      </w:r>
      <w:r w:rsidRPr="00531110">
        <w:rPr>
          <w:lang w:val="fr-FR"/>
        </w:rPr>
        <w:t xml:space="preserve"> 92</w:t>
      </w:r>
    </w:p>
    <w:p w14:paraId="4077E83C" w14:textId="77777777" w:rsidR="00A03695" w:rsidRPr="00531110" w:rsidRDefault="00A03695" w:rsidP="00E218B7">
      <w:pPr>
        <w:pStyle w:val="H1G"/>
        <w:rPr>
          <w:lang w:val="fr-FR"/>
        </w:rPr>
      </w:pPr>
      <w:r w:rsidRPr="00531110">
        <w:rPr>
          <w:lang w:val="fr-FR"/>
        </w:rPr>
        <w:tab/>
        <w:t xml:space="preserve">1. </w:t>
      </w:r>
      <w:r w:rsidRPr="00531110">
        <w:rPr>
          <w:lang w:val="fr-FR"/>
        </w:rPr>
        <w:tab/>
        <w:t>Introduction</w:t>
      </w:r>
    </w:p>
    <w:p w14:paraId="53150C14" w14:textId="1DA3758C" w:rsidR="00A03695" w:rsidRPr="00531110" w:rsidRDefault="00A03695" w:rsidP="00E218B7">
      <w:pPr>
        <w:pStyle w:val="SingleTxtG"/>
        <w:ind w:firstLine="567"/>
        <w:rPr>
          <w:sz w:val="18"/>
          <w:szCs w:val="18"/>
        </w:rPr>
      </w:pPr>
      <w:r w:rsidRPr="00531110">
        <w:rPr>
          <w:lang w:val="fr-FR"/>
        </w:rPr>
        <w:t>Le présent document vise à aider les fabricants, les autorités nationales d’homologation de type et les autorités chargées de l’application de la réglementation à mieux comprendre les prescriptions du paragraphe</w:t>
      </w:r>
      <w:r w:rsidR="00D751A6">
        <w:rPr>
          <w:lang w:val="fr-FR"/>
        </w:rPr>
        <w:t xml:space="preserve"> </w:t>
      </w:r>
      <w:r w:rsidRPr="00531110">
        <w:rPr>
          <w:lang w:val="fr-FR"/>
        </w:rPr>
        <w:t>6.3.1 du Règlement ONU n</w:t>
      </w:r>
      <w:r w:rsidRPr="00531110">
        <w:rPr>
          <w:vertAlign w:val="superscript"/>
          <w:lang w:val="fr-FR"/>
        </w:rPr>
        <w:t>o</w:t>
      </w:r>
      <w:r w:rsidRPr="00531110">
        <w:rPr>
          <w:lang w:val="fr-FR"/>
        </w:rPr>
        <w:t> 92.</w:t>
      </w:r>
      <w:bookmarkStart w:id="0" w:name="_Hlk137562724"/>
      <w:bookmarkEnd w:id="0"/>
    </w:p>
    <w:p w14:paraId="697D43A3" w14:textId="77777777" w:rsidR="00A03695" w:rsidRPr="00531110" w:rsidRDefault="00A03695" w:rsidP="00E218B7">
      <w:pPr>
        <w:pStyle w:val="SingleTxtG"/>
        <w:ind w:firstLine="567"/>
        <w:rPr>
          <w:b/>
          <w:bCs/>
          <w:sz w:val="18"/>
          <w:szCs w:val="18"/>
        </w:rPr>
      </w:pPr>
      <w:r w:rsidRPr="00531110">
        <w:rPr>
          <w:lang w:val="fr-FR"/>
        </w:rPr>
        <w:t>On trouvera à  la section 3 ci-dessous, en italique, des conseils sur l’interprétation de ce paragraphe, le but étant que les fabricants de dispositifs silencieux d’échappement de remplacement non d’origine aient la certitude, du point de vue réglementaire, de mettre en œuvre des mesures efficaces de protection contre toute manipulation non autorisée et que les autorités nationales disposent d’un ensemble de meilleures pratiques harmonisées en ce qui concerne ces prescriptions.</w:t>
      </w:r>
    </w:p>
    <w:p w14:paraId="0598C565" w14:textId="77777777" w:rsidR="00A03695" w:rsidRPr="00531110" w:rsidRDefault="00A03695" w:rsidP="00E218B7">
      <w:pPr>
        <w:pStyle w:val="H1G"/>
      </w:pPr>
      <w:r w:rsidRPr="00531110">
        <w:rPr>
          <w:lang w:val="fr-FR"/>
        </w:rPr>
        <w:tab/>
        <w:t xml:space="preserve">2. </w:t>
      </w:r>
      <w:r w:rsidRPr="00531110">
        <w:rPr>
          <w:lang w:val="fr-FR"/>
        </w:rPr>
        <w:tab/>
      </w:r>
      <w:r w:rsidRPr="00531110">
        <w:rPr>
          <w:lang w:val="fr-FR"/>
        </w:rPr>
        <w:tab/>
        <w:t>Définitions</w:t>
      </w:r>
    </w:p>
    <w:p w14:paraId="50D96CDC" w14:textId="77777777" w:rsidR="00A03695" w:rsidRPr="00531110" w:rsidRDefault="00A03695" w:rsidP="00E218B7">
      <w:pPr>
        <w:pStyle w:val="SingleTxtG"/>
        <w:ind w:firstLine="567"/>
        <w:rPr>
          <w:sz w:val="18"/>
          <w:szCs w:val="18"/>
        </w:rPr>
      </w:pPr>
      <w:r w:rsidRPr="00531110">
        <w:rPr>
          <w:lang w:val="fr-FR"/>
        </w:rPr>
        <w:t>Les définitions ci-après sont fournies par souci de clarté (voir la figure ci-dessous) :</w:t>
      </w:r>
    </w:p>
    <w:p w14:paraId="40322477" w14:textId="43EB1CBC" w:rsidR="00A03695" w:rsidRPr="00531110" w:rsidRDefault="00A03695" w:rsidP="00486249">
      <w:pPr>
        <w:pStyle w:val="Bullet1G"/>
        <w:rPr>
          <w:sz w:val="18"/>
          <w:szCs w:val="18"/>
        </w:rPr>
      </w:pPr>
      <w:r w:rsidRPr="00531110">
        <w:rPr>
          <w:b/>
          <w:bCs/>
          <w:lang w:val="fr-FR"/>
        </w:rPr>
        <w:t>Cône de sortie</w:t>
      </w:r>
      <w:r w:rsidRPr="00531110">
        <w:rPr>
          <w:lang w:val="fr-FR"/>
        </w:rPr>
        <w:t> : dernière pièce du silencieux d’échappement par laquelle sortent les gaz d’échappement</w:t>
      </w:r>
      <w:r w:rsidR="00486249">
        <w:rPr>
          <w:lang w:val="fr-FR"/>
        </w:rPr>
        <w:t> ;</w:t>
      </w:r>
    </w:p>
    <w:p w14:paraId="5EADBC53" w14:textId="11CEDF95" w:rsidR="00A03695" w:rsidRPr="00531110" w:rsidRDefault="00A03695" w:rsidP="00486249">
      <w:pPr>
        <w:pStyle w:val="Bullet1G"/>
        <w:rPr>
          <w:sz w:val="18"/>
          <w:szCs w:val="18"/>
        </w:rPr>
      </w:pPr>
      <w:r w:rsidRPr="00531110">
        <w:rPr>
          <w:b/>
          <w:bCs/>
          <w:lang w:val="fr-FR"/>
        </w:rPr>
        <w:t>Corps d’échappement</w:t>
      </w:r>
      <w:r w:rsidRPr="00531110">
        <w:rPr>
          <w:lang w:val="fr-FR"/>
        </w:rPr>
        <w:t> : enveloppe du silencieux d’échappement, pièce principale</w:t>
      </w:r>
      <w:r w:rsidR="00486249">
        <w:rPr>
          <w:lang w:val="fr-FR"/>
        </w:rPr>
        <w:t> ;</w:t>
      </w:r>
    </w:p>
    <w:p w14:paraId="4A1EA6DA" w14:textId="08AD019F" w:rsidR="00A03695" w:rsidRPr="00531110" w:rsidRDefault="00A03695" w:rsidP="00486249">
      <w:pPr>
        <w:pStyle w:val="Bullet1G"/>
        <w:rPr>
          <w:sz w:val="18"/>
          <w:szCs w:val="18"/>
        </w:rPr>
      </w:pPr>
      <w:r w:rsidRPr="00531110">
        <w:rPr>
          <w:b/>
          <w:bCs/>
          <w:lang w:val="fr-FR"/>
        </w:rPr>
        <w:t>Chicane</w:t>
      </w:r>
      <w:r w:rsidRPr="00531110">
        <w:rPr>
          <w:lang w:val="fr-FR"/>
        </w:rPr>
        <w:t> : pièce ou sous-ensemble contribuant à l’efficacité d’un silencieux en ce qui concerne l’atténuation du bruit (« dB killer »)</w:t>
      </w:r>
      <w:r w:rsidR="00486249">
        <w:rPr>
          <w:lang w:val="fr-FR"/>
        </w:rPr>
        <w:t> ;</w:t>
      </w:r>
    </w:p>
    <w:p w14:paraId="14F3C5DA" w14:textId="7355EF1C" w:rsidR="00A03695" w:rsidRPr="00531110" w:rsidRDefault="00A03695" w:rsidP="00486249">
      <w:pPr>
        <w:pStyle w:val="Bullet1G"/>
        <w:rPr>
          <w:sz w:val="18"/>
          <w:szCs w:val="18"/>
        </w:rPr>
      </w:pPr>
      <w:r w:rsidRPr="00531110">
        <w:rPr>
          <w:b/>
          <w:bCs/>
          <w:lang w:val="fr-FR"/>
        </w:rPr>
        <w:t>Élément de fixation</w:t>
      </w:r>
      <w:r w:rsidRPr="00531110">
        <w:rPr>
          <w:lang w:val="fr-FR"/>
        </w:rPr>
        <w:t> : dispositif servant à attacher mécaniquement deux composants</w:t>
      </w:r>
      <w:r w:rsidR="00486249">
        <w:rPr>
          <w:lang w:val="fr-FR"/>
        </w:rPr>
        <w:t> ;</w:t>
      </w:r>
    </w:p>
    <w:p w14:paraId="66F9E8B3" w14:textId="258008DD" w:rsidR="00A03695" w:rsidRPr="00531110" w:rsidRDefault="00A03695" w:rsidP="00486249">
      <w:pPr>
        <w:pStyle w:val="Bullet1G"/>
        <w:rPr>
          <w:sz w:val="18"/>
          <w:szCs w:val="18"/>
        </w:rPr>
      </w:pPr>
      <w:r w:rsidRPr="00531110">
        <w:rPr>
          <w:b/>
          <w:bCs/>
          <w:lang w:val="fr-FR"/>
        </w:rPr>
        <w:t>Inviolabilité</w:t>
      </w:r>
      <w:r w:rsidRPr="00531110">
        <w:rPr>
          <w:lang w:val="fr-FR"/>
        </w:rPr>
        <w:t xml:space="preserve"> : un silencieux d’échappement est considéré comme inviolable lorsqu’il est nécessaire de meuler, découper ou percer pour enlever un cône de sortie, un élément de fixation ou une chicane. </w:t>
      </w:r>
    </w:p>
    <w:p w14:paraId="53C33F17" w14:textId="0C6B8AA3" w:rsidR="00A03695" w:rsidRDefault="00A03695" w:rsidP="006530EA">
      <w:pPr>
        <w:pStyle w:val="Titre1"/>
        <w:spacing w:after="120"/>
        <w:ind w:left="1701"/>
        <w:rPr>
          <w:b/>
          <w:bCs/>
          <w:lang w:val="fr-FR"/>
        </w:rPr>
      </w:pPr>
      <w:r w:rsidRPr="00531110">
        <w:rPr>
          <w:lang w:val="fr-FR"/>
        </w:rPr>
        <w:t>Figure</w:t>
      </w:r>
      <w:r w:rsidR="00486249">
        <w:rPr>
          <w:lang w:val="fr-FR"/>
        </w:rPr>
        <w:br/>
      </w:r>
      <w:r w:rsidRPr="00486249">
        <w:rPr>
          <w:b/>
          <w:bCs/>
          <w:lang w:val="fr-FR"/>
        </w:rPr>
        <w:t>Pièces d’un silencieux</w:t>
      </w:r>
    </w:p>
    <w:p w14:paraId="1D8BEDBE" w14:textId="5591F560" w:rsidR="00F37B0F" w:rsidRPr="00F37B0F" w:rsidRDefault="00BD6FD5" w:rsidP="00BD6FD5">
      <w:pPr>
        <w:pStyle w:val="SingleTxtG"/>
        <w:ind w:left="1701"/>
        <w:rPr>
          <w:lang w:val="fr-FR"/>
        </w:rPr>
      </w:pPr>
      <w:r>
        <w:rPr>
          <w:noProof/>
        </w:rPr>
        <w:drawing>
          <wp:inline distT="0" distB="0" distL="0" distR="0" wp14:anchorId="74792BD8" wp14:editId="2C7EFB8C">
            <wp:extent cx="3960000" cy="1807200"/>
            <wp:effectExtent l="0" t="0" r="254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0000" cy="1807200"/>
                    </a:xfrm>
                    <a:prstGeom prst="rect">
                      <a:avLst/>
                    </a:prstGeom>
                  </pic:spPr>
                </pic:pic>
              </a:graphicData>
            </a:graphic>
          </wp:inline>
        </w:drawing>
      </w:r>
    </w:p>
    <w:p w14:paraId="44E0F0CE" w14:textId="0CA66675" w:rsidR="00A03695" w:rsidRPr="00252D39" w:rsidRDefault="00A03695" w:rsidP="00252D39">
      <w:pPr>
        <w:pStyle w:val="SingleTxtG"/>
        <w:ind w:left="1701"/>
        <w:rPr>
          <w:lang w:val="fr-FR"/>
        </w:rPr>
      </w:pPr>
      <w:r w:rsidRPr="00531110">
        <w:rPr>
          <w:bCs/>
          <w:lang w:val="fr-FR"/>
        </w:rPr>
        <w:br w:type="page"/>
      </w:r>
    </w:p>
    <w:p w14:paraId="0482D8F2" w14:textId="77777777" w:rsidR="00A03695" w:rsidRPr="00531110" w:rsidRDefault="00A03695" w:rsidP="003C24E7">
      <w:pPr>
        <w:pStyle w:val="H1G"/>
      </w:pPr>
      <w:r w:rsidRPr="00531110">
        <w:rPr>
          <w:lang w:val="fr-FR"/>
        </w:rPr>
        <w:lastRenderedPageBreak/>
        <w:tab/>
        <w:t xml:space="preserve">3. </w:t>
      </w:r>
      <w:r w:rsidRPr="00531110">
        <w:rPr>
          <w:lang w:val="fr-FR"/>
        </w:rPr>
        <w:tab/>
        <w:t>Meilleures pratiques et interprétation</w:t>
      </w:r>
      <w:r w:rsidRPr="003C24E7">
        <w:rPr>
          <w:rStyle w:val="Appelnotedebasdep"/>
          <w:b w:val="0"/>
          <w:bCs/>
        </w:rPr>
        <w:footnoteReference w:id="3"/>
      </w:r>
    </w:p>
    <w:p w14:paraId="2AC961AE" w14:textId="77777777" w:rsidR="00A03695" w:rsidRPr="00531110" w:rsidRDefault="00A03695" w:rsidP="00A03695">
      <w:pPr>
        <w:spacing w:after="160" w:line="259" w:lineRule="auto"/>
        <w:ind w:firstLine="1134"/>
        <w:rPr>
          <w:lang w:val="en-US"/>
        </w:rPr>
      </w:pPr>
      <w:r w:rsidRPr="00531110">
        <w:rPr>
          <w:b/>
          <w:bCs/>
          <w:noProof/>
        </w:rPr>
        <mc:AlternateContent>
          <mc:Choice Requires="wps">
            <w:drawing>
              <wp:inline distT="0" distB="0" distL="0" distR="0" wp14:anchorId="1DC007BD" wp14:editId="6C5C1A2E">
                <wp:extent cx="4680000" cy="1616400"/>
                <wp:effectExtent l="0" t="0" r="25400" b="22225"/>
                <wp:docPr id="9" name="Rectangle 9"/>
                <wp:cNvGraphicFramePr/>
                <a:graphic xmlns:a="http://schemas.openxmlformats.org/drawingml/2006/main">
                  <a:graphicData uri="http://schemas.microsoft.com/office/word/2010/wordprocessingShape">
                    <wps:wsp>
                      <wps:cNvSpPr/>
                      <wps:spPr>
                        <a:xfrm>
                          <a:off x="0" y="0"/>
                          <a:ext cx="4680000" cy="1616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CF55B" w14:textId="5003E50F" w:rsidR="00A03695" w:rsidRPr="00365237" w:rsidRDefault="00A03695" w:rsidP="00601160">
                            <w:pPr>
                              <w:pStyle w:val="Sansinterligne"/>
                              <w:keepNext/>
                              <w:shd w:val="clear" w:color="auto" w:fill="FFFFFF" w:themeFill="background1"/>
                              <w:spacing w:after="120" w:line="240" w:lineRule="atLeast"/>
                              <w:ind w:left="1134" w:hanging="1134"/>
                              <w:rPr>
                                <w:rFonts w:ascii="Times New Roman" w:hAnsi="Times New Roman"/>
                                <w:sz w:val="20"/>
                                <w:szCs w:val="20"/>
                                <w:lang w:val="fr-FR"/>
                              </w:rPr>
                            </w:pPr>
                            <w:r w:rsidRPr="000419C1">
                              <w:rPr>
                                <w:rFonts w:ascii="Times New Roman" w:hAnsi="Times New Roman"/>
                                <w:sz w:val="20"/>
                                <w:szCs w:val="20"/>
                                <w:lang w:val="fr-FR"/>
                              </w:rPr>
                              <w:t>6.3.1</w:t>
                            </w:r>
                            <w:r w:rsidRPr="000419C1">
                              <w:rPr>
                                <w:rFonts w:ascii="Times New Roman" w:hAnsi="Times New Roman"/>
                                <w:sz w:val="20"/>
                                <w:szCs w:val="20"/>
                                <w:lang w:val="fr-FR"/>
                              </w:rPr>
                              <w:tab/>
                              <w:t xml:space="preserve">Dispositions relatives à la protection contre toute manipulation </w:t>
                            </w:r>
                            <w:r w:rsidR="00601160">
                              <w:rPr>
                                <w:rFonts w:ascii="Times New Roman" w:hAnsi="Times New Roman"/>
                                <w:sz w:val="20"/>
                                <w:szCs w:val="20"/>
                                <w:lang w:val="fr-FR"/>
                              </w:rPr>
                              <w:br/>
                            </w:r>
                            <w:r w:rsidRPr="000419C1">
                              <w:rPr>
                                <w:rFonts w:ascii="Times New Roman" w:hAnsi="Times New Roman"/>
                                <w:sz w:val="20"/>
                                <w:szCs w:val="20"/>
                                <w:lang w:val="fr-FR"/>
                              </w:rPr>
                              <w:t>non autorisée</w:t>
                            </w:r>
                          </w:p>
                          <w:p w14:paraId="13FD50F2" w14:textId="77777777" w:rsidR="00A03695" w:rsidRPr="00365237" w:rsidRDefault="00A03695" w:rsidP="00A03695">
                            <w:pPr>
                              <w:pStyle w:val="Sansinterligne"/>
                              <w:shd w:val="clear" w:color="auto" w:fill="FFFFFF" w:themeFill="background1"/>
                              <w:spacing w:after="120" w:line="240" w:lineRule="atLeast"/>
                              <w:ind w:left="1134"/>
                              <w:jc w:val="both"/>
                              <w:rPr>
                                <w:rFonts w:ascii="Times New Roman" w:hAnsi="Times New Roman"/>
                                <w:sz w:val="20"/>
                                <w:szCs w:val="20"/>
                                <w:lang w:val="fr-FR"/>
                              </w:rPr>
                            </w:pPr>
                            <w:r w:rsidRPr="000419C1">
                              <w:rPr>
                                <w:rFonts w:ascii="Times New Roman" w:hAnsi="Times New Roman"/>
                                <w:sz w:val="20"/>
                                <w:szCs w:val="20"/>
                                <w:lang w:val="fr-FR"/>
                              </w:rPr>
                              <w:t xml:space="preserve">Les dispositifs silencieux d’échappement de remplacement non d’origine ou leurs composants doivent être conçus de telle sorte qu’il 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retrait causerait des dégâts irréversibles pour l’ensemble. </w:t>
                            </w:r>
                          </w:p>
                          <w:p w14:paraId="7816FFD2" w14:textId="77777777" w:rsidR="00A03695" w:rsidRPr="00365237" w:rsidRDefault="00A03695" w:rsidP="00A03695">
                            <w:pPr>
                              <w:pStyle w:val="Sansinterligne"/>
                              <w:shd w:val="clear" w:color="auto" w:fill="FFFFFF" w:themeFill="background1"/>
                              <w:spacing w:after="120" w:line="240" w:lineRule="atLeast"/>
                              <w:ind w:left="1134"/>
                              <w:jc w:val="both"/>
                              <w:rPr>
                                <w:rFonts w:ascii="Times New Roman" w:hAnsi="Times New Roman"/>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007BD" id="Rectangle 9" o:spid="_x0000_s1026" style="width:368.5pt;height:12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" filled="f" strokecolor="black [3213]" strokeweight="1pt">
                <v:textbox>
                  <w:txbxContent>
                    <w:p w14:paraId="0A1CF55B" w14:textId="5003E50F" w:rsidR="00A03695" w:rsidRPr="00365237" w:rsidRDefault="00A03695" w:rsidP="00601160">
                      <w:pPr>
                        <w:pStyle w:val="Sansinterligne"/>
                        <w:keepNext/>
                        <w:shd w:val="clear" w:color="auto" w:fill="FFFFFF" w:themeFill="background1"/>
                        <w:spacing w:after="120" w:line="240" w:lineRule="atLeast"/>
                        <w:ind w:left="1134" w:hanging="1134"/>
                        <w:rPr>
                          <w:rFonts w:ascii="Times New Roman" w:hAnsi="Times New Roman"/>
                          <w:sz w:val="20"/>
                          <w:szCs w:val="20"/>
                          <w:lang w:val="fr-FR"/>
                        </w:rPr>
                      </w:pPr>
                      <w:r w:rsidRPr="000419C1">
                        <w:rPr>
                          <w:rFonts w:ascii="Times New Roman" w:hAnsi="Times New Roman"/>
                          <w:sz w:val="20"/>
                          <w:szCs w:val="20"/>
                          <w:lang w:val="fr-FR"/>
                        </w:rPr>
                        <w:t>6.3.1</w:t>
                      </w:r>
                      <w:r w:rsidRPr="000419C1">
                        <w:rPr>
                          <w:rFonts w:ascii="Times New Roman" w:hAnsi="Times New Roman"/>
                          <w:sz w:val="20"/>
                          <w:szCs w:val="20"/>
                          <w:lang w:val="fr-FR"/>
                        </w:rPr>
                        <w:tab/>
                        <w:t xml:space="preserve">Dispositions relatives à la protection contre toute manipulation </w:t>
                      </w:r>
                      <w:r w:rsidR="00601160">
                        <w:rPr>
                          <w:rFonts w:ascii="Times New Roman" w:hAnsi="Times New Roman"/>
                          <w:sz w:val="20"/>
                          <w:szCs w:val="20"/>
                          <w:lang w:val="fr-FR"/>
                        </w:rPr>
                        <w:br/>
                      </w:r>
                      <w:r w:rsidRPr="000419C1">
                        <w:rPr>
                          <w:rFonts w:ascii="Times New Roman" w:hAnsi="Times New Roman"/>
                          <w:sz w:val="20"/>
                          <w:szCs w:val="20"/>
                          <w:lang w:val="fr-FR"/>
                        </w:rPr>
                        <w:t>non autorisée</w:t>
                      </w:r>
                    </w:p>
                    <w:p w14:paraId="13FD50F2" w14:textId="77777777" w:rsidR="00A03695" w:rsidRPr="00365237" w:rsidRDefault="00A03695" w:rsidP="00A03695">
                      <w:pPr>
                        <w:pStyle w:val="Sansinterligne"/>
                        <w:shd w:val="clear" w:color="auto" w:fill="FFFFFF" w:themeFill="background1"/>
                        <w:spacing w:after="120" w:line="240" w:lineRule="atLeast"/>
                        <w:ind w:left="1134"/>
                        <w:jc w:val="both"/>
                        <w:rPr>
                          <w:rFonts w:ascii="Times New Roman" w:hAnsi="Times New Roman"/>
                          <w:sz w:val="20"/>
                          <w:szCs w:val="20"/>
                          <w:lang w:val="fr-FR"/>
                        </w:rPr>
                      </w:pPr>
                      <w:r w:rsidRPr="000419C1">
                        <w:rPr>
                          <w:rFonts w:ascii="Times New Roman" w:hAnsi="Times New Roman"/>
                          <w:sz w:val="20"/>
                          <w:szCs w:val="20"/>
                          <w:lang w:val="fr-FR"/>
                        </w:rPr>
                        <w:t xml:space="preserve">Les dispositifs silencieux d’échappement de remplacement non d’origine ou leurs composants doivent être conçus de telle sorte qu’il 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retrait causerait des dégâts irréversibles pour l’ensemble. </w:t>
                      </w:r>
                    </w:p>
                    <w:p w14:paraId="7816FFD2" w14:textId="77777777" w:rsidR="00A03695" w:rsidRPr="00365237" w:rsidRDefault="00A03695" w:rsidP="00A03695">
                      <w:pPr>
                        <w:pStyle w:val="Sansinterligne"/>
                        <w:shd w:val="clear" w:color="auto" w:fill="FFFFFF" w:themeFill="background1"/>
                        <w:spacing w:after="120" w:line="240" w:lineRule="atLeast"/>
                        <w:ind w:left="1134"/>
                        <w:jc w:val="both"/>
                        <w:rPr>
                          <w:rFonts w:ascii="Times New Roman" w:hAnsi="Times New Roman"/>
                          <w:sz w:val="20"/>
                          <w:szCs w:val="20"/>
                          <w:lang w:val="fr-FR"/>
                        </w:rPr>
                      </w:pPr>
                    </w:p>
                  </w:txbxContent>
                </v:textbox>
                <w10:anchorlock/>
              </v:rect>
            </w:pict>
          </mc:Fallback>
        </mc:AlternateContent>
      </w:r>
    </w:p>
    <w:p w14:paraId="0AB518AC" w14:textId="3D8BF1FC" w:rsidR="00A03695" w:rsidRPr="00531110" w:rsidRDefault="00A03695" w:rsidP="00E218B7">
      <w:pPr>
        <w:pStyle w:val="SingleTxtG"/>
        <w:ind w:firstLine="567"/>
        <w:rPr>
          <w:sz w:val="18"/>
          <w:szCs w:val="18"/>
        </w:rPr>
      </w:pPr>
      <w:r w:rsidRPr="00531110">
        <w:rPr>
          <w:lang w:val="fr-FR"/>
        </w:rPr>
        <w:t>Pour en faciliter la compréhension, le paragraphe 6.3.1 est divisé en trois parties (A,</w:t>
      </w:r>
      <w:r w:rsidR="00601160">
        <w:rPr>
          <w:lang w:val="fr-FR"/>
        </w:rPr>
        <w:t> </w:t>
      </w:r>
      <w:r w:rsidRPr="00531110">
        <w:rPr>
          <w:lang w:val="fr-FR"/>
        </w:rPr>
        <w:t>B et C).</w:t>
      </w:r>
    </w:p>
    <w:p w14:paraId="60802465" w14:textId="77777777" w:rsidR="00A03695" w:rsidRPr="00A147A6" w:rsidRDefault="00A03695" w:rsidP="00A147A6">
      <w:pPr>
        <w:pStyle w:val="H1G"/>
        <w:rPr>
          <w:b w:val="0"/>
          <w:bCs/>
          <w:szCs w:val="24"/>
        </w:rPr>
      </w:pPr>
      <w:r w:rsidRPr="00A147A6">
        <w:rPr>
          <w:b w:val="0"/>
          <w:bCs/>
          <w:lang w:val="fr-FR"/>
        </w:rPr>
        <w:tab/>
        <w:t xml:space="preserve">A. </w:t>
      </w:r>
      <w:r w:rsidRPr="00A147A6">
        <w:rPr>
          <w:b w:val="0"/>
          <w:bCs/>
          <w:lang w:val="fr-FR"/>
        </w:rPr>
        <w:tab/>
        <w:t>Inviolabilité du produit</w:t>
      </w:r>
    </w:p>
    <w:p w14:paraId="2F013373" w14:textId="77777777" w:rsidR="00A03695" w:rsidRPr="00531110" w:rsidRDefault="00A03695" w:rsidP="00A147A6">
      <w:pPr>
        <w:pStyle w:val="SingleTxtG"/>
        <w:rPr>
          <w:lang w:val="en-GB"/>
        </w:rPr>
      </w:pPr>
      <w:r w:rsidRPr="00531110">
        <w:rPr>
          <w:noProof/>
          <w:lang w:val="en-US"/>
        </w:rPr>
        <mc:AlternateContent>
          <mc:Choice Requires="wps">
            <w:drawing>
              <wp:inline distT="0" distB="0" distL="0" distR="0" wp14:anchorId="6D76D339" wp14:editId="523DC222">
                <wp:extent cx="4680000" cy="817033"/>
                <wp:effectExtent l="0" t="0" r="25400" b="21590"/>
                <wp:docPr id="902982570" name="Rectangle 902982570"/>
                <wp:cNvGraphicFramePr/>
                <a:graphic xmlns:a="http://schemas.openxmlformats.org/drawingml/2006/main">
                  <a:graphicData uri="http://schemas.microsoft.com/office/word/2010/wordprocessingShape">
                    <wps:wsp>
                      <wps:cNvSpPr/>
                      <wps:spPr>
                        <a:xfrm>
                          <a:off x="0" y="0"/>
                          <a:ext cx="4680000" cy="8170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326783" w14:textId="77777777" w:rsidR="00A03695" w:rsidRPr="00365237" w:rsidRDefault="00A03695" w:rsidP="007416B6">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365237">
                              <w:rPr>
                                <w:rFonts w:ascii="Times New Roman" w:hAnsi="Times New Roman"/>
                                <w:sz w:val="20"/>
                                <w:szCs w:val="20"/>
                                <w:lang w:val="fr-FR"/>
                              </w:rPr>
                              <w:t xml:space="preserve">Les dispositifs silencieux d’échappement de remplacement non d’origine ou leurs composants </w:t>
                            </w:r>
                            <w:r w:rsidRPr="00365237">
                              <w:rPr>
                                <w:rFonts w:ascii="Times New Roman" w:hAnsi="Times New Roman"/>
                                <w:sz w:val="20"/>
                                <w:szCs w:val="20"/>
                                <w:u w:val="single"/>
                                <w:lang w:val="fr-FR"/>
                              </w:rPr>
                              <w:t>doivent être conçus de telle sorte qu’il ne soit pas possible d’en retirer les chicanes ou les cônes de sortie</w:t>
                            </w:r>
                            <w:r w:rsidRPr="00365237">
                              <w:rPr>
                                <w:rFonts w:ascii="Times New Roman" w:hAnsi="Times New Roman"/>
                                <w:sz w:val="20"/>
                                <w:szCs w:val="20"/>
                                <w:lang w:val="fr-FR"/>
                              </w:rPr>
                              <w:t>, ainsi que toute pièce servant principalement à atténuer le bruit.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6D339" id="Rectangle 902982570" o:spid="_x0000_s1027" style="width:368.5pt;height:6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" filled="f" strokecolor="black [3213]" strokeweight="1pt">
                <v:textbox>
                  <w:txbxContent>
                    <w:p w14:paraId="16326783" w14:textId="77777777" w:rsidR="00A03695" w:rsidRPr="00365237" w:rsidRDefault="00A03695" w:rsidP="007416B6">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365237">
                        <w:rPr>
                          <w:rFonts w:ascii="Times New Roman" w:hAnsi="Times New Roman"/>
                          <w:sz w:val="20"/>
                          <w:szCs w:val="20"/>
                          <w:lang w:val="fr-FR"/>
                        </w:rPr>
                        <w:t xml:space="preserve">Les dispositifs silencieux d’échappement de remplacement non d’origine ou leurs composants </w:t>
                      </w:r>
                      <w:r w:rsidRPr="00365237">
                        <w:rPr>
                          <w:rFonts w:ascii="Times New Roman" w:hAnsi="Times New Roman"/>
                          <w:sz w:val="20"/>
                          <w:szCs w:val="20"/>
                          <w:u w:val="single"/>
                          <w:lang w:val="fr-FR"/>
                        </w:rPr>
                        <w:t>doivent être conçus de telle sorte qu’il ne soit pas possible d’en retirer les chicanes ou les cônes de sortie</w:t>
                      </w:r>
                      <w:r w:rsidRPr="00365237">
                        <w:rPr>
                          <w:rFonts w:ascii="Times New Roman" w:hAnsi="Times New Roman"/>
                          <w:sz w:val="20"/>
                          <w:szCs w:val="20"/>
                          <w:lang w:val="fr-FR"/>
                        </w:rPr>
                        <w:t>, ainsi que toute pièce servant principalement à atténuer le bruit. (…)</w:t>
                      </w:r>
                    </w:p>
                  </w:txbxContent>
                </v:textbox>
                <w10:anchorlock/>
              </v:rect>
            </w:pict>
          </mc:Fallback>
        </mc:AlternateContent>
      </w:r>
    </w:p>
    <w:p w14:paraId="5C1F86D0" w14:textId="77777777" w:rsidR="00A03695" w:rsidRPr="006604E3" w:rsidRDefault="00A03695" w:rsidP="006604E3">
      <w:pPr>
        <w:pStyle w:val="SingleTxtG"/>
        <w:ind w:left="1701" w:hanging="567"/>
        <w:rPr>
          <w:i/>
          <w:iCs/>
        </w:rPr>
      </w:pPr>
      <w:r w:rsidRPr="006604E3">
        <w:rPr>
          <w:i/>
          <w:iCs/>
        </w:rPr>
        <w:t>1.</w:t>
      </w:r>
      <w:r w:rsidRPr="006604E3">
        <w:rPr>
          <w:i/>
          <w:iCs/>
        </w:rPr>
        <w:tab/>
      </w:r>
      <w:r w:rsidRPr="006604E3">
        <w:rPr>
          <w:i/>
          <w:iCs/>
          <w:lang w:val="fr-FR"/>
        </w:rPr>
        <w:t xml:space="preserve">Avant tout, conformément à la définition, les dispositifs silencieux d’échappement de remplacement non d’origine doivent être </w:t>
      </w:r>
      <w:r w:rsidRPr="006604E3">
        <w:rPr>
          <w:b/>
          <w:bCs/>
          <w:i/>
          <w:iCs/>
          <w:lang w:val="fr-FR"/>
        </w:rPr>
        <w:t>inviolables</w:t>
      </w:r>
      <w:r w:rsidRPr="006604E3">
        <w:rPr>
          <w:i/>
          <w:iCs/>
          <w:lang w:val="fr-FR"/>
        </w:rPr>
        <w:t>.</w:t>
      </w:r>
    </w:p>
    <w:p w14:paraId="4083B0B4" w14:textId="77777777" w:rsidR="00A03695" w:rsidRPr="00531110" w:rsidRDefault="00A03695" w:rsidP="006604E3">
      <w:pPr>
        <w:pStyle w:val="SingleTxtG"/>
        <w:ind w:left="1701" w:hanging="567"/>
        <w:rPr>
          <w:i/>
          <w:iCs/>
        </w:rPr>
      </w:pPr>
      <w:r w:rsidRPr="00531110">
        <w:rPr>
          <w:i/>
          <w:iCs/>
        </w:rPr>
        <w:t>2.</w:t>
      </w:r>
      <w:r w:rsidRPr="00531110">
        <w:rPr>
          <w:i/>
          <w:iCs/>
        </w:rPr>
        <w:tab/>
      </w:r>
      <w:r w:rsidRPr="00531110">
        <w:rPr>
          <w:i/>
          <w:iCs/>
          <w:lang w:val="fr-FR"/>
        </w:rPr>
        <w:t xml:space="preserve">Les chicanes et les cônes de sortie </w:t>
      </w:r>
      <w:r w:rsidRPr="00531110">
        <w:rPr>
          <w:b/>
          <w:bCs/>
          <w:i/>
          <w:iCs/>
          <w:lang w:val="fr-FR"/>
        </w:rPr>
        <w:t>doivent être construits ou conçus de façon à ne pas pouvoir être enlevés</w:t>
      </w:r>
      <w:r w:rsidRPr="00531110">
        <w:rPr>
          <w:i/>
          <w:iCs/>
          <w:lang w:val="fr-FR"/>
        </w:rPr>
        <w:t>.</w:t>
      </w:r>
      <w:r w:rsidRPr="00531110">
        <w:rPr>
          <w:lang w:val="fr-FR"/>
        </w:rPr>
        <w:t xml:space="preserve"> </w:t>
      </w:r>
      <w:r w:rsidRPr="00531110">
        <w:rPr>
          <w:i/>
          <w:iCs/>
          <w:lang w:val="fr-FR"/>
        </w:rPr>
        <w:t>Les fabricants de dispositifs d’échappement doivent donc faire le nécessaire pour que les utilisateurs ou propriétaires ne puissent pas compromettre facilement l’intégrité des dispositifs silencieux d’échappement de remplacement non d’origine.</w:t>
      </w:r>
    </w:p>
    <w:p w14:paraId="171ECCC0" w14:textId="77777777" w:rsidR="00A03695" w:rsidRPr="00531110" w:rsidRDefault="00A03695" w:rsidP="006604E3">
      <w:pPr>
        <w:pStyle w:val="SingleTxtG"/>
        <w:ind w:left="1701" w:hanging="567"/>
        <w:rPr>
          <w:rFonts w:eastAsiaTheme="minorEastAsia"/>
          <w:i/>
          <w:iCs/>
        </w:rPr>
      </w:pPr>
      <w:r w:rsidRPr="00531110">
        <w:rPr>
          <w:rFonts w:eastAsiaTheme="minorEastAsia"/>
          <w:i/>
          <w:iCs/>
        </w:rPr>
        <w:t>3.</w:t>
      </w:r>
      <w:r w:rsidRPr="00531110">
        <w:rPr>
          <w:rFonts w:eastAsiaTheme="minorEastAsia"/>
          <w:i/>
          <w:iCs/>
        </w:rPr>
        <w:tab/>
      </w:r>
      <w:r w:rsidRPr="00531110">
        <w:rPr>
          <w:i/>
          <w:iCs/>
          <w:lang w:val="fr-FR"/>
        </w:rPr>
        <w:t xml:space="preserve">Les </w:t>
      </w:r>
      <w:r w:rsidRPr="00531110">
        <w:rPr>
          <w:b/>
          <w:bCs/>
          <w:i/>
          <w:iCs/>
          <w:lang w:val="fr-FR"/>
        </w:rPr>
        <w:t>cônes de sortie</w:t>
      </w:r>
      <w:r w:rsidRPr="00531110">
        <w:rPr>
          <w:i/>
          <w:iCs/>
          <w:lang w:val="fr-FR"/>
        </w:rPr>
        <w:t xml:space="preserve"> doivent être inviolables.</w:t>
      </w:r>
      <w:r w:rsidRPr="00531110">
        <w:rPr>
          <w:lang w:val="fr-FR"/>
        </w:rPr>
        <w:t xml:space="preserve"> </w:t>
      </w:r>
      <w:r w:rsidRPr="00531110">
        <w:rPr>
          <w:i/>
          <w:iCs/>
          <w:lang w:val="fr-FR"/>
        </w:rPr>
        <w:t>Plus précisément, cela signifie que :</w:t>
      </w:r>
    </w:p>
    <w:p w14:paraId="13A18FAF" w14:textId="19184FED" w:rsidR="00A03695" w:rsidRPr="00A37F81" w:rsidRDefault="00A03695" w:rsidP="002E6314">
      <w:pPr>
        <w:pStyle w:val="Bullet1G"/>
        <w:ind w:left="1871"/>
        <w:rPr>
          <w:rFonts w:eastAsiaTheme="minorEastAsia"/>
          <w:i/>
          <w:iCs/>
        </w:rPr>
      </w:pPr>
      <w:r w:rsidRPr="00A37F81">
        <w:rPr>
          <w:i/>
          <w:iCs/>
          <w:lang w:val="fr-FR"/>
        </w:rPr>
        <w:t xml:space="preserve">Les </w:t>
      </w:r>
      <w:r w:rsidRPr="00A37F81">
        <w:rPr>
          <w:b/>
          <w:bCs/>
          <w:i/>
          <w:iCs/>
          <w:lang w:val="fr-FR"/>
        </w:rPr>
        <w:t>éléments classiques de fixation par tige filetée</w:t>
      </w:r>
      <w:r w:rsidRPr="00A37F81">
        <w:rPr>
          <w:i/>
          <w:iCs/>
          <w:lang w:val="fr-FR"/>
        </w:rPr>
        <w:t xml:space="preserve"> (boulonnage) ou les méthodes similaires utilisées pour fixer le </w:t>
      </w:r>
      <w:r w:rsidRPr="00A37F81">
        <w:rPr>
          <w:b/>
          <w:bCs/>
          <w:i/>
          <w:iCs/>
          <w:lang w:val="fr-FR"/>
        </w:rPr>
        <w:t>cône de sortie</w:t>
      </w:r>
      <w:r w:rsidRPr="00A37F81">
        <w:rPr>
          <w:i/>
          <w:iCs/>
          <w:lang w:val="fr-FR"/>
        </w:rPr>
        <w:t xml:space="preserve"> au reste de l’ensemble ne sont pas considérés comme inviolables.</w:t>
      </w:r>
    </w:p>
    <w:p w14:paraId="3811ED50" w14:textId="1E6BFDE5" w:rsidR="00A03695" w:rsidRPr="00AB2BD3" w:rsidRDefault="00A03695" w:rsidP="002E6314">
      <w:pPr>
        <w:pStyle w:val="Bullet2G"/>
        <w:ind w:left="2438"/>
        <w:rPr>
          <w:rFonts w:eastAsiaTheme="minorEastAsia"/>
          <w:i/>
          <w:iCs/>
        </w:rPr>
      </w:pPr>
      <w:r w:rsidRPr="00AB2BD3">
        <w:rPr>
          <w:i/>
          <w:iCs/>
          <w:lang w:val="fr-FR"/>
        </w:rPr>
        <w:t xml:space="preserve">Si les fabricants ont recours à des méthodes de </w:t>
      </w:r>
      <w:r w:rsidRPr="00AB2BD3">
        <w:rPr>
          <w:b/>
          <w:bCs/>
          <w:i/>
          <w:iCs/>
          <w:lang w:val="fr-FR"/>
        </w:rPr>
        <w:t xml:space="preserve">fixation par tige filetée </w:t>
      </w:r>
      <w:r w:rsidRPr="00AB2BD3">
        <w:rPr>
          <w:i/>
          <w:iCs/>
          <w:lang w:val="fr-FR"/>
        </w:rPr>
        <w:t xml:space="preserve">ou à d’autres méthodes similaires, le </w:t>
      </w:r>
      <w:r w:rsidRPr="00AB2BD3">
        <w:rPr>
          <w:b/>
          <w:bCs/>
          <w:i/>
          <w:iCs/>
          <w:lang w:val="fr-FR"/>
        </w:rPr>
        <w:t>cône de sortie</w:t>
      </w:r>
      <w:r w:rsidRPr="00AB2BD3">
        <w:rPr>
          <w:i/>
          <w:iCs/>
          <w:lang w:val="fr-FR"/>
        </w:rPr>
        <w:t xml:space="preserve"> doit également être fixé au </w:t>
      </w:r>
      <w:r w:rsidRPr="00AB2BD3">
        <w:rPr>
          <w:b/>
          <w:bCs/>
          <w:i/>
          <w:iCs/>
          <w:lang w:val="fr-FR"/>
        </w:rPr>
        <w:t>corps d’échappement</w:t>
      </w:r>
      <w:r w:rsidRPr="00AB2BD3">
        <w:rPr>
          <w:i/>
          <w:iCs/>
          <w:lang w:val="fr-FR"/>
        </w:rPr>
        <w:t xml:space="preserve"> par une autre méthode, par exemple par collage ou par soudure.</w:t>
      </w:r>
    </w:p>
    <w:p w14:paraId="22C9ED82" w14:textId="3D75FF79" w:rsidR="00A03695" w:rsidRPr="00531110" w:rsidRDefault="00A03695" w:rsidP="002E6314">
      <w:pPr>
        <w:pStyle w:val="Bullet1G"/>
        <w:ind w:left="1871"/>
        <w:rPr>
          <w:rFonts w:eastAsiaTheme="minorEastAsia"/>
          <w:i/>
          <w:iCs/>
        </w:rPr>
      </w:pPr>
      <w:r w:rsidRPr="00531110">
        <w:rPr>
          <w:i/>
          <w:iCs/>
          <w:lang w:val="fr-FR"/>
        </w:rPr>
        <w:t xml:space="preserve">Toutefois, il est possible d’utiliser des </w:t>
      </w:r>
      <w:r w:rsidRPr="00531110">
        <w:rPr>
          <w:b/>
          <w:bCs/>
          <w:i/>
          <w:iCs/>
          <w:lang w:val="fr-FR"/>
        </w:rPr>
        <w:t>rivets</w:t>
      </w:r>
      <w:r w:rsidRPr="00531110">
        <w:rPr>
          <w:i/>
          <w:iCs/>
          <w:lang w:val="fr-FR"/>
        </w:rPr>
        <w:t xml:space="preserve"> ou des </w:t>
      </w:r>
      <w:r w:rsidRPr="00531110">
        <w:rPr>
          <w:b/>
          <w:bCs/>
          <w:i/>
          <w:iCs/>
          <w:lang w:val="fr-FR"/>
        </w:rPr>
        <w:t>boulons de cisaillement</w:t>
      </w:r>
      <w:r w:rsidRPr="00531110">
        <w:rPr>
          <w:i/>
          <w:iCs/>
          <w:lang w:val="fr-FR"/>
        </w:rPr>
        <w:t xml:space="preserve"> pour fixer le </w:t>
      </w:r>
      <w:r w:rsidRPr="00531110">
        <w:rPr>
          <w:b/>
          <w:bCs/>
          <w:i/>
          <w:iCs/>
          <w:lang w:val="fr-FR"/>
        </w:rPr>
        <w:t>cône de sortie</w:t>
      </w:r>
      <w:r w:rsidRPr="00531110">
        <w:rPr>
          <w:i/>
          <w:iCs/>
          <w:lang w:val="fr-FR"/>
        </w:rPr>
        <w:t xml:space="preserve"> au corps d’échappement,</w:t>
      </w:r>
      <w:r w:rsidRPr="00531110">
        <w:rPr>
          <w:lang w:val="fr-FR"/>
        </w:rPr>
        <w:t xml:space="preserve"> </w:t>
      </w:r>
      <w:r w:rsidRPr="00531110">
        <w:rPr>
          <w:i/>
          <w:iCs/>
          <w:lang w:val="fr-FR"/>
        </w:rPr>
        <w:t>auquel cas :</w:t>
      </w:r>
    </w:p>
    <w:p w14:paraId="37A946BB" w14:textId="7E84F626" w:rsidR="00A03695" w:rsidRPr="00531110" w:rsidRDefault="00A03695" w:rsidP="00AB2BD3">
      <w:pPr>
        <w:pStyle w:val="Bullet2G"/>
        <w:rPr>
          <w:rFonts w:eastAsiaTheme="minorEastAsia"/>
          <w:i/>
          <w:iCs/>
        </w:rPr>
      </w:pPr>
      <w:r w:rsidRPr="00531110">
        <w:rPr>
          <w:i/>
          <w:iCs/>
          <w:lang w:val="fr-FR"/>
        </w:rPr>
        <w:t>S’agissant des rivets, il convient de privilégier l’acier inoxydable (et non l’aluminium) ;</w:t>
      </w:r>
    </w:p>
    <w:p w14:paraId="740B37BE" w14:textId="3ED44AAB" w:rsidR="00A03695" w:rsidRPr="00531110" w:rsidRDefault="00A03695" w:rsidP="00AB2BD3">
      <w:pPr>
        <w:pStyle w:val="Bullet2G"/>
        <w:rPr>
          <w:rFonts w:eastAsiaTheme="minorEastAsia"/>
          <w:i/>
          <w:iCs/>
        </w:rPr>
      </w:pPr>
      <w:r w:rsidRPr="00531110">
        <w:rPr>
          <w:i/>
          <w:iCs/>
          <w:lang w:val="fr-FR"/>
        </w:rPr>
        <w:t xml:space="preserve">Si les fabricants utilisent des rivets qui ne sont pas en acier inoxydable, le </w:t>
      </w:r>
      <w:r w:rsidRPr="00531110">
        <w:rPr>
          <w:b/>
          <w:bCs/>
          <w:i/>
          <w:iCs/>
          <w:lang w:val="fr-FR"/>
        </w:rPr>
        <w:t>cône de sortie</w:t>
      </w:r>
      <w:r w:rsidRPr="00531110">
        <w:rPr>
          <w:i/>
          <w:iCs/>
          <w:lang w:val="fr-FR"/>
        </w:rPr>
        <w:t xml:space="preserve"> doit également être fixé au </w:t>
      </w:r>
      <w:r w:rsidRPr="00531110">
        <w:rPr>
          <w:b/>
          <w:bCs/>
          <w:i/>
          <w:iCs/>
          <w:lang w:val="fr-FR"/>
        </w:rPr>
        <w:t>corps d’échappement</w:t>
      </w:r>
      <w:r w:rsidRPr="00531110">
        <w:rPr>
          <w:i/>
          <w:iCs/>
          <w:lang w:val="fr-FR"/>
        </w:rPr>
        <w:t xml:space="preserve"> par une autre méthode, par exemple par collage ou par soudure.</w:t>
      </w:r>
      <w:r w:rsidRPr="00531110">
        <w:rPr>
          <w:lang w:val="fr-FR"/>
        </w:rPr>
        <w:t xml:space="preserve"> </w:t>
      </w:r>
      <w:r w:rsidRPr="00531110">
        <w:rPr>
          <w:i/>
          <w:iCs/>
          <w:lang w:val="fr-FR"/>
        </w:rPr>
        <w:t>Autrement, les éléments de fixation du cône de sortie doivent être remplis de résine époxyde ou d’une substance similaire ;</w:t>
      </w:r>
    </w:p>
    <w:p w14:paraId="6D665C9F" w14:textId="77777777" w:rsidR="00A03695" w:rsidRPr="00531110" w:rsidRDefault="00A03695" w:rsidP="00AB2BD3">
      <w:pPr>
        <w:pStyle w:val="Bullet2G"/>
        <w:numPr>
          <w:ilvl w:val="0"/>
          <w:numId w:val="0"/>
        </w:numPr>
        <w:ind w:left="2268"/>
        <w:rPr>
          <w:i/>
          <w:iCs/>
        </w:rPr>
      </w:pPr>
      <w:r w:rsidRPr="00531110">
        <w:rPr>
          <w:i/>
          <w:iCs/>
          <w:lang w:val="fr-FR"/>
        </w:rPr>
        <w:t>ET</w:t>
      </w:r>
    </w:p>
    <w:p w14:paraId="0AFC2F7C" w14:textId="755B41DB" w:rsidR="00A03695" w:rsidRPr="00531110" w:rsidRDefault="00A03695" w:rsidP="002E6314">
      <w:pPr>
        <w:pStyle w:val="Bullet1G"/>
        <w:ind w:left="1871"/>
        <w:rPr>
          <w:i/>
          <w:iCs/>
        </w:rPr>
      </w:pPr>
      <w:r w:rsidRPr="00531110">
        <w:rPr>
          <w:i/>
          <w:iCs/>
          <w:lang w:val="fr-FR"/>
        </w:rPr>
        <w:lastRenderedPageBreak/>
        <w:t xml:space="preserve">La </w:t>
      </w:r>
      <w:r w:rsidRPr="00531110">
        <w:rPr>
          <w:b/>
          <w:bCs/>
          <w:i/>
          <w:iCs/>
          <w:lang w:val="fr-FR"/>
        </w:rPr>
        <w:t>chicane</w:t>
      </w:r>
      <w:r w:rsidRPr="00531110">
        <w:rPr>
          <w:i/>
          <w:iCs/>
          <w:lang w:val="fr-FR"/>
        </w:rPr>
        <w:t xml:space="preserve"> doit être fixée au </w:t>
      </w:r>
      <w:r w:rsidRPr="00531110">
        <w:rPr>
          <w:b/>
          <w:bCs/>
          <w:i/>
          <w:iCs/>
          <w:lang w:val="fr-FR"/>
        </w:rPr>
        <w:t>corps d’échappement</w:t>
      </w:r>
      <w:r w:rsidRPr="00531110">
        <w:rPr>
          <w:i/>
          <w:iCs/>
          <w:lang w:val="fr-FR"/>
        </w:rPr>
        <w:t xml:space="preserve"> ou au </w:t>
      </w:r>
      <w:r w:rsidRPr="00531110">
        <w:rPr>
          <w:b/>
          <w:bCs/>
          <w:i/>
          <w:iCs/>
          <w:lang w:val="fr-FR"/>
        </w:rPr>
        <w:t>cône de sortie</w:t>
      </w:r>
      <w:r w:rsidRPr="00531110">
        <w:rPr>
          <w:i/>
          <w:iCs/>
          <w:lang w:val="fr-FR"/>
        </w:rPr>
        <w:t xml:space="preserve"> de façon à ce que le retrait du </w:t>
      </w:r>
      <w:r w:rsidRPr="00531110">
        <w:rPr>
          <w:b/>
          <w:bCs/>
          <w:i/>
          <w:iCs/>
          <w:lang w:val="fr-FR"/>
        </w:rPr>
        <w:t>cône de sortie</w:t>
      </w:r>
      <w:r w:rsidRPr="00531110">
        <w:rPr>
          <w:i/>
          <w:iCs/>
          <w:lang w:val="fr-FR"/>
        </w:rPr>
        <w:t xml:space="preserve"> ne facilite pas le retrait de la chicane.</w:t>
      </w:r>
      <w:r w:rsidRPr="00531110">
        <w:rPr>
          <w:lang w:val="fr-FR"/>
        </w:rPr>
        <w:t xml:space="preserve"> </w:t>
      </w:r>
      <w:r w:rsidRPr="00531110">
        <w:rPr>
          <w:i/>
          <w:iCs/>
          <w:lang w:val="fr-FR"/>
        </w:rPr>
        <w:t>La chicane doit être inviolable : elle doit être fixée au moyen, par exemple, d’une soudure suffisante ou d’éléments de fixation par tige filetée recouverts de résine époxyde ou d’une substance similaire.</w:t>
      </w:r>
    </w:p>
    <w:p w14:paraId="07B654EF" w14:textId="2584DE92" w:rsidR="00A03695" w:rsidRPr="00531110" w:rsidRDefault="00A03695" w:rsidP="002E6314">
      <w:pPr>
        <w:pStyle w:val="Bullet1G"/>
        <w:ind w:left="1871"/>
        <w:rPr>
          <w:i/>
          <w:iCs/>
        </w:rPr>
      </w:pPr>
      <w:r w:rsidRPr="00531110">
        <w:rPr>
          <w:i/>
          <w:iCs/>
          <w:lang w:val="fr-FR"/>
        </w:rPr>
        <w:t>Les embouts (cônes de sortie) ayant une fonction esthétique peuvent être fixés au moyen d’éléments de fixation classiques à condition :</w:t>
      </w:r>
      <w:r w:rsidRPr="00531110">
        <w:rPr>
          <w:lang w:val="fr-FR"/>
        </w:rPr>
        <w:t xml:space="preserve"> </w:t>
      </w:r>
    </w:p>
    <w:p w14:paraId="2CF4F3BD" w14:textId="77777777" w:rsidR="00AB2BD3" w:rsidRPr="00AB2BD3" w:rsidRDefault="00A03695" w:rsidP="00AB2BD3">
      <w:pPr>
        <w:pStyle w:val="Bullet2G"/>
        <w:rPr>
          <w:i/>
          <w:iCs/>
        </w:rPr>
      </w:pPr>
      <w:r w:rsidRPr="00AB2BD3">
        <w:rPr>
          <w:i/>
          <w:iCs/>
          <w:lang w:val="fr-FR"/>
        </w:rPr>
        <w:t>Que le retrait de l’embout ne facilite pas le retrait de la chicane ou du dispositif d’atténuation sonore ; et</w:t>
      </w:r>
    </w:p>
    <w:p w14:paraId="0459F0B6" w14:textId="15D1CEBD" w:rsidR="00A03695" w:rsidRPr="00AB2BD3" w:rsidRDefault="00A03695" w:rsidP="00AB2BD3">
      <w:pPr>
        <w:pStyle w:val="Bullet2G"/>
      </w:pPr>
      <w:r w:rsidRPr="00AB2BD3">
        <w:rPr>
          <w:i/>
          <w:iCs/>
          <w:lang w:val="fr-FR"/>
        </w:rPr>
        <w:t>Qu’il ne s’agisse pas d’une pièce servant principalement à atténuer le bruit.</w:t>
      </w:r>
    </w:p>
    <w:p w14:paraId="09742374" w14:textId="574A26E4" w:rsidR="00A03695" w:rsidRDefault="00A03695" w:rsidP="0021170E">
      <w:pPr>
        <w:pStyle w:val="H1G"/>
        <w:rPr>
          <w:b w:val="0"/>
          <w:bCs/>
          <w:lang w:val="fr-FR"/>
        </w:rPr>
      </w:pPr>
      <w:r w:rsidRPr="0021170E">
        <w:rPr>
          <w:b w:val="0"/>
          <w:bCs/>
          <w:szCs w:val="24"/>
          <w:lang w:val="fr-FR"/>
        </w:rPr>
        <w:tab/>
      </w:r>
      <w:r w:rsidRPr="0021170E">
        <w:rPr>
          <w:b w:val="0"/>
          <w:bCs/>
          <w:lang w:val="fr-FR"/>
        </w:rPr>
        <w:t xml:space="preserve">B. </w:t>
      </w:r>
      <w:r w:rsidRPr="0021170E">
        <w:rPr>
          <w:b w:val="0"/>
          <w:bCs/>
          <w:lang w:val="fr-FR"/>
        </w:rPr>
        <w:tab/>
        <w:t>Méthodes de fixation</w:t>
      </w:r>
    </w:p>
    <w:p w14:paraId="52C2E3FA" w14:textId="10DC85E6" w:rsidR="0021170E" w:rsidRDefault="0026205F" w:rsidP="00366FED">
      <w:pPr>
        <w:ind w:left="1134"/>
        <w:rPr>
          <w:lang w:val="fr-FR"/>
        </w:rPr>
      </w:pPr>
      <w:r w:rsidRPr="00531110">
        <w:rPr>
          <w:noProof/>
          <w:lang w:val="en-US"/>
        </w:rPr>
        <mc:AlternateContent>
          <mc:Choice Requires="wps">
            <w:drawing>
              <wp:inline distT="0" distB="0" distL="0" distR="0" wp14:anchorId="77098698" wp14:editId="0EEFDC8C">
                <wp:extent cx="4680000" cy="668867"/>
                <wp:effectExtent l="0" t="0" r="25400" b="17145"/>
                <wp:docPr id="8" name="Rectangle 8"/>
                <wp:cNvGraphicFramePr/>
                <a:graphic xmlns:a="http://schemas.openxmlformats.org/drawingml/2006/main">
                  <a:graphicData uri="http://schemas.microsoft.com/office/word/2010/wordprocessingShape">
                    <wps:wsp>
                      <wps:cNvSpPr/>
                      <wps:spPr>
                        <a:xfrm>
                          <a:off x="0" y="0"/>
                          <a:ext cx="4680000" cy="668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B08C7" w14:textId="77777777" w:rsidR="0026205F" w:rsidRPr="00365237" w:rsidRDefault="0026205F" w:rsidP="0026205F">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3E634F">
                              <w:rPr>
                                <w:rFonts w:ascii="Times New Roman" w:hAnsi="Times New Roman"/>
                                <w:sz w:val="20"/>
                                <w:szCs w:val="20"/>
                                <w:lang w:val="fr-FR"/>
                              </w:rPr>
                              <w:t xml:space="preserve">(...) Les pièces indispensables doivent être </w:t>
                            </w:r>
                            <w:r w:rsidRPr="00E0152C">
                              <w:rPr>
                                <w:rFonts w:ascii="Times New Roman" w:hAnsi="Times New Roman"/>
                                <w:sz w:val="20"/>
                                <w:szCs w:val="20"/>
                                <w:u w:val="single"/>
                                <w:lang w:val="fr-FR"/>
                              </w:rPr>
                              <w:t>fixées de telle sorte qu’elles ne puissent être enlevées facilement</w:t>
                            </w:r>
                            <w:r w:rsidRPr="003E634F">
                              <w:rPr>
                                <w:rFonts w:ascii="Times New Roman" w:hAnsi="Times New Roman"/>
                                <w:sz w:val="20"/>
                                <w:szCs w:val="20"/>
                                <w:lang w:val="fr-FR"/>
                              </w:rPr>
                              <w:t xml:space="preserve"> (par exemple être boulonnées)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098698" id="Rectangle 8" o:spid="_x0000_s1028" style="width:368.5pt;height:5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" filled="f" strokecolor="black [3213]" strokeweight="1pt">
                <v:textbox>
                  <w:txbxContent>
                    <w:p w14:paraId="208B08C7" w14:textId="77777777" w:rsidR="0026205F" w:rsidRPr="00365237" w:rsidRDefault="0026205F" w:rsidP="0026205F">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3E634F">
                        <w:rPr>
                          <w:rFonts w:ascii="Times New Roman" w:hAnsi="Times New Roman"/>
                          <w:sz w:val="20"/>
                          <w:szCs w:val="20"/>
                          <w:lang w:val="fr-FR"/>
                        </w:rPr>
                        <w:t xml:space="preserve">(...) Les pièces indispensables doivent être </w:t>
                      </w:r>
                      <w:r w:rsidRPr="00E0152C">
                        <w:rPr>
                          <w:rFonts w:ascii="Times New Roman" w:hAnsi="Times New Roman"/>
                          <w:sz w:val="20"/>
                          <w:szCs w:val="20"/>
                          <w:u w:val="single"/>
                          <w:lang w:val="fr-FR"/>
                        </w:rPr>
                        <w:t>fixées de telle sorte qu’elles ne puissent être enlevées facilement</w:t>
                      </w:r>
                      <w:r w:rsidRPr="003E634F">
                        <w:rPr>
                          <w:rFonts w:ascii="Times New Roman" w:hAnsi="Times New Roman"/>
                          <w:sz w:val="20"/>
                          <w:szCs w:val="20"/>
                          <w:lang w:val="fr-FR"/>
                        </w:rPr>
                        <w:t xml:space="preserve"> (par exemple être boulonnées) (...)</w:t>
                      </w:r>
                    </w:p>
                  </w:txbxContent>
                </v:textbox>
                <w10:anchorlock/>
              </v:rect>
            </w:pict>
          </mc:Fallback>
        </mc:AlternateContent>
      </w:r>
    </w:p>
    <w:p w14:paraId="2C72C0E1" w14:textId="50095F1E" w:rsidR="0021170E" w:rsidRPr="0021170E" w:rsidRDefault="0021170E" w:rsidP="0021170E">
      <w:pPr>
        <w:rPr>
          <w:lang w:val="fr-FR"/>
        </w:rPr>
      </w:pPr>
    </w:p>
    <w:p w14:paraId="3298822F" w14:textId="77777777" w:rsidR="00A03695" w:rsidRPr="00531110" w:rsidRDefault="00A03695" w:rsidP="006604E3">
      <w:pPr>
        <w:pStyle w:val="SingleTxtG"/>
        <w:ind w:left="1701" w:hanging="567"/>
        <w:rPr>
          <w:i/>
          <w:iCs/>
        </w:rPr>
      </w:pPr>
      <w:r w:rsidRPr="00531110">
        <w:rPr>
          <w:i/>
          <w:iCs/>
        </w:rPr>
        <w:t>4.</w:t>
      </w:r>
      <w:r w:rsidRPr="00531110">
        <w:rPr>
          <w:i/>
          <w:iCs/>
        </w:rPr>
        <w:tab/>
      </w:r>
      <w:r w:rsidRPr="00531110">
        <w:rPr>
          <w:i/>
          <w:iCs/>
          <w:lang w:val="fr-FR"/>
        </w:rPr>
        <w:t>Par « pièces », on entend « les chicanes ou les cônes de sortie, ainsi que toute pièce servant principalement à atténuer le bruit ».</w:t>
      </w:r>
    </w:p>
    <w:p w14:paraId="1FC71AF2" w14:textId="77777777" w:rsidR="00A03695" w:rsidRPr="00531110" w:rsidRDefault="00A03695" w:rsidP="006604E3">
      <w:pPr>
        <w:pStyle w:val="SingleTxtG"/>
        <w:ind w:left="1701" w:hanging="567"/>
        <w:rPr>
          <w:i/>
          <w:iCs/>
        </w:rPr>
      </w:pPr>
      <w:r w:rsidRPr="00531110">
        <w:rPr>
          <w:i/>
          <w:iCs/>
        </w:rPr>
        <w:t>5.</w:t>
      </w:r>
      <w:r w:rsidRPr="00531110">
        <w:rPr>
          <w:i/>
          <w:iCs/>
        </w:rPr>
        <w:tab/>
      </w:r>
      <w:r w:rsidRPr="00531110">
        <w:rPr>
          <w:i/>
          <w:iCs/>
          <w:lang w:val="fr-FR"/>
        </w:rPr>
        <w:t xml:space="preserve">S’agissant des </w:t>
      </w:r>
      <w:r w:rsidRPr="00531110">
        <w:rPr>
          <w:b/>
          <w:bCs/>
          <w:i/>
          <w:iCs/>
          <w:lang w:val="fr-FR"/>
        </w:rPr>
        <w:t>chicanes et autres pièces</w:t>
      </w:r>
      <w:r w:rsidRPr="00531110">
        <w:rPr>
          <w:i/>
          <w:iCs/>
          <w:lang w:val="fr-FR"/>
        </w:rPr>
        <w:t xml:space="preserve">, la méthode de fixation à privilégier est la </w:t>
      </w:r>
      <w:r w:rsidRPr="00531110">
        <w:rPr>
          <w:b/>
          <w:bCs/>
          <w:i/>
          <w:iCs/>
          <w:lang w:val="fr-FR"/>
        </w:rPr>
        <w:t xml:space="preserve">soudure </w:t>
      </w:r>
      <w:r w:rsidRPr="00531110">
        <w:rPr>
          <w:i/>
          <w:iCs/>
          <w:lang w:val="fr-FR"/>
        </w:rPr>
        <w:t>(au cône de sortie ou au corps d’échappement).</w:t>
      </w:r>
      <w:r w:rsidRPr="00531110">
        <w:rPr>
          <w:lang w:val="fr-FR"/>
        </w:rPr>
        <w:t xml:space="preserve"> </w:t>
      </w:r>
      <w:r w:rsidRPr="00531110">
        <w:rPr>
          <w:i/>
          <w:iCs/>
          <w:lang w:val="fr-FR"/>
        </w:rPr>
        <w:t>Il incombe au fabricant de veiller à ce que la soudure couvre une partie suffisante du périmètre extérieur de la chicane pour qu’elle ne puisse pas être enlevée facilement.</w:t>
      </w:r>
      <w:r w:rsidRPr="00531110">
        <w:rPr>
          <w:lang w:val="fr-FR"/>
        </w:rPr>
        <w:t xml:space="preserve"> </w:t>
      </w:r>
    </w:p>
    <w:p w14:paraId="34616F89" w14:textId="77777777" w:rsidR="00A03695" w:rsidRPr="00531110" w:rsidRDefault="00A03695" w:rsidP="006604E3">
      <w:pPr>
        <w:pStyle w:val="SingleTxtG"/>
        <w:ind w:left="1701" w:hanging="567"/>
        <w:rPr>
          <w:i/>
          <w:iCs/>
        </w:rPr>
      </w:pPr>
      <w:r w:rsidRPr="00531110">
        <w:rPr>
          <w:i/>
          <w:iCs/>
        </w:rPr>
        <w:t>6.</w:t>
      </w:r>
      <w:r w:rsidRPr="00531110">
        <w:rPr>
          <w:i/>
          <w:iCs/>
        </w:rPr>
        <w:tab/>
      </w:r>
      <w:r w:rsidRPr="00531110">
        <w:rPr>
          <w:i/>
          <w:iCs/>
          <w:lang w:val="fr-FR"/>
        </w:rPr>
        <w:t xml:space="preserve">Des vis ou autres éléments de fixation par tige filetée peuvent être utilisés comme moyen secondaire de fixation de la </w:t>
      </w:r>
      <w:r w:rsidRPr="00531110">
        <w:rPr>
          <w:b/>
          <w:bCs/>
          <w:i/>
          <w:iCs/>
          <w:lang w:val="fr-FR"/>
        </w:rPr>
        <w:t>chicane</w:t>
      </w:r>
      <w:r w:rsidRPr="00531110">
        <w:rPr>
          <w:i/>
          <w:iCs/>
          <w:lang w:val="fr-FR"/>
        </w:rPr>
        <w:t xml:space="preserve"> à l’échappement (ou en remplacement de la soudure si celle-ci est techniquement impossible, par exemple lorsque le cône de sortie et le corps d’échappement ne sont pas dans le même matériau).</w:t>
      </w:r>
      <w:r w:rsidRPr="00531110">
        <w:rPr>
          <w:lang w:val="fr-FR"/>
        </w:rPr>
        <w:t xml:space="preserve"> </w:t>
      </w:r>
      <w:r w:rsidRPr="00531110">
        <w:rPr>
          <w:i/>
          <w:iCs/>
          <w:lang w:val="fr-FR"/>
        </w:rPr>
        <w:t xml:space="preserve">Dans ce cas, </w:t>
      </w:r>
      <w:r w:rsidRPr="00531110">
        <w:rPr>
          <w:b/>
          <w:bCs/>
          <w:i/>
          <w:iCs/>
          <w:lang w:val="fr-FR"/>
        </w:rPr>
        <w:t>ces éléments de fixation doivent être protégés par une soudure ou remplis de résine époxyde ou d’une substance similaire</w:t>
      </w:r>
      <w:r w:rsidRPr="00531110">
        <w:rPr>
          <w:i/>
          <w:iCs/>
          <w:lang w:val="fr-FR"/>
        </w:rPr>
        <w:t>.</w:t>
      </w:r>
    </w:p>
    <w:p w14:paraId="1900A866" w14:textId="77777777" w:rsidR="00A03695" w:rsidRPr="00531110" w:rsidRDefault="00A03695" w:rsidP="006604E3">
      <w:pPr>
        <w:pStyle w:val="SingleTxtG"/>
        <w:ind w:left="1701" w:hanging="567"/>
        <w:rPr>
          <w:i/>
          <w:iCs/>
        </w:rPr>
      </w:pPr>
      <w:r w:rsidRPr="00531110">
        <w:rPr>
          <w:i/>
          <w:iCs/>
        </w:rPr>
        <w:t>7.</w:t>
      </w:r>
      <w:r w:rsidRPr="00531110">
        <w:rPr>
          <w:i/>
          <w:iCs/>
        </w:rPr>
        <w:tab/>
      </w:r>
      <w:r w:rsidRPr="00531110">
        <w:rPr>
          <w:i/>
          <w:iCs/>
          <w:lang w:val="fr-FR"/>
        </w:rPr>
        <w:t xml:space="preserve">Les </w:t>
      </w:r>
      <w:r w:rsidRPr="00531110">
        <w:rPr>
          <w:b/>
          <w:bCs/>
          <w:i/>
          <w:iCs/>
          <w:lang w:val="fr-FR"/>
        </w:rPr>
        <w:t>chicanes</w:t>
      </w:r>
      <w:r w:rsidRPr="00531110">
        <w:rPr>
          <w:i/>
          <w:iCs/>
          <w:lang w:val="fr-FR"/>
        </w:rPr>
        <w:t xml:space="preserve"> ne doivent jamais être fixées au reste du silencieux au moyen d’</w:t>
      </w:r>
      <w:r w:rsidRPr="00531110">
        <w:rPr>
          <w:b/>
          <w:bCs/>
          <w:i/>
          <w:iCs/>
          <w:lang w:val="fr-FR"/>
        </w:rPr>
        <w:t>anneaux d’arrêt (circlips)</w:t>
      </w:r>
      <w:r w:rsidRPr="00531110">
        <w:rPr>
          <w:i/>
          <w:iCs/>
          <w:lang w:val="fr-FR"/>
        </w:rPr>
        <w:t xml:space="preserve"> ou d’éléments de fixation similaires, qui ne seraient pas considérés comme une méthode de fixation inviolable.</w:t>
      </w:r>
    </w:p>
    <w:p w14:paraId="12481B2F" w14:textId="4228DDB1" w:rsidR="00A03695" w:rsidRPr="005D4C9E" w:rsidRDefault="005D4C9E" w:rsidP="005D4C9E">
      <w:pPr>
        <w:pStyle w:val="H1G"/>
        <w:rPr>
          <w:b w:val="0"/>
          <w:bCs/>
        </w:rPr>
      </w:pPr>
      <w:r w:rsidRPr="005D4C9E">
        <w:rPr>
          <w:b w:val="0"/>
          <w:bCs/>
        </w:rPr>
        <w:tab/>
        <w:t>C.</w:t>
      </w:r>
      <w:r w:rsidRPr="005D4C9E">
        <w:rPr>
          <w:b w:val="0"/>
          <w:bCs/>
        </w:rPr>
        <w:tab/>
        <w:t>Dégâts irr</w:t>
      </w:r>
      <w:r>
        <w:rPr>
          <w:b w:val="0"/>
          <w:bCs/>
        </w:rPr>
        <w:t>é</w:t>
      </w:r>
      <w:r w:rsidRPr="005D4C9E">
        <w:rPr>
          <w:b w:val="0"/>
          <w:bCs/>
        </w:rPr>
        <w:t>versibles</w:t>
      </w:r>
    </w:p>
    <w:p w14:paraId="11B7E01C" w14:textId="213BD13C" w:rsidR="00B640DC" w:rsidRDefault="00B640DC" w:rsidP="00B640DC">
      <w:pPr>
        <w:ind w:left="1134" w:right="1134"/>
        <w:rPr>
          <w:lang w:val="en-US"/>
        </w:rPr>
      </w:pPr>
      <w:r w:rsidRPr="00531110">
        <w:rPr>
          <w:noProof/>
          <w:lang w:val="en-US"/>
        </w:rPr>
        <mc:AlternateContent>
          <mc:Choice Requires="wps">
            <w:drawing>
              <wp:inline distT="0" distB="0" distL="0" distR="0" wp14:anchorId="0ED6B8E0" wp14:editId="1D62FB0E">
                <wp:extent cx="4680000" cy="668867"/>
                <wp:effectExtent l="0" t="0" r="25400" b="17145"/>
                <wp:docPr id="10" name="Rectangle 10"/>
                <wp:cNvGraphicFramePr/>
                <a:graphic xmlns:a="http://schemas.openxmlformats.org/drawingml/2006/main">
                  <a:graphicData uri="http://schemas.microsoft.com/office/word/2010/wordprocessingShape">
                    <wps:wsp>
                      <wps:cNvSpPr/>
                      <wps:spPr>
                        <a:xfrm>
                          <a:off x="0" y="0"/>
                          <a:ext cx="4680000" cy="668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CC7DB" w14:textId="639CF818" w:rsidR="00B640DC" w:rsidRPr="00365237" w:rsidRDefault="00B640DC" w:rsidP="00B640DC">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E0152C">
                              <w:rPr>
                                <w:rFonts w:ascii="Times New Roman" w:hAnsi="Times New Roman"/>
                                <w:sz w:val="20"/>
                                <w:szCs w:val="20"/>
                                <w:lang w:val="fr-FR"/>
                              </w:rPr>
                              <w:t xml:space="preserve">(...) et que </w:t>
                            </w:r>
                            <w:r w:rsidRPr="00E0152C">
                              <w:rPr>
                                <w:rFonts w:ascii="Times New Roman" w:hAnsi="Times New Roman"/>
                                <w:sz w:val="20"/>
                                <w:szCs w:val="20"/>
                                <w:u w:val="single"/>
                                <w:lang w:val="fr-FR"/>
                              </w:rPr>
                              <w:t>leur retrait causerait des dégâts irréversibles</w:t>
                            </w:r>
                            <w:r w:rsidRPr="00E0152C">
                              <w:rPr>
                                <w:rFonts w:ascii="Times New Roman" w:hAnsi="Times New Roman"/>
                                <w:sz w:val="20"/>
                                <w:szCs w:val="20"/>
                                <w:lang w:val="fr-FR"/>
                              </w:rPr>
                              <w:t xml:space="preserve"> pour l’ensemble.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6B8E0" id="Rectangle 10" o:spid="_x0000_s1029" style="width:368.5pt;height:5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" filled="f" strokecolor="black [3213]" strokeweight="1pt">
                <v:textbox>
                  <w:txbxContent>
                    <w:p w14:paraId="0D6CC7DB" w14:textId="639CF818" w:rsidR="00B640DC" w:rsidRPr="00365237" w:rsidRDefault="00B640DC" w:rsidP="00B640DC">
                      <w:pPr>
                        <w:pStyle w:val="Sansinterligne"/>
                        <w:shd w:val="clear" w:color="auto" w:fill="FFFFFF" w:themeFill="background1"/>
                        <w:spacing w:after="80" w:line="240" w:lineRule="atLeast"/>
                        <w:ind w:left="1134"/>
                        <w:jc w:val="both"/>
                        <w:rPr>
                          <w:rFonts w:ascii="Times New Roman" w:hAnsi="Times New Roman"/>
                          <w:color w:val="000000" w:themeColor="text1"/>
                          <w:sz w:val="18"/>
                          <w:szCs w:val="18"/>
                        </w:rPr>
                      </w:pPr>
                      <w:r w:rsidRPr="00E0152C">
                        <w:rPr>
                          <w:rFonts w:ascii="Times New Roman" w:hAnsi="Times New Roman"/>
                          <w:sz w:val="20"/>
                          <w:szCs w:val="20"/>
                          <w:lang w:val="fr-FR"/>
                        </w:rPr>
                        <w:t xml:space="preserve">(...) et que </w:t>
                      </w:r>
                      <w:r w:rsidRPr="00E0152C">
                        <w:rPr>
                          <w:rFonts w:ascii="Times New Roman" w:hAnsi="Times New Roman"/>
                          <w:sz w:val="20"/>
                          <w:szCs w:val="20"/>
                          <w:u w:val="single"/>
                          <w:lang w:val="fr-FR"/>
                        </w:rPr>
                        <w:t>leur retrait causerait des dégâts irréversibles</w:t>
                      </w:r>
                      <w:r w:rsidRPr="00E0152C">
                        <w:rPr>
                          <w:rFonts w:ascii="Times New Roman" w:hAnsi="Times New Roman"/>
                          <w:sz w:val="20"/>
                          <w:szCs w:val="20"/>
                          <w:lang w:val="fr-FR"/>
                        </w:rPr>
                        <w:t xml:space="preserve"> pour l’ensemble.</w:t>
                      </w:r>
                    </w:p>
                  </w:txbxContent>
                </v:textbox>
                <w10:anchorlock/>
              </v:rect>
            </w:pict>
          </mc:Fallback>
        </mc:AlternateContent>
      </w:r>
    </w:p>
    <w:p w14:paraId="3B4AEB62" w14:textId="77777777" w:rsidR="00B640DC" w:rsidRPr="00B640DC" w:rsidRDefault="00B640DC" w:rsidP="00B640DC">
      <w:pPr>
        <w:rPr>
          <w:lang w:val="en-US"/>
        </w:rPr>
      </w:pPr>
    </w:p>
    <w:p w14:paraId="73479198" w14:textId="77777777" w:rsidR="00A03695" w:rsidRPr="00531110" w:rsidRDefault="00A03695" w:rsidP="006604E3">
      <w:pPr>
        <w:pStyle w:val="SingleTxtG"/>
        <w:ind w:left="1701" w:hanging="567"/>
        <w:rPr>
          <w:i/>
          <w:iCs/>
        </w:rPr>
      </w:pPr>
      <w:r w:rsidRPr="00531110">
        <w:rPr>
          <w:i/>
          <w:iCs/>
        </w:rPr>
        <w:t>8.</w:t>
      </w:r>
      <w:r w:rsidRPr="00531110">
        <w:rPr>
          <w:i/>
          <w:iCs/>
        </w:rPr>
        <w:tab/>
      </w:r>
      <w:r w:rsidRPr="00531110">
        <w:rPr>
          <w:i/>
          <w:iCs/>
          <w:lang w:val="fr-FR"/>
        </w:rPr>
        <w:t>Par « retrait », on entend le résultat de l’utilisation de moyens mécaniques autres que des outils classiques faciles à trouver et bon marché, tels qu’un marteau, un tournevis ou une pince.</w:t>
      </w:r>
    </w:p>
    <w:p w14:paraId="42EBE67E" w14:textId="28443BC2" w:rsidR="00F9573C" w:rsidRDefault="00A03695" w:rsidP="006604E3">
      <w:pPr>
        <w:pStyle w:val="SingleTxtG"/>
        <w:ind w:left="1701" w:hanging="567"/>
        <w:rPr>
          <w:i/>
          <w:iCs/>
          <w:lang w:val="fr-FR"/>
        </w:rPr>
      </w:pPr>
      <w:r w:rsidRPr="00531110">
        <w:t>9.</w:t>
      </w:r>
      <w:r w:rsidRPr="00531110">
        <w:tab/>
      </w:r>
      <w:r w:rsidRPr="00531110">
        <w:rPr>
          <w:i/>
          <w:iCs/>
          <w:lang w:val="fr-FR"/>
        </w:rPr>
        <w:t>Par « dégâts irréversibles », on entend à la fois des dégâts esthétiques au produit et des dégâts empêchant de remonter les pièces enlevées.</w:t>
      </w:r>
    </w:p>
    <w:p w14:paraId="5CB5535F" w14:textId="11EB3410" w:rsidR="00041F91" w:rsidRPr="00041F91" w:rsidRDefault="00041F91" w:rsidP="00041F91">
      <w:pPr>
        <w:pStyle w:val="SingleTxtG"/>
        <w:spacing w:before="240" w:after="0"/>
        <w:jc w:val="center"/>
        <w:rPr>
          <w:u w:val="single"/>
        </w:rPr>
      </w:pPr>
      <w:r>
        <w:rPr>
          <w:u w:val="single"/>
        </w:rPr>
        <w:tab/>
      </w:r>
      <w:r>
        <w:rPr>
          <w:u w:val="single"/>
        </w:rPr>
        <w:tab/>
      </w:r>
      <w:r>
        <w:rPr>
          <w:u w:val="single"/>
        </w:rPr>
        <w:tab/>
      </w:r>
      <w:r>
        <w:rPr>
          <w:u w:val="single"/>
        </w:rPr>
        <w:tab/>
      </w:r>
    </w:p>
    <w:sectPr w:rsidR="00041F91" w:rsidRPr="00041F91" w:rsidSect="003448E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E324" w14:textId="77777777" w:rsidR="00B96198" w:rsidRDefault="00B96198" w:rsidP="00F95C08">
      <w:pPr>
        <w:spacing w:line="240" w:lineRule="auto"/>
      </w:pPr>
    </w:p>
  </w:endnote>
  <w:endnote w:type="continuationSeparator" w:id="0">
    <w:p w14:paraId="1BA558F0" w14:textId="77777777" w:rsidR="00B96198" w:rsidRPr="00AC3823" w:rsidRDefault="00B96198" w:rsidP="00AC3823">
      <w:pPr>
        <w:pStyle w:val="Pieddepage"/>
      </w:pPr>
    </w:p>
  </w:endnote>
  <w:endnote w:type="continuationNotice" w:id="1">
    <w:p w14:paraId="2483BDCD" w14:textId="77777777" w:rsidR="00B96198" w:rsidRDefault="00B96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2772" w14:textId="0ECF7D10" w:rsidR="003448E7" w:rsidRPr="003448E7" w:rsidRDefault="003448E7" w:rsidP="003448E7">
    <w:pPr>
      <w:pStyle w:val="Pieddepage"/>
      <w:tabs>
        <w:tab w:val="right" w:pos="9638"/>
      </w:tabs>
    </w:pPr>
    <w:r w:rsidRPr="003448E7">
      <w:rPr>
        <w:b/>
        <w:sz w:val="18"/>
      </w:rPr>
      <w:fldChar w:fldCharType="begin"/>
    </w:r>
    <w:r w:rsidRPr="003448E7">
      <w:rPr>
        <w:b/>
        <w:sz w:val="18"/>
      </w:rPr>
      <w:instrText xml:space="preserve"> PAGE  \* MERGEFORMAT </w:instrText>
    </w:r>
    <w:r w:rsidRPr="003448E7">
      <w:rPr>
        <w:b/>
        <w:sz w:val="18"/>
      </w:rPr>
      <w:fldChar w:fldCharType="separate"/>
    </w:r>
    <w:r w:rsidRPr="003448E7">
      <w:rPr>
        <w:b/>
        <w:noProof/>
        <w:sz w:val="18"/>
      </w:rPr>
      <w:t>2</w:t>
    </w:r>
    <w:r w:rsidRPr="003448E7">
      <w:rPr>
        <w:b/>
        <w:sz w:val="18"/>
      </w:rPr>
      <w:fldChar w:fldCharType="end"/>
    </w:r>
    <w:r>
      <w:rPr>
        <w:b/>
        <w:sz w:val="18"/>
      </w:rPr>
      <w:tab/>
    </w:r>
    <w:r>
      <w:t>GE.23-11509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D57" w14:textId="680BDFB1" w:rsidR="003448E7" w:rsidRPr="003448E7" w:rsidRDefault="003448E7" w:rsidP="003448E7">
    <w:pPr>
      <w:pStyle w:val="Pieddepage"/>
      <w:tabs>
        <w:tab w:val="right" w:pos="9638"/>
      </w:tabs>
      <w:rPr>
        <w:b/>
        <w:sz w:val="18"/>
      </w:rPr>
    </w:pPr>
    <w:r>
      <w:t>GE.23-11509</w:t>
    </w:r>
    <w:r>
      <w:tab/>
    </w:r>
    <w:r w:rsidRPr="003448E7">
      <w:rPr>
        <w:b/>
        <w:sz w:val="18"/>
      </w:rPr>
      <w:fldChar w:fldCharType="begin"/>
    </w:r>
    <w:r w:rsidRPr="003448E7">
      <w:rPr>
        <w:b/>
        <w:sz w:val="18"/>
      </w:rPr>
      <w:instrText xml:space="preserve"> PAGE  \* MERGEFORMAT </w:instrText>
    </w:r>
    <w:r w:rsidRPr="003448E7">
      <w:rPr>
        <w:b/>
        <w:sz w:val="18"/>
      </w:rPr>
      <w:fldChar w:fldCharType="separate"/>
    </w:r>
    <w:r w:rsidRPr="003448E7">
      <w:rPr>
        <w:b/>
        <w:noProof/>
        <w:sz w:val="18"/>
      </w:rPr>
      <w:t>3</w:t>
    </w:r>
    <w:r w:rsidRPr="003448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B4E2" w14:textId="756C54A2" w:rsidR="007F20FA" w:rsidRPr="003448E7" w:rsidRDefault="003448E7" w:rsidP="003448E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56BDDB" wp14:editId="49A3A6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23-11509  (F)</w:t>
    </w:r>
    <w:r>
      <w:rPr>
        <w:noProof/>
        <w:sz w:val="20"/>
      </w:rPr>
      <w:drawing>
        <wp:anchor distT="0" distB="0" distL="114300" distR="114300" simplePos="0" relativeHeight="251660288" behindDoc="0" locked="0" layoutInCell="1" allowOverlap="1" wp14:anchorId="3C523778" wp14:editId="447E888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100723    100723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F121" w14:textId="77777777" w:rsidR="00B96198" w:rsidRPr="00AC3823" w:rsidRDefault="00B96198" w:rsidP="00AC3823">
      <w:pPr>
        <w:pStyle w:val="Pieddepage"/>
        <w:tabs>
          <w:tab w:val="right" w:pos="2155"/>
        </w:tabs>
        <w:spacing w:after="80" w:line="240" w:lineRule="atLeast"/>
        <w:ind w:left="680"/>
        <w:rPr>
          <w:u w:val="single"/>
        </w:rPr>
      </w:pPr>
      <w:r>
        <w:rPr>
          <w:u w:val="single"/>
        </w:rPr>
        <w:tab/>
      </w:r>
    </w:p>
  </w:footnote>
  <w:footnote w:type="continuationSeparator" w:id="0">
    <w:p w14:paraId="5AD4E9BB" w14:textId="77777777" w:rsidR="00B96198" w:rsidRPr="00AC3823" w:rsidRDefault="00B96198" w:rsidP="00AC3823">
      <w:pPr>
        <w:pStyle w:val="Pieddepage"/>
        <w:tabs>
          <w:tab w:val="right" w:pos="2155"/>
        </w:tabs>
        <w:spacing w:after="80" w:line="240" w:lineRule="atLeast"/>
        <w:ind w:left="680"/>
        <w:rPr>
          <w:u w:val="single"/>
        </w:rPr>
      </w:pPr>
      <w:r>
        <w:rPr>
          <w:u w:val="single"/>
        </w:rPr>
        <w:tab/>
      </w:r>
    </w:p>
  </w:footnote>
  <w:footnote w:type="continuationNotice" w:id="1">
    <w:p w14:paraId="65D408FE" w14:textId="77777777" w:rsidR="00B96198" w:rsidRPr="00AC3823" w:rsidRDefault="00B96198">
      <w:pPr>
        <w:spacing w:line="240" w:lineRule="auto"/>
        <w:rPr>
          <w:sz w:val="2"/>
          <w:szCs w:val="2"/>
        </w:rPr>
      </w:pPr>
    </w:p>
  </w:footnote>
  <w:footnote w:id="2">
    <w:p w14:paraId="6F66EB02" w14:textId="77777777" w:rsidR="00A03695" w:rsidRPr="0098219D" w:rsidRDefault="00A03695" w:rsidP="00A03695">
      <w:pPr>
        <w:pStyle w:val="Notedebasdepage"/>
      </w:pPr>
      <w:r>
        <w:rPr>
          <w:lang w:val="fr-FR"/>
        </w:rPr>
        <w:tab/>
      </w:r>
      <w:r w:rsidRPr="00A03695">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5A52A6AF" w14:textId="77777777" w:rsidR="00A03695" w:rsidRPr="00B82420" w:rsidRDefault="00A03695" w:rsidP="00A03695">
      <w:pPr>
        <w:pStyle w:val="Notedebasdepage"/>
      </w:pPr>
      <w:r>
        <w:rPr>
          <w:lang w:val="fr-FR"/>
        </w:rPr>
        <w:tab/>
      </w:r>
      <w:r w:rsidRPr="00531110">
        <w:rPr>
          <w:rStyle w:val="Appelnotedebasdep"/>
        </w:rPr>
        <w:footnoteRef/>
      </w:r>
      <w:r>
        <w:rPr>
          <w:lang w:val="fr-FR"/>
        </w:rPr>
        <w:t xml:space="preserve"> </w:t>
      </w:r>
      <w:r>
        <w:rPr>
          <w:lang w:val="fr-FR"/>
        </w:rPr>
        <w:tab/>
        <w:t>Remarque : le texte officiel du paragraphe 6.3.1 du Règlement ONU n</w:t>
      </w:r>
      <w:r>
        <w:rPr>
          <w:vertAlign w:val="superscript"/>
          <w:lang w:val="fr-FR"/>
        </w:rPr>
        <w:t>o</w:t>
      </w:r>
      <w:r>
        <w:rPr>
          <w:lang w:val="fr-FR"/>
        </w:rPr>
        <w:t xml:space="preserve"> 92 figure dans les encadrés. L’interprétation est présentée en caractères italiques.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C492" w14:textId="4B5EA4BC" w:rsidR="003448E7" w:rsidRPr="003448E7" w:rsidRDefault="003448E7">
    <w:pPr>
      <w:pStyle w:val="En-tte"/>
    </w:pPr>
    <w:fldSimple w:instr=" TITLE  \* MERGEFORMAT ">
      <w:r>
        <w:t>ECE/TRANS/WP.29/GRBP/2023/17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930B" w14:textId="12092756" w:rsidR="003448E7" w:rsidRPr="003448E7" w:rsidRDefault="003448E7" w:rsidP="003448E7">
    <w:pPr>
      <w:pStyle w:val="En-tte"/>
      <w:jc w:val="right"/>
    </w:pPr>
    <w:fldSimple w:instr=" TITLE  \* MERGEFORMAT ">
      <w:r>
        <w:t>ECE/TRANS/WP.29/GRBP/2023/17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01793591">
    <w:abstractNumId w:val="12"/>
  </w:num>
  <w:num w:numId="2" w16cid:durableId="1720662485">
    <w:abstractNumId w:val="11"/>
  </w:num>
  <w:num w:numId="3" w16cid:durableId="373194473">
    <w:abstractNumId w:val="10"/>
  </w:num>
  <w:num w:numId="4" w16cid:durableId="1677876487">
    <w:abstractNumId w:val="8"/>
  </w:num>
  <w:num w:numId="5" w16cid:durableId="2040619696">
    <w:abstractNumId w:val="3"/>
  </w:num>
  <w:num w:numId="6" w16cid:durableId="523835388">
    <w:abstractNumId w:val="2"/>
  </w:num>
  <w:num w:numId="7" w16cid:durableId="899829285">
    <w:abstractNumId w:val="1"/>
  </w:num>
  <w:num w:numId="8" w16cid:durableId="1987052577">
    <w:abstractNumId w:val="0"/>
  </w:num>
  <w:num w:numId="9" w16cid:durableId="40252025">
    <w:abstractNumId w:val="9"/>
  </w:num>
  <w:num w:numId="10" w16cid:durableId="982395994">
    <w:abstractNumId w:val="7"/>
  </w:num>
  <w:num w:numId="11" w16cid:durableId="394007579">
    <w:abstractNumId w:val="6"/>
  </w:num>
  <w:num w:numId="12" w16cid:durableId="1246652062">
    <w:abstractNumId w:val="5"/>
  </w:num>
  <w:num w:numId="13" w16cid:durableId="1463693439">
    <w:abstractNumId w:val="4"/>
  </w:num>
  <w:num w:numId="14" w16cid:durableId="1954706987">
    <w:abstractNumId w:val="12"/>
  </w:num>
  <w:num w:numId="15" w16cid:durableId="1232810205">
    <w:abstractNumId w:val="11"/>
  </w:num>
  <w:num w:numId="16" w16cid:durableId="1524977784">
    <w:abstractNumId w:val="10"/>
  </w:num>
  <w:num w:numId="17" w16cid:durableId="1355499496">
    <w:abstractNumId w:val="12"/>
  </w:num>
  <w:num w:numId="18" w16cid:durableId="474951708">
    <w:abstractNumId w:val="12"/>
  </w:num>
  <w:num w:numId="19" w16cid:durableId="1981955818">
    <w:abstractNumId w:val="12"/>
  </w:num>
  <w:num w:numId="20" w16cid:durableId="719793414">
    <w:abstractNumId w:val="12"/>
  </w:num>
  <w:num w:numId="21" w16cid:durableId="1677731600">
    <w:abstractNumId w:val="12"/>
  </w:num>
  <w:num w:numId="22" w16cid:durableId="760295879">
    <w:abstractNumId w:val="12"/>
  </w:num>
  <w:num w:numId="23" w16cid:durableId="1939479981">
    <w:abstractNumId w:val="12"/>
  </w:num>
  <w:num w:numId="24" w16cid:durableId="595291596">
    <w:abstractNumId w:val="11"/>
  </w:num>
  <w:num w:numId="25" w16cid:durableId="2015497847">
    <w:abstractNumId w:val="11"/>
  </w:num>
  <w:num w:numId="26" w16cid:durableId="482234704">
    <w:abstractNumId w:val="11"/>
  </w:num>
  <w:num w:numId="27" w16cid:durableId="140076908">
    <w:abstractNumId w:val="11"/>
  </w:num>
  <w:num w:numId="28" w16cid:durableId="533687827">
    <w:abstractNumId w:val="12"/>
  </w:num>
  <w:num w:numId="29" w16cid:durableId="163399781">
    <w:abstractNumId w:val="12"/>
  </w:num>
  <w:num w:numId="30" w16cid:durableId="174081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98"/>
    <w:rsid w:val="00017F94"/>
    <w:rsid w:val="00020554"/>
    <w:rsid w:val="00023842"/>
    <w:rsid w:val="000334F9"/>
    <w:rsid w:val="00041F91"/>
    <w:rsid w:val="00045FEB"/>
    <w:rsid w:val="0007796D"/>
    <w:rsid w:val="000B7790"/>
    <w:rsid w:val="00111F2F"/>
    <w:rsid w:val="0014365E"/>
    <w:rsid w:val="00143C66"/>
    <w:rsid w:val="00176178"/>
    <w:rsid w:val="001F525A"/>
    <w:rsid w:val="00201148"/>
    <w:rsid w:val="0021170E"/>
    <w:rsid w:val="00223272"/>
    <w:rsid w:val="0024779E"/>
    <w:rsid w:val="00252D39"/>
    <w:rsid w:val="00257168"/>
    <w:rsid w:val="0026205F"/>
    <w:rsid w:val="002744B8"/>
    <w:rsid w:val="00274A82"/>
    <w:rsid w:val="002832AC"/>
    <w:rsid w:val="002D7C93"/>
    <w:rsid w:val="002E6314"/>
    <w:rsid w:val="00305801"/>
    <w:rsid w:val="003448E7"/>
    <w:rsid w:val="00366FED"/>
    <w:rsid w:val="003916DE"/>
    <w:rsid w:val="003C24E7"/>
    <w:rsid w:val="00421996"/>
    <w:rsid w:val="00441C3B"/>
    <w:rsid w:val="00446FE5"/>
    <w:rsid w:val="00452396"/>
    <w:rsid w:val="00477EB2"/>
    <w:rsid w:val="004837D8"/>
    <w:rsid w:val="00486249"/>
    <w:rsid w:val="004E2EED"/>
    <w:rsid w:val="004E468C"/>
    <w:rsid w:val="004E7D10"/>
    <w:rsid w:val="0053395E"/>
    <w:rsid w:val="005505B7"/>
    <w:rsid w:val="00573BE5"/>
    <w:rsid w:val="00586ED3"/>
    <w:rsid w:val="00596AA9"/>
    <w:rsid w:val="005D4C9E"/>
    <w:rsid w:val="00601160"/>
    <w:rsid w:val="00611919"/>
    <w:rsid w:val="006530EA"/>
    <w:rsid w:val="006604E3"/>
    <w:rsid w:val="0071601D"/>
    <w:rsid w:val="007416B6"/>
    <w:rsid w:val="007A62E6"/>
    <w:rsid w:val="007F20FA"/>
    <w:rsid w:val="0080684C"/>
    <w:rsid w:val="00871C75"/>
    <w:rsid w:val="008776DC"/>
    <w:rsid w:val="008D5EF9"/>
    <w:rsid w:val="009446C0"/>
    <w:rsid w:val="0094744A"/>
    <w:rsid w:val="009705C8"/>
    <w:rsid w:val="009C1CF4"/>
    <w:rsid w:val="009F6B74"/>
    <w:rsid w:val="00A03695"/>
    <w:rsid w:val="00A147A6"/>
    <w:rsid w:val="00A3029F"/>
    <w:rsid w:val="00A30353"/>
    <w:rsid w:val="00A37F81"/>
    <w:rsid w:val="00AB2BD3"/>
    <w:rsid w:val="00AC3823"/>
    <w:rsid w:val="00AE323C"/>
    <w:rsid w:val="00AE5293"/>
    <w:rsid w:val="00AF0CB5"/>
    <w:rsid w:val="00B00181"/>
    <w:rsid w:val="00B00B0D"/>
    <w:rsid w:val="00B45F2E"/>
    <w:rsid w:val="00B640DC"/>
    <w:rsid w:val="00B765F7"/>
    <w:rsid w:val="00B77993"/>
    <w:rsid w:val="00B96198"/>
    <w:rsid w:val="00BA0CA9"/>
    <w:rsid w:val="00BD6FD5"/>
    <w:rsid w:val="00C02897"/>
    <w:rsid w:val="00C97039"/>
    <w:rsid w:val="00D3439C"/>
    <w:rsid w:val="00D751A6"/>
    <w:rsid w:val="00D7622E"/>
    <w:rsid w:val="00DB1831"/>
    <w:rsid w:val="00DD3BFD"/>
    <w:rsid w:val="00DF6678"/>
    <w:rsid w:val="00E0299A"/>
    <w:rsid w:val="00E218B7"/>
    <w:rsid w:val="00E85C74"/>
    <w:rsid w:val="00EA6547"/>
    <w:rsid w:val="00ED7237"/>
    <w:rsid w:val="00EF2E22"/>
    <w:rsid w:val="00F35BAF"/>
    <w:rsid w:val="00F37B0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C14B7"/>
  <w15:docId w15:val="{DC3556EE-48B5-4A07-A760-4A4A0E3B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03695"/>
    <w:rPr>
      <w:rFonts w:ascii="Times New Roman" w:eastAsiaTheme="minorHAnsi" w:hAnsi="Times New Roman" w:cs="Times New Roman"/>
      <w:sz w:val="20"/>
      <w:szCs w:val="20"/>
      <w:lang w:eastAsia="en-US"/>
    </w:rPr>
  </w:style>
  <w:style w:type="character" w:customStyle="1" w:styleId="H1GChar">
    <w:name w:val="_ H_1_G Char"/>
    <w:link w:val="H1G"/>
    <w:rsid w:val="00A03695"/>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A03695"/>
    <w:pPr>
      <w:ind w:left="720"/>
      <w:contextualSpacing/>
    </w:pPr>
  </w:style>
  <w:style w:type="paragraph" w:styleId="Sansinterligne">
    <w:name w:val="No Spacing"/>
    <w:uiPriority w:val="1"/>
    <w:qFormat/>
    <w:rsid w:val="00A03695"/>
    <w:pPr>
      <w:spacing w:after="0" w:line="240" w:lineRule="auto"/>
    </w:pPr>
    <w:rPr>
      <w:rFonts w:ascii="Calibri" w:eastAsia="Calibri" w:hAnsi="Calibri" w:cs="Times New Roman"/>
      <w:lang w:val="bg-BG" w:eastAsia="en-US"/>
    </w:rPr>
  </w:style>
  <w:style w:type="paragraph" w:styleId="Rvision">
    <w:name w:val="Revision"/>
    <w:hidden/>
    <w:uiPriority w:val="99"/>
    <w:semiHidden/>
    <w:rsid w:val="0048624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1E6C9-4ACC-4553-BA1C-03B8A6527582}"/>
</file>

<file path=customXml/itemProps2.xml><?xml version="1.0" encoding="utf-8"?>
<ds:datastoreItem xmlns:ds="http://schemas.openxmlformats.org/officeDocument/2006/customXml" ds:itemID="{21DEB425-1A3C-4070-B1A8-B33860B43BBC}"/>
</file>

<file path=docProps/app.xml><?xml version="1.0" encoding="utf-8"?>
<Properties xmlns="http://schemas.openxmlformats.org/officeDocument/2006/extended-properties" xmlns:vt="http://schemas.openxmlformats.org/officeDocument/2006/docPropsVTypes">
  <Template>ECE_TRANS.dotm</Template>
  <TotalTime>0</TotalTime>
  <Pages>4</Pages>
  <Words>876</Words>
  <Characters>6132</Characters>
  <Application>Microsoft Office Word</Application>
  <DocSecurity>0</DocSecurity>
  <Lines>511</Lines>
  <Paragraphs>280</Paragraphs>
  <ScaleCrop>false</ScaleCrop>
  <HeadingPairs>
    <vt:vector size="2" baseType="variant">
      <vt:variant>
        <vt:lpstr>Titre</vt:lpstr>
      </vt:variant>
      <vt:variant>
        <vt:i4>1</vt:i4>
      </vt:variant>
    </vt:vector>
  </HeadingPairs>
  <TitlesOfParts>
    <vt:vector size="1" baseType="lpstr">
      <vt:lpstr>ECE/TRANS/WP.29/GRBP/2023/17</vt:lpstr>
    </vt:vector>
  </TitlesOfParts>
  <Company>DCM</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ECE/TRANS/WP.29/GRBP/2023/17</dc:title>
  <dc:subject/>
  <dc:creator>Nathalie VITTOZ</dc:creator>
  <cp:keywords/>
  <cp:lastModifiedBy>Nathalie Vittoz</cp:lastModifiedBy>
  <cp:revision>2</cp:revision>
  <cp:lastPrinted>2014-05-14T10:59:00Z</cp:lastPrinted>
  <dcterms:created xsi:type="dcterms:W3CDTF">2023-07-10T14:39:00Z</dcterms:created>
  <dcterms:modified xsi:type="dcterms:W3CDTF">2023-07-10T14:39:00Z</dcterms:modified>
</cp:coreProperties>
</file>