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ACF8E7" w14:textId="77777777" w:rsidTr="00B20551">
        <w:trPr>
          <w:cantSplit/>
          <w:trHeight w:hRule="exact" w:val="851"/>
        </w:trPr>
        <w:tc>
          <w:tcPr>
            <w:tcW w:w="1276" w:type="dxa"/>
            <w:tcBorders>
              <w:bottom w:val="single" w:sz="4" w:space="0" w:color="auto"/>
            </w:tcBorders>
            <w:vAlign w:val="bottom"/>
          </w:tcPr>
          <w:p w14:paraId="6CEBDF2D" w14:textId="77777777" w:rsidR="009E6CB7" w:rsidRDefault="009E6CB7" w:rsidP="00B20551">
            <w:pPr>
              <w:spacing w:after="80"/>
            </w:pPr>
          </w:p>
        </w:tc>
        <w:tc>
          <w:tcPr>
            <w:tcW w:w="2268" w:type="dxa"/>
            <w:tcBorders>
              <w:bottom w:val="single" w:sz="4" w:space="0" w:color="auto"/>
            </w:tcBorders>
            <w:vAlign w:val="bottom"/>
          </w:tcPr>
          <w:p w14:paraId="2FDDA10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778818" w14:textId="703D1BDC" w:rsidR="009E6CB7" w:rsidRPr="00D47EEA" w:rsidRDefault="00B444D2" w:rsidP="00B444D2">
            <w:pPr>
              <w:jc w:val="right"/>
            </w:pPr>
            <w:r w:rsidRPr="00B444D2">
              <w:rPr>
                <w:sz w:val="40"/>
              </w:rPr>
              <w:t>ECE</w:t>
            </w:r>
            <w:r>
              <w:t>/TRANS/WP.29/GRSG/2023/</w:t>
            </w:r>
            <w:r w:rsidR="00F22EA7">
              <w:t>2</w:t>
            </w:r>
            <w:r w:rsidR="00FF33F7">
              <w:t>2</w:t>
            </w:r>
          </w:p>
        </w:tc>
      </w:tr>
      <w:tr w:rsidR="009E6CB7" w14:paraId="0F3CBEA2" w14:textId="77777777" w:rsidTr="00B20551">
        <w:trPr>
          <w:cantSplit/>
          <w:trHeight w:hRule="exact" w:val="2835"/>
        </w:trPr>
        <w:tc>
          <w:tcPr>
            <w:tcW w:w="1276" w:type="dxa"/>
            <w:tcBorders>
              <w:top w:val="single" w:sz="4" w:space="0" w:color="auto"/>
              <w:bottom w:val="single" w:sz="12" w:space="0" w:color="auto"/>
            </w:tcBorders>
          </w:tcPr>
          <w:p w14:paraId="7ED59D3E" w14:textId="77777777" w:rsidR="009E6CB7" w:rsidRDefault="00686A48" w:rsidP="00B20551">
            <w:pPr>
              <w:spacing w:before="120"/>
            </w:pPr>
            <w:r>
              <w:rPr>
                <w:noProof/>
                <w:lang w:val="fr-CH" w:eastAsia="fr-CH"/>
              </w:rPr>
              <w:drawing>
                <wp:inline distT="0" distB="0" distL="0" distR="0" wp14:anchorId="05002F2D" wp14:editId="731E7C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FE3FD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319BEEC" w14:textId="77777777" w:rsidR="009E6CB7" w:rsidRDefault="00B444D2" w:rsidP="00B444D2">
            <w:pPr>
              <w:spacing w:before="240" w:line="240" w:lineRule="exact"/>
            </w:pPr>
            <w:r>
              <w:t>Distr.: General</w:t>
            </w:r>
          </w:p>
          <w:p w14:paraId="10F4CF37" w14:textId="78628EFD" w:rsidR="00B444D2" w:rsidRDefault="00B444D2" w:rsidP="00B444D2">
            <w:pPr>
              <w:spacing w:line="240" w:lineRule="exact"/>
            </w:pPr>
            <w:r>
              <w:t>1</w:t>
            </w:r>
            <w:r w:rsidR="00F01684">
              <w:t>9</w:t>
            </w:r>
            <w:r>
              <w:t xml:space="preserve"> July 2023</w:t>
            </w:r>
          </w:p>
          <w:p w14:paraId="0D04DD1C" w14:textId="77777777" w:rsidR="00B444D2" w:rsidRDefault="00B444D2" w:rsidP="00B444D2">
            <w:pPr>
              <w:spacing w:line="240" w:lineRule="exact"/>
            </w:pPr>
          </w:p>
          <w:p w14:paraId="2BE51AAA" w14:textId="0EA3274F" w:rsidR="00B444D2" w:rsidRDefault="00B444D2" w:rsidP="00B444D2">
            <w:pPr>
              <w:spacing w:line="240" w:lineRule="exact"/>
            </w:pPr>
            <w:r>
              <w:t>Original: English</w:t>
            </w:r>
          </w:p>
        </w:tc>
      </w:tr>
    </w:tbl>
    <w:p w14:paraId="3AFD5E1A" w14:textId="77777777" w:rsidR="00B444D2" w:rsidRPr="001D703D" w:rsidRDefault="00B444D2" w:rsidP="00B444D2">
      <w:pPr>
        <w:spacing w:before="120"/>
        <w:rPr>
          <w:b/>
          <w:sz w:val="28"/>
          <w:szCs w:val="28"/>
        </w:rPr>
      </w:pPr>
      <w:r w:rsidRPr="001D703D">
        <w:rPr>
          <w:b/>
          <w:sz w:val="28"/>
          <w:szCs w:val="28"/>
        </w:rPr>
        <w:t>Economic Commission for Europe</w:t>
      </w:r>
    </w:p>
    <w:p w14:paraId="250FE18A" w14:textId="77777777" w:rsidR="00B444D2" w:rsidRPr="001D703D" w:rsidRDefault="00B444D2" w:rsidP="00B444D2">
      <w:pPr>
        <w:spacing w:before="120"/>
        <w:rPr>
          <w:sz w:val="28"/>
          <w:szCs w:val="28"/>
        </w:rPr>
      </w:pPr>
      <w:r w:rsidRPr="001D703D">
        <w:rPr>
          <w:sz w:val="28"/>
          <w:szCs w:val="28"/>
        </w:rPr>
        <w:t>Inland Transport Committee</w:t>
      </w:r>
    </w:p>
    <w:p w14:paraId="6D4C39A8" w14:textId="77777777" w:rsidR="00B444D2" w:rsidRDefault="00B444D2" w:rsidP="00B444D2">
      <w:pPr>
        <w:spacing w:before="120"/>
        <w:rPr>
          <w:b/>
          <w:sz w:val="24"/>
          <w:szCs w:val="24"/>
        </w:rPr>
      </w:pPr>
      <w:r w:rsidRPr="001D703D">
        <w:rPr>
          <w:b/>
          <w:sz w:val="24"/>
          <w:szCs w:val="24"/>
        </w:rPr>
        <w:t>World Forum for Harmonization of Vehicle Regulations</w:t>
      </w:r>
    </w:p>
    <w:p w14:paraId="204CC9A9" w14:textId="77777777" w:rsidR="00B444D2" w:rsidRPr="00BD2999" w:rsidRDefault="00B444D2" w:rsidP="00B444D2">
      <w:pPr>
        <w:spacing w:before="120"/>
        <w:rPr>
          <w:b/>
        </w:rPr>
      </w:pPr>
      <w:r w:rsidRPr="00BD2999">
        <w:rPr>
          <w:b/>
        </w:rPr>
        <w:t>Working Party on General Safety Provisions</w:t>
      </w:r>
    </w:p>
    <w:p w14:paraId="3CE113F7" w14:textId="77777777" w:rsidR="00B444D2" w:rsidRPr="00B06A25" w:rsidRDefault="00B444D2" w:rsidP="00B444D2">
      <w:pPr>
        <w:tabs>
          <w:tab w:val="left" w:pos="7830"/>
        </w:tabs>
        <w:spacing w:before="120"/>
        <w:rPr>
          <w:b/>
          <w:lang w:val="en-US"/>
        </w:rPr>
      </w:pPr>
      <w:r w:rsidRPr="00B06A25">
        <w:rPr>
          <w:b/>
          <w:lang w:val="en-US"/>
        </w:rPr>
        <w:t>12</w:t>
      </w:r>
      <w:r>
        <w:rPr>
          <w:b/>
          <w:lang w:val="en-US"/>
        </w:rPr>
        <w:t>6</w:t>
      </w:r>
      <w:r w:rsidRPr="00B06A25">
        <w:rPr>
          <w:b/>
          <w:lang w:val="en-US"/>
        </w:rPr>
        <w:t>th session</w:t>
      </w:r>
      <w:r>
        <w:rPr>
          <w:b/>
          <w:lang w:val="en-US"/>
        </w:rPr>
        <w:tab/>
      </w:r>
    </w:p>
    <w:p w14:paraId="21C7ADB8" w14:textId="77777777" w:rsidR="00B444D2" w:rsidRPr="00875C80" w:rsidRDefault="00B444D2" w:rsidP="00B444D2">
      <w:pPr>
        <w:rPr>
          <w:lang w:val="en-US"/>
        </w:rPr>
      </w:pPr>
      <w:r w:rsidRPr="00875C80">
        <w:rPr>
          <w:lang w:val="en-US"/>
        </w:rPr>
        <w:t>Geneva, 1</w:t>
      </w:r>
      <w:r>
        <w:rPr>
          <w:lang w:val="en-US"/>
        </w:rPr>
        <w:t>0</w:t>
      </w:r>
      <w:r w:rsidRPr="00875C80">
        <w:rPr>
          <w:lang w:val="en-US"/>
        </w:rPr>
        <w:t>-1</w:t>
      </w:r>
      <w:r>
        <w:rPr>
          <w:lang w:val="en-US"/>
        </w:rPr>
        <w:t>3</w:t>
      </w:r>
      <w:r w:rsidRPr="00875C80">
        <w:rPr>
          <w:lang w:val="en-US"/>
        </w:rPr>
        <w:t xml:space="preserve"> October 202</w:t>
      </w:r>
      <w:r>
        <w:rPr>
          <w:lang w:val="en-US"/>
        </w:rPr>
        <w:t>3</w:t>
      </w:r>
    </w:p>
    <w:p w14:paraId="04602E29" w14:textId="05DE4BC4" w:rsidR="00B444D2" w:rsidRDefault="00B444D2" w:rsidP="00B444D2">
      <w:pPr>
        <w:rPr>
          <w:lang w:val="en-US"/>
        </w:rPr>
      </w:pPr>
      <w:r w:rsidRPr="00875C80">
        <w:rPr>
          <w:lang w:val="en-US"/>
        </w:rPr>
        <w:t xml:space="preserve">Item </w:t>
      </w:r>
      <w:r w:rsidR="00384D54">
        <w:rPr>
          <w:lang w:val="en-US"/>
        </w:rPr>
        <w:t>5</w:t>
      </w:r>
      <w:r w:rsidR="0036016D">
        <w:rPr>
          <w:lang w:val="en-US"/>
        </w:rPr>
        <w:t>(</w:t>
      </w:r>
      <w:r w:rsidR="00384D54">
        <w:rPr>
          <w:lang w:val="en-US"/>
        </w:rPr>
        <w:t>a</w:t>
      </w:r>
      <w:r w:rsidR="0036016D">
        <w:rPr>
          <w:lang w:val="en-US"/>
        </w:rPr>
        <w:t>)</w:t>
      </w:r>
      <w:r w:rsidRPr="00B06A25">
        <w:rPr>
          <w:color w:val="1F497D" w:themeColor="text2"/>
          <w:lang w:val="en-US"/>
        </w:rPr>
        <w:t xml:space="preserve"> </w:t>
      </w:r>
      <w:r>
        <w:rPr>
          <w:lang w:val="en-US"/>
        </w:rPr>
        <w:t>of the provisional agenda</w:t>
      </w:r>
    </w:p>
    <w:p w14:paraId="78D784DA" w14:textId="4C8F916E" w:rsidR="00B444D2" w:rsidRPr="00054D4A" w:rsidRDefault="00357159" w:rsidP="00B444D2">
      <w:pPr>
        <w:rPr>
          <w:b/>
          <w:bCs/>
          <w:lang w:val="en-US"/>
        </w:rPr>
      </w:pPr>
      <w:r w:rsidRPr="00AD1D76">
        <w:rPr>
          <w:b/>
          <w:bCs/>
        </w:rPr>
        <w:t>A</w:t>
      </w:r>
      <w:r w:rsidR="00F768C2">
        <w:rPr>
          <w:b/>
          <w:bCs/>
        </w:rPr>
        <w:t xml:space="preserve">mendments to External Projections </w:t>
      </w:r>
      <w:r w:rsidR="00B85A55">
        <w:rPr>
          <w:b/>
          <w:bCs/>
        </w:rPr>
        <w:t>R</w:t>
      </w:r>
      <w:r w:rsidR="00F768C2">
        <w:rPr>
          <w:b/>
          <w:bCs/>
        </w:rPr>
        <w:t>egulations</w:t>
      </w:r>
      <w:r w:rsidRPr="00AD1D76">
        <w:rPr>
          <w:b/>
          <w:bCs/>
        </w:rPr>
        <w:t>:</w:t>
      </w:r>
      <w:r>
        <w:rPr>
          <w:b/>
          <w:bCs/>
        </w:rPr>
        <w:br/>
      </w:r>
      <w:r w:rsidR="0006174E" w:rsidRPr="0006174E">
        <w:rPr>
          <w:b/>
          <w:bCs/>
          <w:lang w:val="en-US"/>
        </w:rPr>
        <w:t xml:space="preserve">UN Regulation No. </w:t>
      </w:r>
      <w:r w:rsidR="00B85A55">
        <w:rPr>
          <w:b/>
          <w:bCs/>
          <w:lang w:val="en-US"/>
        </w:rPr>
        <w:t>2</w:t>
      </w:r>
      <w:r w:rsidR="0006174E" w:rsidRPr="0006174E">
        <w:rPr>
          <w:b/>
          <w:bCs/>
          <w:lang w:val="en-US"/>
        </w:rPr>
        <w:t>6 (</w:t>
      </w:r>
      <w:r w:rsidR="00B85A55">
        <w:rPr>
          <w:b/>
          <w:bCs/>
          <w:lang w:val="en-US"/>
        </w:rPr>
        <w:t>External projections of passen</w:t>
      </w:r>
      <w:r w:rsidR="0055742E">
        <w:rPr>
          <w:b/>
          <w:bCs/>
          <w:lang w:val="en-US"/>
        </w:rPr>
        <w:t>ger cars</w:t>
      </w:r>
      <w:r w:rsidR="00B444D2" w:rsidRPr="00054D4A">
        <w:rPr>
          <w:b/>
          <w:bCs/>
          <w:lang w:val="en-US"/>
        </w:rPr>
        <w:t>)</w:t>
      </w:r>
    </w:p>
    <w:p w14:paraId="7F10949B" w14:textId="0D6FB7E6" w:rsidR="00B444D2" w:rsidRDefault="00B444D2" w:rsidP="00B444D2">
      <w:pPr>
        <w:pStyle w:val="HChG"/>
        <w:rPr>
          <w:szCs w:val="28"/>
        </w:rPr>
      </w:pPr>
      <w:r>
        <w:tab/>
      </w:r>
      <w:r>
        <w:tab/>
      </w:r>
      <w:r w:rsidRPr="006E0032">
        <w:t xml:space="preserve">Proposal for </w:t>
      </w:r>
      <w:r w:rsidR="0055742E">
        <w:t>the</w:t>
      </w:r>
      <w:r w:rsidR="0036016D">
        <w:t xml:space="preserve"> </w:t>
      </w:r>
      <w:r w:rsidR="0055742E">
        <w:t>05</w:t>
      </w:r>
      <w:r>
        <w:t xml:space="preserve"> </w:t>
      </w:r>
      <w:r w:rsidR="0055742E">
        <w:t>of amendments</w:t>
      </w:r>
      <w:r w:rsidR="0036016D">
        <w:rPr>
          <w:szCs w:val="28"/>
        </w:rPr>
        <w:t xml:space="preserve"> </w:t>
      </w:r>
      <w:r w:rsidR="0055742E">
        <w:rPr>
          <w:szCs w:val="28"/>
        </w:rPr>
        <w:t xml:space="preserve">to </w:t>
      </w:r>
      <w:r w:rsidRPr="0046358E">
        <w:rPr>
          <w:szCs w:val="28"/>
        </w:rPr>
        <w:t xml:space="preserve">UN </w:t>
      </w:r>
      <w:r w:rsidR="0006174E" w:rsidRPr="000357FD">
        <w:t xml:space="preserve">Regulation No. </w:t>
      </w:r>
      <w:r w:rsidR="0055742E">
        <w:t>26</w:t>
      </w:r>
      <w:r w:rsidR="0006174E" w:rsidRPr="000357FD">
        <w:t xml:space="preserve"> (</w:t>
      </w:r>
      <w:r w:rsidR="0055742E" w:rsidRPr="0055742E">
        <w:t>External projections of passenger cars</w:t>
      </w:r>
      <w:r>
        <w:rPr>
          <w:szCs w:val="28"/>
        </w:rPr>
        <w:t>)</w:t>
      </w:r>
    </w:p>
    <w:p w14:paraId="3A21F06D" w14:textId="3B20215A" w:rsidR="00B444D2" w:rsidRPr="008743EB" w:rsidRDefault="00854099" w:rsidP="00B444D2">
      <w:pPr>
        <w:pStyle w:val="H1G"/>
        <w:tabs>
          <w:tab w:val="clear" w:pos="851"/>
          <w:tab w:val="left" w:pos="8505"/>
        </w:tabs>
        <w:ind w:firstLine="0"/>
        <w:rPr>
          <w:vertAlign w:val="superscript"/>
        </w:rPr>
      </w:pPr>
      <w:r w:rsidRPr="00C96B95">
        <w:t xml:space="preserve">Submitted by the expert from Germany on behalf of the </w:t>
      </w:r>
      <w:bookmarkStart w:id="0" w:name="_Hlk140583054"/>
      <w:r w:rsidRPr="00C96B95">
        <w:t xml:space="preserve">Task Force </w:t>
      </w:r>
      <w:r w:rsidR="008F0804">
        <w:t>on UN Regulation No. 46</w:t>
      </w:r>
      <w:bookmarkEnd w:id="0"/>
      <w:r w:rsidR="00F01684" w:rsidRPr="00F371CA">
        <w:rPr>
          <w:sz w:val="20"/>
          <w:lang w:val="en-US"/>
        </w:rPr>
        <w:footnoteReference w:customMarkFollows="1" w:id="2"/>
        <w:t>*</w:t>
      </w:r>
      <w:r w:rsidR="00B444D2">
        <w:t xml:space="preserve"> </w:t>
      </w:r>
    </w:p>
    <w:p w14:paraId="431151A6" w14:textId="628CB23C" w:rsidR="00B444D2" w:rsidRDefault="00FD0BC2" w:rsidP="00467A8D">
      <w:pPr>
        <w:pStyle w:val="SingleTxtG"/>
        <w:ind w:left="1138" w:right="1138" w:firstLine="563"/>
      </w:pPr>
      <w:r w:rsidRPr="00C96B95">
        <w:t xml:space="preserve">The text reproduced below was prepared by the expert from </w:t>
      </w:r>
      <w:r w:rsidRPr="00556EEB">
        <w:t xml:space="preserve">Germany on behalf of the </w:t>
      </w:r>
      <w:r w:rsidR="00593695" w:rsidRPr="00593695">
        <w:t>Task Force on UN Regulation No. 46</w:t>
      </w:r>
      <w:r w:rsidR="00A51330">
        <w:t xml:space="preserve"> (</w:t>
      </w:r>
      <w:r w:rsidRPr="00556EEB">
        <w:t>TF UN-R 46</w:t>
      </w:r>
      <w:r w:rsidR="00A51330">
        <w:t>)</w:t>
      </w:r>
      <w:r>
        <w:t>.</w:t>
      </w:r>
      <w:r w:rsidRPr="00556EEB">
        <w:t xml:space="preserve"> It </w:t>
      </w:r>
      <w:r w:rsidR="00B40F5E">
        <w:t xml:space="preserve">is </w:t>
      </w:r>
      <w:r w:rsidRPr="00556EEB">
        <w:t xml:space="preserve">based on the discussions, which took place during the meeting of the </w:t>
      </w:r>
      <w:r w:rsidR="00B40F5E">
        <w:t>Task Force</w:t>
      </w:r>
      <w:r w:rsidR="00B40F5E" w:rsidRPr="00556EEB">
        <w:t xml:space="preserve"> </w:t>
      </w:r>
      <w:r w:rsidRPr="00556EEB">
        <w:t xml:space="preserve">on UN-R 46 on May </w:t>
      </w:r>
      <w:r w:rsidR="00FC5E6D">
        <w:t xml:space="preserve">4 and 5, </w:t>
      </w:r>
      <w:r w:rsidRPr="00556EEB">
        <w:t>2023</w:t>
      </w:r>
      <w:r w:rsidR="00A51330">
        <w:t xml:space="preserve"> </w:t>
      </w:r>
      <w:r w:rsidR="00FC5E6D">
        <w:t>held in-person and on</w:t>
      </w:r>
      <w:r w:rsidR="006A0FF6">
        <w:t>line</w:t>
      </w:r>
      <w:r w:rsidRPr="00556EEB">
        <w:t xml:space="preserve"> in Cologne</w:t>
      </w:r>
      <w:r w:rsidR="006A0FF6">
        <w:t>, Germany</w:t>
      </w:r>
      <w:r w:rsidRPr="00556EEB">
        <w:t xml:space="preserve">. </w:t>
      </w:r>
      <w:r w:rsidRPr="00C96B95">
        <w:t xml:space="preserve">Participants of the task force were experts from </w:t>
      </w:r>
      <w:r w:rsidRPr="00ED4E18">
        <w:t xml:space="preserve">China, France, Germany, India, </w:t>
      </w:r>
      <w:r w:rsidR="00656D70">
        <w:t xml:space="preserve">the Republic of </w:t>
      </w:r>
      <w:r w:rsidRPr="00ED4E18">
        <w:t>Korea, The Netherlands, Sweden,</w:t>
      </w:r>
      <w:r w:rsidR="00467A8D" w:rsidRPr="00467A8D">
        <w:t xml:space="preserve"> </w:t>
      </w:r>
      <w:r w:rsidR="00467A8D">
        <w:t>European Association of Automotive Suppliers (CLEPA) and International Organization of Motor Vehicle Manufacturers (OICA)</w:t>
      </w:r>
      <w:r w:rsidR="00F44E91" w:rsidRPr="00AD1D76">
        <w:rPr>
          <w:lang w:val="en-US"/>
        </w:rPr>
        <w:t>.</w:t>
      </w:r>
      <w:r w:rsidR="00B444D2">
        <w:t xml:space="preserve"> </w:t>
      </w:r>
      <w:r w:rsidR="00B444D2" w:rsidRPr="005973A3">
        <w:t xml:space="preserve">The modifications to the </w:t>
      </w:r>
      <w:r w:rsidR="00B444D2">
        <w:t>current</w:t>
      </w:r>
      <w:r w:rsidR="00B444D2" w:rsidRPr="005973A3">
        <w:t xml:space="preserve"> text </w:t>
      </w:r>
      <w:r w:rsidR="00B444D2">
        <w:t xml:space="preserve">of the UN Regulation </w:t>
      </w:r>
      <w:r w:rsidR="00B444D2" w:rsidRPr="005973A3">
        <w:t>are marked in bold for new or strikethrough for deleted characters</w:t>
      </w:r>
      <w:r w:rsidR="00B444D2">
        <w:t>.</w:t>
      </w:r>
    </w:p>
    <w:p w14:paraId="0A763529" w14:textId="77777777" w:rsidR="00B444D2" w:rsidRDefault="00B444D2" w:rsidP="00B444D2">
      <w:pPr>
        <w:suppressAutoHyphens w:val="0"/>
        <w:spacing w:after="200" w:line="276" w:lineRule="auto"/>
      </w:pPr>
      <w:r>
        <w:br w:type="page"/>
      </w:r>
    </w:p>
    <w:p w14:paraId="73E20FED" w14:textId="77777777" w:rsidR="00B444D2" w:rsidRPr="006E0032" w:rsidRDefault="00B444D2" w:rsidP="00B444D2">
      <w:pPr>
        <w:pStyle w:val="HChG"/>
      </w:pPr>
      <w:r>
        <w:rPr>
          <w:spacing w:val="1"/>
        </w:rPr>
        <w:lastRenderedPageBreak/>
        <w:tab/>
      </w:r>
      <w:r w:rsidRPr="006E0032">
        <w:rPr>
          <w:spacing w:val="1"/>
        </w:rPr>
        <w:t>I</w:t>
      </w:r>
      <w:r w:rsidRPr="006E0032">
        <w:t>.</w:t>
      </w:r>
      <w:r w:rsidRPr="006E0032">
        <w:tab/>
        <w:t>Pr</w:t>
      </w:r>
      <w:r w:rsidRPr="006E0032">
        <w:rPr>
          <w:spacing w:val="1"/>
        </w:rPr>
        <w:t>o</w:t>
      </w:r>
      <w:r w:rsidRPr="006E0032">
        <w:t>pos</w:t>
      </w:r>
      <w:r w:rsidRPr="006E0032">
        <w:rPr>
          <w:spacing w:val="1"/>
        </w:rPr>
        <w:t>a</w:t>
      </w:r>
      <w:r w:rsidRPr="006E0032">
        <w:t>l</w:t>
      </w:r>
    </w:p>
    <w:p w14:paraId="16C915E5" w14:textId="77777777" w:rsidR="00E50127" w:rsidRDefault="00E50127" w:rsidP="00E50127">
      <w:pPr>
        <w:pStyle w:val="SingleTxtG"/>
        <w:ind w:left="2268" w:hanging="1134"/>
      </w:pPr>
      <w:r>
        <w:rPr>
          <w:i/>
        </w:rPr>
        <w:t xml:space="preserve">Paragraph 1.1., </w:t>
      </w:r>
      <w:r>
        <w:t>amend to read:</w:t>
      </w:r>
    </w:p>
    <w:p w14:paraId="3B59B840" w14:textId="47FFB101" w:rsidR="00E50127" w:rsidRPr="004A6722" w:rsidRDefault="00E50127" w:rsidP="00E50127">
      <w:pPr>
        <w:pStyle w:val="SingleTxtG"/>
        <w:ind w:left="2268" w:hanging="1134"/>
      </w:pPr>
      <w:r>
        <w:t>"1.1.</w:t>
      </w:r>
      <w:r>
        <w:tab/>
        <w:t xml:space="preserve">This </w:t>
      </w:r>
      <w:r w:rsidR="0099181B" w:rsidRPr="0099181B">
        <w:rPr>
          <w:b/>
          <w:bCs/>
        </w:rPr>
        <w:t>UN</w:t>
      </w:r>
      <w:r w:rsidR="0099181B">
        <w:t xml:space="preserve"> Regulation</w:t>
      </w:r>
      <w:r>
        <w:t xml:space="preserve"> applies to external projections of category M</w:t>
      </w:r>
      <w:r w:rsidRPr="00F01684">
        <w:rPr>
          <w:vertAlign w:val="subscript"/>
        </w:rPr>
        <w:t>1</w:t>
      </w:r>
      <w:r>
        <w:t xml:space="preserve"> vehicles.</w:t>
      </w:r>
      <w:r w:rsidRPr="0021304A">
        <w:rPr>
          <w:vertAlign w:val="superscript"/>
        </w:rPr>
        <w:t>1</w:t>
      </w:r>
      <w:r>
        <w:t xml:space="preserve"> It does not apply to exterior devices for indirect vision </w:t>
      </w:r>
      <w:r w:rsidRPr="00D10CFC">
        <w:rPr>
          <w:b/>
          <w:bCs/>
        </w:rPr>
        <w:t>approved to UN Regulation No. 46</w:t>
      </w:r>
      <w:r>
        <w:t xml:space="preserve"> or to the ball of towing devices.</w:t>
      </w:r>
    </w:p>
    <w:p w14:paraId="7BFE42B7" w14:textId="3EB267A7" w:rsidR="00E50127" w:rsidRPr="00CF5B1A" w:rsidRDefault="00E50127" w:rsidP="00E50127">
      <w:pPr>
        <w:pStyle w:val="SingleTxtG"/>
        <w:ind w:left="2268" w:hanging="1134"/>
        <w:rPr>
          <w:i/>
        </w:rPr>
      </w:pPr>
      <w:r>
        <w:rPr>
          <w:i/>
        </w:rPr>
        <w:t>Insert new</w:t>
      </w:r>
      <w:r w:rsidRPr="00CF5B1A">
        <w:rPr>
          <w:i/>
        </w:rPr>
        <w:t xml:space="preserve"> paragraph</w:t>
      </w:r>
      <w:r>
        <w:rPr>
          <w:i/>
        </w:rPr>
        <w:t>s</w:t>
      </w:r>
      <w:r w:rsidRPr="00CF5B1A">
        <w:rPr>
          <w:i/>
        </w:rPr>
        <w:t xml:space="preserve"> </w:t>
      </w:r>
      <w:r>
        <w:rPr>
          <w:i/>
        </w:rPr>
        <w:t xml:space="preserve">2.13. </w:t>
      </w:r>
      <w:r w:rsidR="00744739">
        <w:rPr>
          <w:i/>
        </w:rPr>
        <w:t>and</w:t>
      </w:r>
      <w:r>
        <w:rPr>
          <w:i/>
        </w:rPr>
        <w:t xml:space="preserve"> 2.14.</w:t>
      </w:r>
      <w:r w:rsidRPr="00CF5B1A">
        <w:rPr>
          <w:iCs/>
        </w:rPr>
        <w:t>, to read:</w:t>
      </w:r>
    </w:p>
    <w:p w14:paraId="64527405" w14:textId="77777777" w:rsidR="00E50127" w:rsidRDefault="00E50127" w:rsidP="00E50127">
      <w:pPr>
        <w:pStyle w:val="SingleTxtG"/>
        <w:ind w:left="2268" w:hanging="1134"/>
        <w:rPr>
          <w:b/>
          <w:bCs/>
          <w:iCs/>
        </w:rPr>
      </w:pPr>
      <w:r>
        <w:rPr>
          <w:iCs/>
        </w:rPr>
        <w:t>"</w:t>
      </w:r>
      <w:r w:rsidRPr="00F30966">
        <w:rPr>
          <w:b/>
          <w:bCs/>
          <w:iCs/>
        </w:rPr>
        <w:t>2.13.</w:t>
      </w:r>
      <w:r w:rsidRPr="00F30966">
        <w:rPr>
          <w:b/>
          <w:bCs/>
          <w:iCs/>
        </w:rPr>
        <w:tab/>
      </w:r>
      <w:r>
        <w:rPr>
          <w:b/>
          <w:bCs/>
          <w:iCs/>
        </w:rPr>
        <w:t>"</w:t>
      </w:r>
      <w:r w:rsidRPr="00B97336">
        <w:rPr>
          <w:b/>
          <w:bCs/>
          <w:iCs/>
        </w:rPr>
        <w:t>Surveillance camera-monitor-recording device</w:t>
      </w:r>
      <w:r>
        <w:rPr>
          <w:b/>
          <w:bCs/>
          <w:iCs/>
        </w:rPr>
        <w:t>"</w:t>
      </w:r>
      <w:r w:rsidRPr="00B97336">
        <w:rPr>
          <w:b/>
          <w:bCs/>
          <w:iCs/>
        </w:rPr>
        <w:t xml:space="preserve"> means a camera and either a monitor or recording equipment other than the camera-monitor system defined in [paragraph 2.1.2. of</w:t>
      </w:r>
      <w:r>
        <w:rPr>
          <w:b/>
          <w:bCs/>
          <w:iCs/>
        </w:rPr>
        <w:t>]</w:t>
      </w:r>
      <w:r w:rsidRPr="00B97336">
        <w:rPr>
          <w:b/>
          <w:bCs/>
          <w:iCs/>
        </w:rPr>
        <w:t xml:space="preserve"> UN Regulation No. 46, which can be fitted to the inside or outside of the vehicle in order to provide fields of vision other than those specified in UN Regulation No. 46 or to provide a security system within or around the vehicle.</w:t>
      </w:r>
    </w:p>
    <w:p w14:paraId="4A39C24D" w14:textId="73718C73" w:rsidR="00E50127" w:rsidRPr="00E70B5E" w:rsidRDefault="00E50127" w:rsidP="00E50127">
      <w:pPr>
        <w:pStyle w:val="SingleTxtG"/>
        <w:ind w:left="2268" w:hanging="1134"/>
      </w:pPr>
      <w:r w:rsidRPr="00F30966">
        <w:rPr>
          <w:b/>
          <w:bCs/>
          <w:iCs/>
        </w:rPr>
        <w:t>2.14.</w:t>
      </w:r>
      <w:r w:rsidRPr="00F30966">
        <w:rPr>
          <w:b/>
          <w:bCs/>
          <w:iCs/>
        </w:rPr>
        <w:tab/>
      </w:r>
      <w:r>
        <w:rPr>
          <w:b/>
          <w:bCs/>
          <w:iCs/>
        </w:rPr>
        <w:t>"</w:t>
      </w:r>
      <w:r w:rsidRPr="002231F7">
        <w:rPr>
          <w:b/>
          <w:bCs/>
          <w:iCs/>
        </w:rPr>
        <w:t>Surveillance mirror</w:t>
      </w:r>
      <w:r>
        <w:rPr>
          <w:b/>
          <w:bCs/>
          <w:iCs/>
        </w:rPr>
        <w:t>"</w:t>
      </w:r>
      <w:r w:rsidRPr="002231F7">
        <w:rPr>
          <w:b/>
          <w:bCs/>
          <w:iCs/>
        </w:rPr>
        <w:t xml:space="preserve"> means a mirror other than the ones defined in [paragraph 2.1.1. of] UN Regulation No. 46, which can be fitted to the inside or outside of the vehicle in order to provide fields of vision other than those specified in UN Regulation No. 46</w:t>
      </w:r>
      <w:r w:rsidR="0048109D">
        <w:rPr>
          <w:b/>
          <w:bCs/>
          <w:iCs/>
        </w:rPr>
        <w:t>.</w:t>
      </w:r>
      <w:r w:rsidRPr="00C3418D">
        <w:rPr>
          <w:iCs/>
        </w:rPr>
        <w:t>"</w:t>
      </w:r>
    </w:p>
    <w:p w14:paraId="6A950EAA" w14:textId="7E8288CA" w:rsidR="005262C6" w:rsidRDefault="005262C6" w:rsidP="005262C6">
      <w:pPr>
        <w:pStyle w:val="para"/>
        <w:rPr>
          <w:lang w:val="en-US"/>
        </w:rPr>
      </w:pPr>
      <w:r w:rsidRPr="0021131F">
        <w:rPr>
          <w:i/>
          <w:iCs/>
          <w:lang w:val="en-US"/>
        </w:rPr>
        <w:t>Paragraph 4.1.2.</w:t>
      </w:r>
      <w:r>
        <w:rPr>
          <w:lang w:val="en-US"/>
        </w:rPr>
        <w:t>, amend to read:</w:t>
      </w:r>
    </w:p>
    <w:p w14:paraId="5EC3464F" w14:textId="6D80D37F" w:rsidR="0048109D" w:rsidRPr="005262C6" w:rsidRDefault="005262C6" w:rsidP="005262C6">
      <w:pPr>
        <w:pStyle w:val="para"/>
        <w:rPr>
          <w:lang w:val="en-US"/>
        </w:rPr>
      </w:pPr>
      <w:r>
        <w:rPr>
          <w:lang w:val="en-US"/>
        </w:rPr>
        <w:t>"</w:t>
      </w:r>
      <w:r w:rsidR="0048109D" w:rsidRPr="00FD0583">
        <w:rPr>
          <w:lang w:val="en-US"/>
        </w:rPr>
        <w:t>4.</w:t>
      </w:r>
      <w:r w:rsidR="0048109D">
        <w:rPr>
          <w:lang w:val="en-US"/>
        </w:rPr>
        <w:t>1.</w:t>
      </w:r>
      <w:r w:rsidR="0048109D" w:rsidRPr="00FD0583">
        <w:rPr>
          <w:lang w:val="en-US"/>
        </w:rPr>
        <w:t xml:space="preserve">2. </w:t>
      </w:r>
      <w:r w:rsidR="0048109D" w:rsidRPr="00FD0583">
        <w:rPr>
          <w:lang w:val="en-US"/>
        </w:rPr>
        <w:tab/>
      </w:r>
      <w:r w:rsidR="0048109D" w:rsidRPr="00846022">
        <w:t xml:space="preserve">An approval number shall be assigned to each </w:t>
      </w:r>
      <w:r w:rsidR="001E4AA8" w:rsidRPr="001E4AA8">
        <w:rPr>
          <w:b/>
          <w:bCs/>
        </w:rPr>
        <w:t>approved type in accordance with Schedule 4 of the Agreement (E/ECE/TRANS/505/Rev.3).</w:t>
      </w:r>
      <w:r w:rsidR="001E4AA8">
        <w:t xml:space="preserve"> </w:t>
      </w:r>
      <w:r w:rsidR="0048109D" w:rsidRPr="00A47ED5">
        <w:rPr>
          <w:strike/>
        </w:rPr>
        <w:t>vehicle type approved.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number to another vehicle type</w:t>
      </w:r>
      <w:r w:rsidRPr="00A47ED5">
        <w:rPr>
          <w:strike/>
        </w:rPr>
        <w:t>.</w:t>
      </w:r>
      <w:r w:rsidR="00971A58">
        <w:t>"</w:t>
      </w:r>
    </w:p>
    <w:p w14:paraId="24DFDFB0" w14:textId="690EFC2B" w:rsidR="00E50127" w:rsidRDefault="00E50127" w:rsidP="00E50127">
      <w:pPr>
        <w:pStyle w:val="SingleTxtG"/>
        <w:ind w:left="2268" w:hanging="1134"/>
        <w:rPr>
          <w:bCs/>
        </w:rPr>
      </w:pPr>
      <w:r>
        <w:rPr>
          <w:bCs/>
          <w:i/>
        </w:rPr>
        <w:t>Insert</w:t>
      </w:r>
      <w:r w:rsidRPr="00B9538B">
        <w:rPr>
          <w:bCs/>
          <w:i/>
        </w:rPr>
        <w:t xml:space="preserve"> new paragraph</w:t>
      </w:r>
      <w:r w:rsidR="0016703D">
        <w:rPr>
          <w:bCs/>
          <w:i/>
        </w:rPr>
        <w:t>s</w:t>
      </w:r>
      <w:r w:rsidRPr="00B9538B">
        <w:rPr>
          <w:bCs/>
          <w:i/>
        </w:rPr>
        <w:t xml:space="preserve"> 6.19.</w:t>
      </w:r>
      <w:r w:rsidR="0016703D">
        <w:rPr>
          <w:bCs/>
          <w:i/>
        </w:rPr>
        <w:t>to 6.19.2.,</w:t>
      </w:r>
      <w:r w:rsidRPr="00B9538B">
        <w:rPr>
          <w:bCs/>
          <w:i/>
        </w:rPr>
        <w:t xml:space="preserve"> </w:t>
      </w:r>
      <w:r w:rsidRPr="00B9538B">
        <w:rPr>
          <w:bCs/>
        </w:rPr>
        <w:t>to read:</w:t>
      </w:r>
    </w:p>
    <w:p w14:paraId="3B952300" w14:textId="77777777" w:rsidR="00E50127" w:rsidRDefault="00E50127" w:rsidP="00E50127">
      <w:pPr>
        <w:pStyle w:val="SingleTxtG"/>
        <w:ind w:left="2268" w:hanging="1134"/>
        <w:rPr>
          <w:b/>
          <w:bCs/>
        </w:rPr>
      </w:pPr>
      <w:r w:rsidRPr="004155FD">
        <w:t>"</w:t>
      </w:r>
      <w:r w:rsidRPr="00E70BA1">
        <w:rPr>
          <w:b/>
          <w:bCs/>
        </w:rPr>
        <w:t>6.19.</w:t>
      </w:r>
      <w:r w:rsidRPr="00E70BA1">
        <w:rPr>
          <w:b/>
          <w:bCs/>
        </w:rPr>
        <w:tab/>
        <w:t xml:space="preserve">Surveillance mirror(s) and surveillance camera-monitor-recording device(s) </w:t>
      </w:r>
    </w:p>
    <w:p w14:paraId="636C9C73" w14:textId="77777777" w:rsidR="00E50127" w:rsidRDefault="00E50127" w:rsidP="00E50127">
      <w:pPr>
        <w:pStyle w:val="SingleTxtG"/>
        <w:ind w:left="2268" w:hanging="1134"/>
        <w:rPr>
          <w:b/>
          <w:bCs/>
        </w:rPr>
      </w:pPr>
      <w:r w:rsidRPr="009D6D73">
        <w:rPr>
          <w:b/>
          <w:bCs/>
        </w:rPr>
        <w:t>6.19.1</w:t>
      </w:r>
      <w:r w:rsidRPr="009D6D73">
        <w:rPr>
          <w:b/>
          <w:bCs/>
        </w:rPr>
        <w:tab/>
      </w:r>
      <w:r>
        <w:rPr>
          <w:b/>
          <w:bCs/>
        </w:rPr>
        <w:t>A</w:t>
      </w:r>
      <w:r w:rsidRPr="009D6D73">
        <w:rPr>
          <w:b/>
          <w:bCs/>
        </w:rPr>
        <w:t>n exterior surveillance camera shall not project more than 50 mm beyond the overall width of the vehicle measured without this device.</w:t>
      </w:r>
    </w:p>
    <w:p w14:paraId="58BAE5BB" w14:textId="090B691A" w:rsidR="00E50127" w:rsidRDefault="00E50127" w:rsidP="00E50127">
      <w:pPr>
        <w:pStyle w:val="Flietext0"/>
        <w:tabs>
          <w:tab w:val="left" w:pos="2236"/>
        </w:tabs>
        <w:ind w:left="2268" w:right="1134" w:hanging="1134"/>
        <w:jc w:val="both"/>
        <w:rPr>
          <w:lang w:val="en-GB"/>
        </w:rPr>
      </w:pPr>
      <w:r w:rsidRPr="007845A4">
        <w:rPr>
          <w:lang w:val="en-GB"/>
        </w:rPr>
        <w:t>6.19.</w:t>
      </w:r>
      <w:r>
        <w:rPr>
          <w:lang w:val="en-GB"/>
        </w:rPr>
        <w:t>2</w:t>
      </w:r>
      <w:r w:rsidRPr="007845A4">
        <w:rPr>
          <w:lang w:val="en-GB"/>
        </w:rPr>
        <w:t>.</w:t>
      </w:r>
      <w:r w:rsidRPr="007845A4">
        <w:rPr>
          <w:lang w:val="en-GB"/>
        </w:rPr>
        <w:tab/>
        <w:t xml:space="preserve">Edges of fixing holes or recesses of which the diameter or longest diagonal is less than 12 mm are exempt from paragraph </w:t>
      </w:r>
      <w:r>
        <w:rPr>
          <w:lang w:val="en-GB"/>
        </w:rPr>
        <w:t xml:space="preserve">5.4. </w:t>
      </w:r>
      <w:r w:rsidRPr="007845A4">
        <w:rPr>
          <w:lang w:val="en-GB"/>
        </w:rPr>
        <w:t>provided that they are blunted.</w:t>
      </w:r>
      <w:r w:rsidR="004155FD" w:rsidRPr="004155FD">
        <w:rPr>
          <w:b w:val="0"/>
          <w:bCs w:val="0"/>
          <w:lang w:val="en-GB"/>
        </w:rPr>
        <w:t>"</w:t>
      </w:r>
    </w:p>
    <w:p w14:paraId="0CDD973B" w14:textId="255B9DC6" w:rsidR="00E50127" w:rsidRPr="0041742E" w:rsidRDefault="00E50127" w:rsidP="00E50127">
      <w:pPr>
        <w:pStyle w:val="Flietext0"/>
        <w:tabs>
          <w:tab w:val="left" w:pos="2236"/>
        </w:tabs>
        <w:ind w:left="2268" w:right="1134" w:hanging="1134"/>
        <w:jc w:val="both"/>
        <w:rPr>
          <w:b w:val="0"/>
          <w:lang w:val="en-GB"/>
        </w:rPr>
      </w:pPr>
      <w:r w:rsidRPr="000D47BE">
        <w:rPr>
          <w:b w:val="0"/>
          <w:i/>
          <w:iCs/>
          <w:lang w:val="en-GB"/>
        </w:rPr>
        <w:t>For information only</w:t>
      </w:r>
      <w:r w:rsidR="000D47BE">
        <w:rPr>
          <w:b w:val="0"/>
          <w:lang w:val="en-GB"/>
        </w:rPr>
        <w:t>, to read:</w:t>
      </w:r>
    </w:p>
    <w:p w14:paraId="2BFF756C" w14:textId="46C07A17" w:rsidR="00E50127" w:rsidRPr="009924F6" w:rsidRDefault="000D47BE" w:rsidP="00E50127">
      <w:pPr>
        <w:pStyle w:val="Flietext0"/>
        <w:tabs>
          <w:tab w:val="left" w:pos="2236"/>
        </w:tabs>
        <w:ind w:left="2268" w:right="1134" w:hanging="1134"/>
        <w:jc w:val="both"/>
        <w:rPr>
          <w:b w:val="0"/>
          <w:bCs w:val="0"/>
          <w:lang w:val="en-US"/>
        </w:rPr>
      </w:pPr>
      <w:r>
        <w:rPr>
          <w:b w:val="0"/>
          <w:bCs w:val="0"/>
          <w:lang w:val="en-US"/>
        </w:rPr>
        <w:t>"</w:t>
      </w:r>
      <w:r w:rsidR="00E50127" w:rsidRPr="009924F6">
        <w:rPr>
          <w:b w:val="0"/>
          <w:bCs w:val="0"/>
          <w:lang w:val="en-US"/>
        </w:rPr>
        <w:t xml:space="preserve">12.8. </w:t>
      </w:r>
      <w:r w:rsidR="00E50127" w:rsidRPr="009924F6">
        <w:rPr>
          <w:b w:val="0"/>
          <w:bCs w:val="0"/>
          <w:lang w:val="en-US"/>
        </w:rPr>
        <w:tab/>
        <w:t>As from the official date of entry into force of the 04 series of amendments, no Contracting Party applying this Regulation shall refuse to grant approval under this Regulation as amended by the 04 series of amendments.</w:t>
      </w:r>
    </w:p>
    <w:p w14:paraId="0248728D" w14:textId="77777777" w:rsidR="00E50127" w:rsidRPr="009924F6" w:rsidRDefault="00E50127" w:rsidP="00E50127">
      <w:pPr>
        <w:pStyle w:val="Flietext0"/>
        <w:tabs>
          <w:tab w:val="left" w:pos="2236"/>
        </w:tabs>
        <w:ind w:left="2268" w:right="1134" w:hanging="1134"/>
        <w:jc w:val="both"/>
        <w:rPr>
          <w:b w:val="0"/>
          <w:bCs w:val="0"/>
          <w:lang w:val="en-US"/>
        </w:rPr>
      </w:pPr>
      <w:r w:rsidRPr="009924F6">
        <w:rPr>
          <w:b w:val="0"/>
          <w:bCs w:val="0"/>
          <w:lang w:val="en-US"/>
        </w:rPr>
        <w:t xml:space="preserve">12.9. </w:t>
      </w:r>
      <w:r w:rsidRPr="009924F6">
        <w:rPr>
          <w:b w:val="0"/>
          <w:bCs w:val="0"/>
          <w:lang w:val="en-US"/>
        </w:rPr>
        <w:tab/>
        <w:t>As from 1 September 2022, Contracting Parties applying this Regulation shall not be obliged to accept type approvals to the preceding series of amendments, first issued after 1 September 2022.</w:t>
      </w:r>
    </w:p>
    <w:p w14:paraId="305F352F" w14:textId="77777777" w:rsidR="00E50127" w:rsidRPr="009924F6" w:rsidRDefault="00E50127" w:rsidP="00E50127">
      <w:pPr>
        <w:pStyle w:val="Flietext0"/>
        <w:tabs>
          <w:tab w:val="left" w:pos="2236"/>
        </w:tabs>
        <w:ind w:left="2268" w:right="1134" w:hanging="1134"/>
        <w:jc w:val="both"/>
        <w:rPr>
          <w:b w:val="0"/>
          <w:bCs w:val="0"/>
          <w:lang w:val="en-US"/>
        </w:rPr>
      </w:pPr>
      <w:r w:rsidRPr="009924F6">
        <w:rPr>
          <w:b w:val="0"/>
          <w:bCs w:val="0"/>
          <w:lang w:val="en-US"/>
        </w:rPr>
        <w:t xml:space="preserve">12.10. </w:t>
      </w:r>
      <w:r w:rsidRPr="009924F6">
        <w:rPr>
          <w:b w:val="0"/>
          <w:bCs w:val="0"/>
          <w:lang w:val="en-US"/>
        </w:rPr>
        <w:tab/>
        <w:t xml:space="preserve">Contracting Parties applying this Regulation shall continue to accept type approvals issued according to the preceding series of amendments to this Regulation first issued before 1 September 2022. </w:t>
      </w:r>
    </w:p>
    <w:p w14:paraId="4F881B20" w14:textId="611890EE" w:rsidR="00E50127" w:rsidRPr="00F15035" w:rsidRDefault="00E50127" w:rsidP="00E50127">
      <w:pPr>
        <w:pStyle w:val="Flietext0"/>
        <w:tabs>
          <w:tab w:val="left" w:pos="2236"/>
        </w:tabs>
        <w:ind w:left="2268" w:right="1134" w:hanging="1134"/>
        <w:jc w:val="both"/>
        <w:rPr>
          <w:b w:val="0"/>
          <w:bCs w:val="0"/>
          <w:lang w:val="en-GB"/>
        </w:rPr>
      </w:pPr>
      <w:r w:rsidRPr="009924F6">
        <w:rPr>
          <w:b w:val="0"/>
          <w:bCs w:val="0"/>
          <w:lang w:val="en-US"/>
        </w:rPr>
        <w:t xml:space="preserve">12.11. </w:t>
      </w:r>
      <w:r w:rsidRPr="009924F6">
        <w:rPr>
          <w:b w:val="0"/>
          <w:bCs w:val="0"/>
          <w:lang w:val="en-US"/>
        </w:rPr>
        <w:tab/>
        <w:t>Contracting Parties applying this Regulation shall not refuse to grant type approvals according to any preceding series of amendments to this Regulation or extensions thereof.</w:t>
      </w:r>
      <w:r w:rsidR="000D47BE">
        <w:rPr>
          <w:b w:val="0"/>
          <w:bCs w:val="0"/>
          <w:lang w:val="en-US"/>
        </w:rPr>
        <w:t>"</w:t>
      </w:r>
    </w:p>
    <w:p w14:paraId="33857D4F" w14:textId="77777777" w:rsidR="00E50127" w:rsidRPr="00CF5B1A" w:rsidRDefault="00E50127" w:rsidP="00E50127">
      <w:pPr>
        <w:pStyle w:val="SingleTxtG"/>
        <w:ind w:left="2268" w:hanging="1134"/>
        <w:rPr>
          <w:i/>
        </w:rPr>
      </w:pPr>
      <w:r>
        <w:rPr>
          <w:i/>
        </w:rPr>
        <w:t>Insert new</w:t>
      </w:r>
      <w:r w:rsidRPr="00CF5B1A">
        <w:rPr>
          <w:i/>
        </w:rPr>
        <w:t xml:space="preserve"> paragraph</w:t>
      </w:r>
      <w:r>
        <w:rPr>
          <w:i/>
        </w:rPr>
        <w:t>s</w:t>
      </w:r>
      <w:r w:rsidRPr="00CF5B1A">
        <w:rPr>
          <w:i/>
        </w:rPr>
        <w:t xml:space="preserve"> </w:t>
      </w:r>
      <w:r>
        <w:rPr>
          <w:i/>
        </w:rPr>
        <w:t>12.12. to 12.15.</w:t>
      </w:r>
      <w:r w:rsidRPr="00CF5B1A">
        <w:rPr>
          <w:iCs/>
        </w:rPr>
        <w:t>, to read:</w:t>
      </w:r>
    </w:p>
    <w:p w14:paraId="2324FBA5" w14:textId="3D56DAE2" w:rsidR="00E50127" w:rsidRPr="001657E4" w:rsidRDefault="00E50127" w:rsidP="00E50127">
      <w:pPr>
        <w:pStyle w:val="Flietext0"/>
        <w:tabs>
          <w:tab w:val="left" w:pos="2236"/>
        </w:tabs>
        <w:ind w:left="2268" w:right="1134" w:hanging="1134"/>
        <w:jc w:val="both"/>
        <w:rPr>
          <w:lang w:val="en-GB"/>
        </w:rPr>
      </w:pPr>
      <w:r>
        <w:rPr>
          <w:lang w:val="en-GB"/>
        </w:rPr>
        <w:t>"</w:t>
      </w:r>
      <w:r w:rsidRPr="001657E4">
        <w:rPr>
          <w:lang w:val="en-GB"/>
        </w:rPr>
        <w:t xml:space="preserve">12.12. </w:t>
      </w:r>
      <w:r w:rsidRPr="001657E4">
        <w:rPr>
          <w:lang w:val="en-GB"/>
        </w:rPr>
        <w:tab/>
        <w:t xml:space="preserve">As from the official date of entry into force of the 05 series of amendments, no Contracting Party applying this Regulation shall refuse to grant or refuse to accept type approvals under this </w:t>
      </w:r>
      <w:r w:rsidR="0099181B">
        <w:rPr>
          <w:lang w:val="en-GB"/>
        </w:rPr>
        <w:t>UN Regulation</w:t>
      </w:r>
      <w:r w:rsidRPr="001657E4">
        <w:rPr>
          <w:lang w:val="en-GB"/>
        </w:rPr>
        <w:t xml:space="preserve"> as amended by the 05 series of amendments.</w:t>
      </w:r>
    </w:p>
    <w:p w14:paraId="5CD6A867" w14:textId="590C0D7F" w:rsidR="00E50127" w:rsidRPr="001657E4" w:rsidRDefault="00E50127" w:rsidP="00E50127">
      <w:pPr>
        <w:pStyle w:val="Flietext0"/>
        <w:tabs>
          <w:tab w:val="left" w:pos="2236"/>
        </w:tabs>
        <w:ind w:left="2268" w:right="1134" w:hanging="1134"/>
        <w:jc w:val="both"/>
        <w:rPr>
          <w:lang w:val="en-GB"/>
        </w:rPr>
      </w:pPr>
      <w:r w:rsidRPr="001657E4">
        <w:rPr>
          <w:lang w:val="en-GB"/>
        </w:rPr>
        <w:lastRenderedPageBreak/>
        <w:t xml:space="preserve">12.13. </w:t>
      </w:r>
      <w:r w:rsidRPr="001657E4">
        <w:rPr>
          <w:lang w:val="en-GB"/>
        </w:rPr>
        <w:tab/>
        <w:t xml:space="preserve">As from 1 September [202X], Contracting Parties applying this </w:t>
      </w:r>
      <w:r w:rsidR="0099181B">
        <w:rPr>
          <w:lang w:val="en-GB"/>
        </w:rPr>
        <w:t>UN Regulation</w:t>
      </w:r>
      <w:r w:rsidRPr="001657E4">
        <w:rPr>
          <w:lang w:val="en-GB"/>
        </w:rPr>
        <w:t xml:space="preserve"> shall not be obliged to accept type approvals to the preceding series of amendments, first issued after 1 September [202X].</w:t>
      </w:r>
    </w:p>
    <w:p w14:paraId="320771DA" w14:textId="368C5FDA" w:rsidR="00E50127" w:rsidRPr="001657E4" w:rsidRDefault="00E50127" w:rsidP="00E50127">
      <w:pPr>
        <w:pStyle w:val="Flietext0"/>
        <w:tabs>
          <w:tab w:val="left" w:pos="2236"/>
        </w:tabs>
        <w:ind w:left="2268" w:right="1134" w:hanging="1134"/>
        <w:jc w:val="both"/>
        <w:rPr>
          <w:lang w:val="en-GB"/>
        </w:rPr>
      </w:pPr>
      <w:r w:rsidRPr="001657E4">
        <w:rPr>
          <w:lang w:val="en-GB"/>
        </w:rPr>
        <w:t>12.14.</w:t>
      </w:r>
      <w:r w:rsidRPr="001657E4">
        <w:rPr>
          <w:lang w:val="en-GB"/>
        </w:rPr>
        <w:tab/>
        <w:t xml:space="preserve">Until 1 September [202Y], Contracting Parties applying this </w:t>
      </w:r>
      <w:r w:rsidR="0099181B">
        <w:rPr>
          <w:lang w:val="en-GB"/>
        </w:rPr>
        <w:t>UN Regulation</w:t>
      </w:r>
      <w:r w:rsidRPr="001657E4">
        <w:rPr>
          <w:lang w:val="en-GB"/>
        </w:rPr>
        <w:t xml:space="preserve"> shall accept type approvals to the preceding series of amendments, first issued before 1 September [202x].</w:t>
      </w:r>
    </w:p>
    <w:p w14:paraId="62A78A64" w14:textId="75C6DD2C" w:rsidR="00E50127" w:rsidRPr="001657E4" w:rsidRDefault="00E50127" w:rsidP="00E50127">
      <w:pPr>
        <w:pStyle w:val="Flietext0"/>
        <w:tabs>
          <w:tab w:val="left" w:pos="2236"/>
        </w:tabs>
        <w:ind w:left="2268" w:right="1134" w:hanging="1134"/>
        <w:jc w:val="both"/>
        <w:rPr>
          <w:lang w:val="en-GB"/>
        </w:rPr>
      </w:pPr>
      <w:r w:rsidRPr="001657E4">
        <w:rPr>
          <w:lang w:val="en-GB"/>
        </w:rPr>
        <w:t>12.15.</w:t>
      </w:r>
      <w:r w:rsidRPr="001657E4">
        <w:rPr>
          <w:lang w:val="en-GB"/>
        </w:rPr>
        <w:tab/>
        <w:t xml:space="preserve">As from 1 September [202Y], Contracting Parties applying this </w:t>
      </w:r>
      <w:r w:rsidR="0099181B">
        <w:rPr>
          <w:lang w:val="en-GB"/>
        </w:rPr>
        <w:t>UN Regulation</w:t>
      </w:r>
      <w:r w:rsidRPr="001657E4">
        <w:rPr>
          <w:lang w:val="en-GB"/>
        </w:rPr>
        <w:t xml:space="preserve"> shall not be obliged to accept type approvals issued to the preceding series of amendments to this </w:t>
      </w:r>
      <w:r w:rsidR="0099181B">
        <w:rPr>
          <w:lang w:val="en-GB"/>
        </w:rPr>
        <w:t>UN Regulation</w:t>
      </w:r>
      <w:r w:rsidRPr="001657E4">
        <w:rPr>
          <w:lang w:val="en-GB"/>
        </w:rPr>
        <w:t>.</w:t>
      </w:r>
    </w:p>
    <w:p w14:paraId="50750222" w14:textId="2D876493" w:rsidR="00E50127" w:rsidRPr="001657E4" w:rsidRDefault="00E50127" w:rsidP="00E50127">
      <w:pPr>
        <w:pStyle w:val="Flietext0"/>
        <w:tabs>
          <w:tab w:val="left" w:pos="2236"/>
        </w:tabs>
        <w:ind w:left="2268" w:right="1134" w:hanging="1134"/>
        <w:jc w:val="both"/>
        <w:rPr>
          <w:lang w:val="en-GB"/>
        </w:rPr>
      </w:pPr>
      <w:r w:rsidRPr="001657E4">
        <w:rPr>
          <w:lang w:val="en-GB"/>
        </w:rPr>
        <w:t>12.16.</w:t>
      </w:r>
      <w:r w:rsidRPr="001657E4">
        <w:rPr>
          <w:lang w:val="en-GB"/>
        </w:rPr>
        <w:tab/>
        <w:t xml:space="preserve">Notwithstanding paragraph 12.15., Contracting Parties applying this </w:t>
      </w:r>
      <w:r w:rsidR="0099181B">
        <w:rPr>
          <w:lang w:val="en-GB"/>
        </w:rPr>
        <w:t>UN Regulation</w:t>
      </w:r>
      <w:r w:rsidRPr="001657E4">
        <w:rPr>
          <w:lang w:val="en-GB"/>
        </w:rPr>
        <w:t xml:space="preserve"> shall continue to accept type approvals issued according to the preceding series of amendments to this </w:t>
      </w:r>
      <w:r w:rsidR="0099181B">
        <w:rPr>
          <w:lang w:val="en-GB"/>
        </w:rPr>
        <w:t>UN Regulation</w:t>
      </w:r>
      <w:r w:rsidRPr="001657E4">
        <w:rPr>
          <w:lang w:val="en-GB"/>
        </w:rPr>
        <w:t>, for the vehicles which are not affected by the changes introduced by the 05 series of amendments.</w:t>
      </w:r>
    </w:p>
    <w:p w14:paraId="33DFAA18" w14:textId="6EB7F91C" w:rsidR="00E50127" w:rsidRPr="001657E4" w:rsidRDefault="00E50127" w:rsidP="00E50127">
      <w:pPr>
        <w:pStyle w:val="Flietext0"/>
        <w:tabs>
          <w:tab w:val="left" w:pos="2236"/>
        </w:tabs>
        <w:ind w:left="2268" w:right="1134" w:hanging="1134"/>
        <w:jc w:val="both"/>
        <w:rPr>
          <w:lang w:val="en-GB"/>
        </w:rPr>
      </w:pPr>
      <w:r w:rsidRPr="001657E4">
        <w:rPr>
          <w:lang w:val="en-GB"/>
        </w:rPr>
        <w:t>[12.17.</w:t>
      </w:r>
      <w:r w:rsidRPr="001657E4">
        <w:rPr>
          <w:lang w:val="en-GB"/>
        </w:rPr>
        <w:tab/>
        <w:t xml:space="preserve">Contracting Parties applying this </w:t>
      </w:r>
      <w:r w:rsidR="0099181B">
        <w:rPr>
          <w:lang w:val="en-GB"/>
        </w:rPr>
        <w:t>UN Regulation</w:t>
      </w:r>
      <w:r w:rsidRPr="001657E4">
        <w:rPr>
          <w:lang w:val="en-GB"/>
        </w:rPr>
        <w:t xml:space="preserve"> may grant type approvals according to any preceding series of amendments to this </w:t>
      </w:r>
      <w:r w:rsidR="0099181B">
        <w:rPr>
          <w:lang w:val="en-GB"/>
        </w:rPr>
        <w:t>UN Regulation</w:t>
      </w:r>
      <w:r w:rsidRPr="001657E4">
        <w:rPr>
          <w:lang w:val="en-GB"/>
        </w:rPr>
        <w:t>.</w:t>
      </w:r>
    </w:p>
    <w:p w14:paraId="268D2918" w14:textId="65741477" w:rsidR="00E50127" w:rsidRDefault="00E50127" w:rsidP="00E50127">
      <w:pPr>
        <w:pStyle w:val="Flietext0"/>
        <w:tabs>
          <w:tab w:val="left" w:pos="2236"/>
        </w:tabs>
        <w:ind w:left="2268" w:right="1134" w:hanging="1134"/>
        <w:jc w:val="both"/>
        <w:rPr>
          <w:lang w:val="en-GB"/>
        </w:rPr>
      </w:pPr>
      <w:r w:rsidRPr="001657E4">
        <w:rPr>
          <w:lang w:val="en-GB"/>
        </w:rPr>
        <w:t>12.18.</w:t>
      </w:r>
      <w:r w:rsidRPr="001657E4">
        <w:rPr>
          <w:lang w:val="en-GB"/>
        </w:rPr>
        <w:tab/>
        <w:t xml:space="preserve">Contracting Parties applying this </w:t>
      </w:r>
      <w:r w:rsidR="0099181B">
        <w:rPr>
          <w:lang w:val="en-GB"/>
        </w:rPr>
        <w:t>UN Regulation</w:t>
      </w:r>
      <w:r w:rsidRPr="001657E4">
        <w:rPr>
          <w:lang w:val="en-GB"/>
        </w:rPr>
        <w:t xml:space="preserve"> shall continue to grant extensions of existing approvals to any preceding series of amendments to this </w:t>
      </w:r>
      <w:r w:rsidR="0099181B">
        <w:rPr>
          <w:lang w:val="en-GB"/>
        </w:rPr>
        <w:t>UN Regulation</w:t>
      </w:r>
      <w:r w:rsidRPr="001657E4">
        <w:rPr>
          <w:lang w:val="en-GB"/>
        </w:rPr>
        <w:t>.]</w:t>
      </w:r>
      <w:r w:rsidRPr="002D60EB">
        <w:rPr>
          <w:b w:val="0"/>
          <w:bCs w:val="0"/>
          <w:lang w:val="en-GB"/>
        </w:rPr>
        <w:t>"</w:t>
      </w:r>
    </w:p>
    <w:p w14:paraId="3AB399FF" w14:textId="72B896A1" w:rsidR="00AF36CC" w:rsidRPr="00AF36CC" w:rsidRDefault="00AF36CC" w:rsidP="007002A8">
      <w:pPr>
        <w:pStyle w:val="HChG"/>
        <w:rPr>
          <w:b w:val="0"/>
          <w:bCs/>
          <w:sz w:val="20"/>
        </w:rPr>
      </w:pPr>
      <w:bookmarkStart w:id="1" w:name="_Toc358813930"/>
      <w:r>
        <w:rPr>
          <w:b w:val="0"/>
          <w:bCs/>
          <w:i/>
          <w:iCs/>
          <w:sz w:val="20"/>
        </w:rPr>
        <w:tab/>
      </w:r>
      <w:r>
        <w:rPr>
          <w:b w:val="0"/>
          <w:bCs/>
          <w:i/>
          <w:iCs/>
          <w:sz w:val="20"/>
        </w:rPr>
        <w:tab/>
      </w:r>
      <w:r w:rsidRPr="00AF36CC">
        <w:rPr>
          <w:b w:val="0"/>
          <w:bCs/>
          <w:i/>
          <w:iCs/>
          <w:sz w:val="20"/>
        </w:rPr>
        <w:t>Annex 2</w:t>
      </w:r>
      <w:r w:rsidRPr="00AF36CC">
        <w:rPr>
          <w:b w:val="0"/>
          <w:bCs/>
          <w:sz w:val="20"/>
        </w:rPr>
        <w:t>, amend to read:</w:t>
      </w:r>
    </w:p>
    <w:p w14:paraId="3F9DC24D" w14:textId="7AE4E860" w:rsidR="007002A8" w:rsidRPr="00997686" w:rsidRDefault="00AF36CC" w:rsidP="007002A8">
      <w:pPr>
        <w:pStyle w:val="HChG"/>
      </w:pPr>
      <w:r>
        <w:t>"</w:t>
      </w:r>
      <w:r w:rsidR="007002A8" w:rsidRPr="00997686">
        <w:t>Annex 2</w:t>
      </w:r>
      <w:bookmarkEnd w:id="1"/>
    </w:p>
    <w:p w14:paraId="2233E41C" w14:textId="77777777" w:rsidR="007002A8" w:rsidRPr="00997686" w:rsidRDefault="007002A8" w:rsidP="007002A8">
      <w:pPr>
        <w:pStyle w:val="HChG"/>
      </w:pPr>
      <w:r w:rsidRPr="00997686">
        <w:tab/>
      </w:r>
      <w:r w:rsidRPr="00997686">
        <w:tab/>
      </w:r>
      <w:bookmarkStart w:id="2" w:name="_Toc358813931"/>
      <w:r w:rsidRPr="00997686">
        <w:t>Arrangements of the approval marks</w:t>
      </w:r>
      <w:bookmarkEnd w:id="2"/>
    </w:p>
    <w:p w14:paraId="3BC2BB5F" w14:textId="77777777" w:rsidR="007002A8" w:rsidRDefault="007002A8" w:rsidP="007002A8">
      <w:pPr>
        <w:pStyle w:val="SingleTxtG"/>
      </w:pPr>
    </w:p>
    <w:p w14:paraId="389B0401" w14:textId="77777777" w:rsidR="007002A8" w:rsidRDefault="007002A8" w:rsidP="007002A8">
      <w:pPr>
        <w:pStyle w:val="Heading1"/>
        <w:spacing w:after="120"/>
      </w:pPr>
      <w:r w:rsidRPr="00E3321B">
        <w:t>Model A</w:t>
      </w:r>
    </w:p>
    <w:p w14:paraId="2DF561B2" w14:textId="77777777" w:rsidR="007002A8" w:rsidRDefault="007002A8" w:rsidP="007002A8">
      <w:pPr>
        <w:pStyle w:val="SingleTxtG"/>
      </w:pPr>
      <w:r w:rsidRPr="00E3321B">
        <w:t>(</w:t>
      </w:r>
      <w:r w:rsidRPr="008E59C2">
        <w:t>See paragraphs 4.1.4. and 4.2.4. of this Regulation</w:t>
      </w:r>
      <w:r>
        <w:t>)</w:t>
      </w:r>
    </w:p>
    <w:p w14:paraId="39B1C082" w14:textId="77777777" w:rsidR="007002A8" w:rsidRDefault="007002A8" w:rsidP="007002A8">
      <w:pPr>
        <w:pStyle w:val="SingleTxtG"/>
        <w:spacing w:after="0"/>
        <w:ind w:left="567"/>
        <w:rPr>
          <w:noProof/>
          <w:lang w:eastAsia="en-GB"/>
        </w:rPr>
      </w:pPr>
      <w:r>
        <w:rPr>
          <w:noProof/>
        </w:rPr>
        <mc:AlternateContent>
          <mc:Choice Requires="wps">
            <w:drawing>
              <wp:anchor distT="0" distB="0" distL="114300" distR="114300" simplePos="0" relativeHeight="251659264" behindDoc="0" locked="0" layoutInCell="1" allowOverlap="1" wp14:anchorId="02F7E7FC" wp14:editId="7B8B5E0C">
                <wp:simplePos x="0" y="0"/>
                <wp:positionH relativeFrom="column">
                  <wp:posOffset>3931920</wp:posOffset>
                </wp:positionH>
                <wp:positionV relativeFrom="paragraph">
                  <wp:posOffset>402590</wp:posOffset>
                </wp:positionV>
                <wp:extent cx="498475" cy="399415"/>
                <wp:effectExtent l="0" t="0" r="0" b="6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99415"/>
                        </a:xfrm>
                        <a:prstGeom prst="rect">
                          <a:avLst/>
                        </a:prstGeom>
                        <a:solidFill>
                          <a:srgbClr val="FFFFFF"/>
                        </a:solidFill>
                        <a:ln w="9525">
                          <a:solidFill>
                            <a:srgbClr val="FFFFFF"/>
                          </a:solidFill>
                          <a:miter lim="800000"/>
                          <a:headEnd/>
                          <a:tailEnd/>
                        </a:ln>
                      </wps:spPr>
                      <wps:txbx>
                        <w:txbxContent>
                          <w:p w14:paraId="327918A2" w14:textId="13A0FAD7" w:rsidR="007002A8" w:rsidRPr="00FA641F" w:rsidRDefault="007002A8" w:rsidP="007002A8">
                            <w:pPr>
                              <w:ind w:left="-142"/>
                              <w:rPr>
                                <w:rFonts w:ascii="Arial" w:hAnsi="Arial" w:cs="Arial"/>
                                <w:bCs/>
                                <w:sz w:val="52"/>
                                <w:szCs w:val="52"/>
                              </w:rPr>
                            </w:pPr>
                            <w:r w:rsidRPr="00FA641F">
                              <w:rPr>
                                <w:rFonts w:ascii="Arial" w:hAnsi="Arial" w:cs="Arial"/>
                                <w:bCs/>
                                <w:sz w:val="48"/>
                                <w:szCs w:val="48"/>
                              </w:rPr>
                              <w:t>0</w:t>
                            </w:r>
                            <w:r w:rsidR="00A71640">
                              <w:rPr>
                                <w:rFonts w:ascii="Arial" w:hAnsi="Arial" w:cs="Arial"/>
                                <w:bCs/>
                                <w:sz w:val="48"/>
                                <w:szCs w:val="4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7E7FC" id="_x0000_t202" coordsize="21600,21600" o:spt="202" path="m,l,21600r21600,l21600,xe">
                <v:stroke joinstyle="miter"/>
                <v:path gradientshapeok="t" o:connecttype="rect"/>
              </v:shapetype>
              <v:shape id="Text Box 6" o:spid="_x0000_s1026" type="#_x0000_t202" style="position:absolute;left:0;text-align:left;margin-left:309.6pt;margin-top:31.7pt;width:39.2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" strokecolor="white">
                <v:textbox>
                  <w:txbxContent>
                    <w:p w14:paraId="327918A2" w14:textId="13A0FAD7" w:rsidR="007002A8" w:rsidRPr="00FA641F" w:rsidRDefault="007002A8" w:rsidP="007002A8">
                      <w:pPr>
                        <w:ind w:left="-142"/>
                        <w:rPr>
                          <w:rFonts w:ascii="Arial" w:hAnsi="Arial" w:cs="Arial"/>
                          <w:bCs/>
                          <w:sz w:val="52"/>
                          <w:szCs w:val="52"/>
                        </w:rPr>
                      </w:pPr>
                      <w:r w:rsidRPr="00FA641F">
                        <w:rPr>
                          <w:rFonts w:ascii="Arial" w:hAnsi="Arial" w:cs="Arial"/>
                          <w:bCs/>
                          <w:sz w:val="48"/>
                          <w:szCs w:val="48"/>
                        </w:rPr>
                        <w:t>0</w:t>
                      </w:r>
                      <w:r w:rsidR="00A71640">
                        <w:rPr>
                          <w:rFonts w:ascii="Arial" w:hAnsi="Arial" w:cs="Arial"/>
                          <w:bCs/>
                          <w:sz w:val="48"/>
                          <w:szCs w:val="48"/>
                        </w:rPr>
                        <w:t>5</w:t>
                      </w:r>
                    </w:p>
                  </w:txbxContent>
                </v:textbox>
              </v:shape>
            </w:pict>
          </mc:Fallback>
        </mc:AlternateContent>
      </w:r>
      <w:r w:rsidRPr="00B93AFA">
        <w:rPr>
          <w:noProof/>
          <w:lang w:eastAsia="en-GB"/>
        </w:rPr>
        <w:drawing>
          <wp:inline distT="0" distB="0" distL="0" distR="0" wp14:anchorId="2CA3F8B6" wp14:editId="29891C62">
            <wp:extent cx="5397500" cy="1352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1352550"/>
                    </a:xfrm>
                    <a:prstGeom prst="rect">
                      <a:avLst/>
                    </a:prstGeom>
                    <a:noFill/>
                    <a:ln>
                      <a:noFill/>
                    </a:ln>
                  </pic:spPr>
                </pic:pic>
              </a:graphicData>
            </a:graphic>
          </wp:inline>
        </w:drawing>
      </w:r>
    </w:p>
    <w:p w14:paraId="733302B5" w14:textId="77777777" w:rsidR="007002A8" w:rsidRDefault="007002A8" w:rsidP="007002A8">
      <w:pPr>
        <w:pStyle w:val="SingleTxtG"/>
        <w:ind w:left="567"/>
        <w:jc w:val="right"/>
      </w:pPr>
      <w:r>
        <w:rPr>
          <w:noProof/>
          <w:lang w:eastAsia="en-GB"/>
        </w:rPr>
        <w:t>a= 8 mm min</w:t>
      </w:r>
    </w:p>
    <w:p w14:paraId="06FBBE89" w14:textId="7ADE009E" w:rsidR="007002A8" w:rsidRDefault="007002A8" w:rsidP="007002A8">
      <w:pPr>
        <w:pStyle w:val="SingleTxtG"/>
        <w:ind w:firstLine="567"/>
      </w:pPr>
      <w:r w:rsidRPr="002E2E03">
        <w:t>The above approval mark affixed to a vehicle shows that the vehicle type concerned has been approved in the Netherlands (E</w:t>
      </w:r>
      <w:r>
        <w:t xml:space="preserve"> </w:t>
      </w:r>
      <w:r w:rsidRPr="002E2E03">
        <w:t xml:space="preserve">4) pursuant to </w:t>
      </w:r>
      <w:r>
        <w:t xml:space="preserve">UN </w:t>
      </w:r>
      <w:r w:rsidRPr="002E2E03">
        <w:t>Regulation No. 26 and under approval number 0</w:t>
      </w:r>
      <w:r w:rsidR="00567511">
        <w:rPr>
          <w:b/>
          <w:bCs/>
        </w:rPr>
        <w:t>5</w:t>
      </w:r>
      <w:r w:rsidRPr="002E2E03">
        <w:t xml:space="preserve">2439. </w:t>
      </w:r>
      <w:r w:rsidRPr="008C3F80">
        <w:t xml:space="preserve">The first two digits of the approval number indicate that UN Regulation No. </w:t>
      </w:r>
      <w:r>
        <w:t>26</w:t>
      </w:r>
      <w:r w:rsidRPr="008C3F80">
        <w:t xml:space="preserve"> already included the 04 series of amendments when the approval was granted.</w:t>
      </w:r>
    </w:p>
    <w:p w14:paraId="02C94D17" w14:textId="77777777" w:rsidR="007002A8" w:rsidRDefault="007002A8" w:rsidP="007002A8">
      <w:pPr>
        <w:pStyle w:val="Heading1"/>
        <w:spacing w:after="120"/>
      </w:pPr>
      <w:r>
        <w:t>Model B</w:t>
      </w:r>
    </w:p>
    <w:p w14:paraId="7F9F0B1F" w14:textId="77777777" w:rsidR="007002A8" w:rsidRDefault="007002A8" w:rsidP="007002A8">
      <w:pPr>
        <w:pStyle w:val="Heading1"/>
      </w:pPr>
      <w:r w:rsidRPr="00C24E30">
        <w:t>(See paragraph 4.1.5. of this Regulation)</w:t>
      </w:r>
    </w:p>
    <w:p w14:paraId="137AA512" w14:textId="77777777" w:rsidR="007002A8" w:rsidRDefault="007002A8" w:rsidP="007002A8">
      <w:pPr>
        <w:pStyle w:val="SingleTxtG"/>
        <w:ind w:left="567"/>
        <w:rPr>
          <w:noProof/>
          <w:lang w:eastAsia="en-GB"/>
        </w:rPr>
      </w:pPr>
      <w:r>
        <w:rPr>
          <w:noProof/>
        </w:rPr>
        <w:lastRenderedPageBreak/>
        <mc:AlternateContent>
          <mc:Choice Requires="wps">
            <w:drawing>
              <wp:anchor distT="0" distB="0" distL="114300" distR="114300" simplePos="0" relativeHeight="251660288" behindDoc="0" locked="0" layoutInCell="1" allowOverlap="1" wp14:anchorId="0C12B345" wp14:editId="44742579">
                <wp:simplePos x="0" y="0"/>
                <wp:positionH relativeFrom="column">
                  <wp:posOffset>3528060</wp:posOffset>
                </wp:positionH>
                <wp:positionV relativeFrom="paragraph">
                  <wp:posOffset>206375</wp:posOffset>
                </wp:positionV>
                <wp:extent cx="1390650" cy="3238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wps:spPr>
                      <wps:txbx>
                        <w:txbxContent>
                          <w:p w14:paraId="6A5DCDE7" w14:textId="6FA2B3E6" w:rsidR="007002A8" w:rsidRPr="004A53DF" w:rsidRDefault="007002A8" w:rsidP="007002A8">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A71640">
                              <w:rPr>
                                <w:rFonts w:ascii="Arial" w:hAnsi="Arial" w:cs="Arial"/>
                                <w:sz w:val="48"/>
                                <w:szCs w:val="48"/>
                              </w:rPr>
                              <w:t>5</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2B345" id="Text Box 4" o:spid="_x0000_s1027" type="#_x0000_t202" style="position:absolute;left:0;text-align:left;margin-left:277.8pt;margin-top:16.25pt;width:10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" stroked="f">
                <v:textbox inset="1.5mm,0,1.5mm,0">
                  <w:txbxContent>
                    <w:p w14:paraId="6A5DCDE7" w14:textId="6FA2B3E6" w:rsidR="007002A8" w:rsidRPr="004A53DF" w:rsidRDefault="007002A8" w:rsidP="007002A8">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A71640">
                        <w:rPr>
                          <w:rFonts w:ascii="Arial" w:hAnsi="Arial" w:cs="Arial"/>
                          <w:sz w:val="48"/>
                          <w:szCs w:val="48"/>
                        </w:rPr>
                        <w:t>5</w:t>
                      </w:r>
                      <w:r w:rsidRPr="004A53DF">
                        <w:rPr>
                          <w:rFonts w:ascii="Arial" w:hAnsi="Arial" w:cs="Arial"/>
                          <w:sz w:val="48"/>
                          <w:szCs w:val="48"/>
                        </w:rPr>
                        <w:t xml:space="preserve"> 2439</w:t>
                      </w:r>
                    </w:p>
                  </w:txbxContent>
                </v:textbox>
              </v:shape>
            </w:pict>
          </mc:Fallback>
        </mc:AlternateContent>
      </w:r>
      <w:r w:rsidRPr="00B93AFA">
        <w:rPr>
          <w:noProof/>
          <w:lang w:eastAsia="en-GB"/>
        </w:rPr>
        <w:drawing>
          <wp:inline distT="0" distB="0" distL="0" distR="0" wp14:anchorId="36CE70C5" wp14:editId="28C8F8EE">
            <wp:extent cx="5486400" cy="1200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200150"/>
                    </a:xfrm>
                    <a:prstGeom prst="rect">
                      <a:avLst/>
                    </a:prstGeom>
                    <a:noFill/>
                    <a:ln>
                      <a:noFill/>
                    </a:ln>
                  </pic:spPr>
                </pic:pic>
              </a:graphicData>
            </a:graphic>
          </wp:inline>
        </w:drawing>
      </w:r>
    </w:p>
    <w:p w14:paraId="631B50DE" w14:textId="77777777" w:rsidR="007002A8" w:rsidRDefault="007002A8" w:rsidP="007002A8">
      <w:pPr>
        <w:pStyle w:val="SingleTxtG"/>
        <w:ind w:left="567"/>
        <w:jc w:val="right"/>
      </w:pPr>
      <w:r>
        <w:rPr>
          <w:noProof/>
          <w:lang w:eastAsia="en-GB"/>
        </w:rPr>
        <w:t>a= 8 mm min</w:t>
      </w:r>
    </w:p>
    <w:p w14:paraId="29FA50BB" w14:textId="252457EE" w:rsidR="007002A8" w:rsidRPr="00C24E30" w:rsidRDefault="007002A8" w:rsidP="007002A8">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t xml:space="preserve">UN </w:t>
      </w:r>
      <w:r w:rsidRPr="00C24E30">
        <w:t>Regulati</w:t>
      </w:r>
      <w:r>
        <w:t>on No. 26 and UN Regulation No. 24.</w:t>
      </w:r>
      <w:r>
        <w:rPr>
          <w:rStyle w:val="FootnoteReference"/>
        </w:rPr>
        <w:footnoteReference w:id="3"/>
      </w:r>
      <w:r w:rsidRPr="00C24E30">
        <w:t xml:space="preserve"> The first two digits of the approval numbers indicate that, at the dates when the respective approvals were given, </w:t>
      </w:r>
      <w:r>
        <w:t xml:space="preserve">UN </w:t>
      </w:r>
      <w:r w:rsidRPr="000651BF">
        <w:t>Regulation No. 26 included the 0</w:t>
      </w:r>
      <w:r w:rsidR="00A71640">
        <w:rPr>
          <w:b/>
          <w:bCs/>
        </w:rPr>
        <w:t>5</w:t>
      </w:r>
      <w:r w:rsidRPr="000651BF">
        <w:t xml:space="preserve"> series of amendments</w:t>
      </w:r>
      <w:r w:rsidRPr="00C24E30">
        <w:t xml:space="preserve">, while </w:t>
      </w:r>
      <w:r>
        <w:t xml:space="preserve">UN </w:t>
      </w:r>
      <w:r w:rsidRPr="00C24E30">
        <w:t>Regulation No. 24 already included the 03 series of amendments.</w:t>
      </w:r>
      <w:r>
        <w:t>"</w:t>
      </w:r>
    </w:p>
    <w:p w14:paraId="741C1AE0" w14:textId="77777777" w:rsidR="00E50127" w:rsidRPr="0088135C" w:rsidRDefault="00E50127" w:rsidP="00E50127">
      <w:pPr>
        <w:keepNext/>
        <w:keepLines/>
        <w:tabs>
          <w:tab w:val="right" w:pos="851"/>
        </w:tabs>
        <w:spacing w:before="360" w:after="240" w:line="300" w:lineRule="exact"/>
        <w:ind w:left="1134" w:right="1134" w:hanging="1134"/>
        <w:rPr>
          <w:b/>
          <w:sz w:val="28"/>
        </w:rPr>
      </w:pPr>
      <w:r w:rsidRPr="00704E91">
        <w:rPr>
          <w:b/>
          <w:sz w:val="28"/>
        </w:rPr>
        <w:tab/>
      </w:r>
      <w:r w:rsidRPr="0088135C">
        <w:rPr>
          <w:b/>
          <w:sz w:val="28"/>
        </w:rPr>
        <w:t>II.</w:t>
      </w:r>
      <w:r w:rsidRPr="0088135C">
        <w:rPr>
          <w:b/>
          <w:sz w:val="28"/>
        </w:rPr>
        <w:tab/>
        <w:t>Justification</w:t>
      </w:r>
    </w:p>
    <w:p w14:paraId="75400B5E" w14:textId="586A8B8D" w:rsidR="00E50127" w:rsidRPr="00BB68FA" w:rsidRDefault="00E50127" w:rsidP="0099181B">
      <w:pPr>
        <w:pStyle w:val="SingleTxtG"/>
        <w:ind w:firstLine="567"/>
        <w:rPr>
          <w:lang w:eastAsia="ja-JP"/>
        </w:rPr>
      </w:pPr>
      <w:r w:rsidRPr="00BB68FA">
        <w:rPr>
          <w:lang w:eastAsia="ja-JP"/>
        </w:rPr>
        <w:t xml:space="preserve">The </w:t>
      </w:r>
      <w:r w:rsidR="00B118D7">
        <w:rPr>
          <w:lang w:eastAsia="ja-JP"/>
        </w:rPr>
        <w:t>Task Force of the Working Party on General Safety provisions</w:t>
      </w:r>
      <w:r w:rsidRPr="00BB68FA">
        <w:rPr>
          <w:lang w:eastAsia="ja-JP"/>
        </w:rPr>
        <w:t xml:space="preserve"> on UN R</w:t>
      </w:r>
      <w:r w:rsidR="00560DD2">
        <w:rPr>
          <w:lang w:eastAsia="ja-JP"/>
        </w:rPr>
        <w:t xml:space="preserve">egulation No. </w:t>
      </w:r>
      <w:r w:rsidRPr="00BB68FA">
        <w:rPr>
          <w:lang w:eastAsia="ja-JP"/>
        </w:rPr>
        <w:t>46 proposes to delete the contents regarding the surveillance cameras/m</w:t>
      </w:r>
      <w:r>
        <w:rPr>
          <w:lang w:eastAsia="ja-JP"/>
        </w:rPr>
        <w:t xml:space="preserve">irrors in UN Regulation No. 46. Currently there is a provision made that no surveillance camera/mirror shall be handled under </w:t>
      </w:r>
      <w:r w:rsidR="0099181B">
        <w:rPr>
          <w:lang w:eastAsia="ja-JP"/>
        </w:rPr>
        <w:t>UN Regulation</w:t>
      </w:r>
      <w:r>
        <w:rPr>
          <w:lang w:eastAsia="ja-JP"/>
        </w:rPr>
        <w:t xml:space="preserve"> No. 46, but then stating some specific requirements. </w:t>
      </w:r>
      <w:r w:rsidR="00B40F5E">
        <w:rPr>
          <w:lang w:eastAsia="ja-JP"/>
        </w:rPr>
        <w:t xml:space="preserve">For the </w:t>
      </w:r>
      <w:r>
        <w:rPr>
          <w:lang w:eastAsia="ja-JP"/>
        </w:rPr>
        <w:t xml:space="preserve">sake of clarity, these requirements shall be moved to the </w:t>
      </w:r>
      <w:r w:rsidR="0099181B">
        <w:rPr>
          <w:lang w:eastAsia="ja-JP"/>
        </w:rPr>
        <w:t>UN Regulation</w:t>
      </w:r>
      <w:r>
        <w:rPr>
          <w:lang w:eastAsia="ja-JP"/>
        </w:rPr>
        <w:t>s dealing with the external projections, namely UN Regulation No. 26 for passenger cars and UN Regulation No. 61 for commercial vehicles.</w:t>
      </w:r>
    </w:p>
    <w:p w14:paraId="561A3979" w14:textId="77777777" w:rsidR="00B444D2" w:rsidRPr="005F0F7C" w:rsidRDefault="00B444D2" w:rsidP="00B444D2">
      <w:pPr>
        <w:spacing w:before="240"/>
        <w:jc w:val="center"/>
        <w:rPr>
          <w:rFonts w:eastAsia="Malgun Gothic"/>
          <w:u w:val="single"/>
          <w:lang w:val="en-US" w:eastAsia="ko-KR"/>
        </w:rPr>
      </w:pPr>
      <w:r>
        <w:rPr>
          <w:rFonts w:eastAsia="Malgun Gothic"/>
          <w:u w:val="single"/>
          <w:lang w:val="en-US" w:eastAsia="ko-KR"/>
        </w:rPr>
        <w:tab/>
      </w:r>
      <w:r>
        <w:rPr>
          <w:rFonts w:eastAsia="Malgun Gothic"/>
          <w:u w:val="single"/>
          <w:lang w:val="en-US" w:eastAsia="ko-KR"/>
        </w:rPr>
        <w:tab/>
      </w:r>
      <w:r>
        <w:rPr>
          <w:rFonts w:eastAsia="Malgun Gothic"/>
          <w:u w:val="single"/>
          <w:lang w:val="en-US" w:eastAsia="ko-KR"/>
        </w:rPr>
        <w:tab/>
      </w:r>
    </w:p>
    <w:p w14:paraId="05321034" w14:textId="77777777" w:rsidR="001C6663" w:rsidRPr="00B444D2" w:rsidRDefault="001C6663" w:rsidP="00595520"/>
    <w:sectPr w:rsidR="001C6663" w:rsidRPr="00B444D2" w:rsidSect="00B444D2">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9025" w14:textId="77777777" w:rsidR="002A5E2B" w:rsidRDefault="002A5E2B"/>
  </w:endnote>
  <w:endnote w:type="continuationSeparator" w:id="0">
    <w:p w14:paraId="7C6CE38D" w14:textId="77777777" w:rsidR="002A5E2B" w:rsidRDefault="002A5E2B"/>
  </w:endnote>
  <w:endnote w:type="continuationNotice" w:id="1">
    <w:p w14:paraId="77117B47" w14:textId="77777777" w:rsidR="002A5E2B" w:rsidRDefault="002A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E25B" w14:textId="6B150DD8" w:rsidR="00B444D2" w:rsidRPr="00B444D2" w:rsidRDefault="00B444D2" w:rsidP="00B444D2">
    <w:pPr>
      <w:pStyle w:val="Footer"/>
      <w:tabs>
        <w:tab w:val="right" w:pos="9638"/>
      </w:tabs>
      <w:rPr>
        <w:sz w:val="18"/>
      </w:rPr>
    </w:pPr>
    <w:r w:rsidRPr="00B444D2">
      <w:rPr>
        <w:b/>
        <w:sz w:val="18"/>
      </w:rPr>
      <w:fldChar w:fldCharType="begin"/>
    </w:r>
    <w:r w:rsidRPr="00B444D2">
      <w:rPr>
        <w:b/>
        <w:sz w:val="18"/>
      </w:rPr>
      <w:instrText xml:space="preserve"> PAGE  \* MERGEFORMAT </w:instrText>
    </w:r>
    <w:r w:rsidRPr="00B444D2">
      <w:rPr>
        <w:b/>
        <w:sz w:val="18"/>
      </w:rPr>
      <w:fldChar w:fldCharType="separate"/>
    </w:r>
    <w:r w:rsidRPr="00B444D2">
      <w:rPr>
        <w:b/>
        <w:noProof/>
        <w:sz w:val="18"/>
      </w:rPr>
      <w:t>2</w:t>
    </w:r>
    <w:r w:rsidRPr="00B444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ECCB" w14:textId="0EF71015" w:rsidR="00B444D2" w:rsidRPr="00B444D2" w:rsidRDefault="00B444D2" w:rsidP="00B444D2">
    <w:pPr>
      <w:pStyle w:val="Footer"/>
      <w:tabs>
        <w:tab w:val="right" w:pos="9638"/>
      </w:tabs>
      <w:rPr>
        <w:b/>
        <w:sz w:val="18"/>
      </w:rPr>
    </w:pPr>
    <w:r>
      <w:tab/>
    </w:r>
    <w:r w:rsidRPr="00B444D2">
      <w:rPr>
        <w:b/>
        <w:sz w:val="18"/>
      </w:rPr>
      <w:fldChar w:fldCharType="begin"/>
    </w:r>
    <w:r w:rsidRPr="00B444D2">
      <w:rPr>
        <w:b/>
        <w:sz w:val="18"/>
      </w:rPr>
      <w:instrText xml:space="preserve"> PAGE  \* MERGEFORMAT </w:instrText>
    </w:r>
    <w:r w:rsidRPr="00B444D2">
      <w:rPr>
        <w:b/>
        <w:sz w:val="18"/>
      </w:rPr>
      <w:fldChar w:fldCharType="separate"/>
    </w:r>
    <w:r w:rsidRPr="00B444D2">
      <w:rPr>
        <w:b/>
        <w:noProof/>
        <w:sz w:val="18"/>
      </w:rPr>
      <w:t>3</w:t>
    </w:r>
    <w:r w:rsidRPr="00B444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5105" w14:textId="3EE90486" w:rsidR="0035223F" w:rsidRDefault="005E0BA3" w:rsidP="005E0BA3">
    <w:pPr>
      <w:pStyle w:val="Footer"/>
      <w:rPr>
        <w:sz w:val="20"/>
      </w:rPr>
    </w:pPr>
    <w:r w:rsidRPr="005E0BA3">
      <w:rPr>
        <w:noProof/>
        <w:sz w:val="20"/>
        <w:lang w:val="en-US"/>
      </w:rPr>
      <w:drawing>
        <wp:anchor distT="0" distB="0" distL="114300" distR="114300" simplePos="0" relativeHeight="251662336" behindDoc="0" locked="1" layoutInCell="1" allowOverlap="1" wp14:anchorId="2EC8C7E7" wp14:editId="67A9AF80">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F5634A" w14:textId="48E094BB" w:rsidR="005E0BA3" w:rsidRPr="005E0BA3" w:rsidRDefault="005E0BA3" w:rsidP="005E0BA3">
    <w:pPr>
      <w:pStyle w:val="Footer"/>
      <w:ind w:right="1134"/>
      <w:rPr>
        <w:sz w:val="20"/>
      </w:rPr>
    </w:pPr>
    <w:r>
      <w:rPr>
        <w:sz w:val="20"/>
      </w:rPr>
      <w:t>GE.23-14141(E)</w:t>
    </w:r>
    <w:r>
      <w:rPr>
        <w:noProof/>
        <w:sz w:val="20"/>
      </w:rPr>
      <w:drawing>
        <wp:anchor distT="0" distB="0" distL="114300" distR="114300" simplePos="0" relativeHeight="251663360" behindDoc="0" locked="0" layoutInCell="1" allowOverlap="1" wp14:anchorId="20F4F5A2" wp14:editId="7F729816">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C709" w14:textId="77777777" w:rsidR="002A5E2B" w:rsidRPr="000B175B" w:rsidRDefault="002A5E2B" w:rsidP="000B175B">
      <w:pPr>
        <w:tabs>
          <w:tab w:val="right" w:pos="2155"/>
        </w:tabs>
        <w:spacing w:after="80"/>
        <w:ind w:left="680"/>
        <w:rPr>
          <w:u w:val="single"/>
        </w:rPr>
      </w:pPr>
      <w:r>
        <w:rPr>
          <w:u w:val="single"/>
        </w:rPr>
        <w:tab/>
      </w:r>
    </w:p>
  </w:footnote>
  <w:footnote w:type="continuationSeparator" w:id="0">
    <w:p w14:paraId="3BCBF569" w14:textId="77777777" w:rsidR="002A5E2B" w:rsidRPr="00FC68B7" w:rsidRDefault="002A5E2B" w:rsidP="00FC68B7">
      <w:pPr>
        <w:tabs>
          <w:tab w:val="left" w:pos="2155"/>
        </w:tabs>
        <w:spacing w:after="80"/>
        <w:ind w:left="680"/>
        <w:rPr>
          <w:u w:val="single"/>
        </w:rPr>
      </w:pPr>
      <w:r>
        <w:rPr>
          <w:u w:val="single"/>
        </w:rPr>
        <w:tab/>
      </w:r>
    </w:p>
  </w:footnote>
  <w:footnote w:type="continuationNotice" w:id="1">
    <w:p w14:paraId="04CE1230" w14:textId="77777777" w:rsidR="002A5E2B" w:rsidRDefault="002A5E2B"/>
  </w:footnote>
  <w:footnote w:id="2">
    <w:p w14:paraId="5AAC5854" w14:textId="77777777" w:rsidR="00F01684" w:rsidRPr="00EA370C" w:rsidRDefault="00F01684" w:rsidP="00F0168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1028140" w14:textId="77777777" w:rsidR="007002A8" w:rsidRPr="00825F57" w:rsidRDefault="007002A8" w:rsidP="007002A8">
      <w:pPr>
        <w:pStyle w:val="FootnoteText"/>
        <w:widowControl w:val="0"/>
        <w:tabs>
          <w:tab w:val="clear" w:pos="1021"/>
          <w:tab w:val="right" w:pos="1020"/>
        </w:tabs>
      </w:pPr>
      <w:r>
        <w:tab/>
      </w:r>
      <w:r>
        <w:rPr>
          <w:rStyle w:val="FootnoteReference"/>
        </w:rPr>
        <w:footnoteRef/>
      </w:r>
      <w:r>
        <w:tab/>
      </w:r>
      <w:r w:rsidRPr="00744272">
        <w:t>The second Regulation number is given merely as an example; the corrected absorption coefficient is 1.30 m</w:t>
      </w:r>
      <w:r w:rsidRPr="00744272">
        <w:rPr>
          <w:vertAlign w:val="superscript"/>
        </w:rPr>
        <w:t>-1</w:t>
      </w:r>
      <w:r w:rsidRPr="007442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B62" w14:textId="767B3AFF" w:rsidR="00B444D2" w:rsidRPr="00F01684" w:rsidRDefault="00F01684">
    <w:pPr>
      <w:pStyle w:val="Header"/>
      <w:rPr>
        <w:lang w:val="fr-CH"/>
      </w:rPr>
    </w:pPr>
    <w:r>
      <w:rPr>
        <w:lang w:val="fr-CH"/>
      </w:rPr>
      <w:t>ECE/TRANS/WP.29/GRSG/2023/22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4E6D" w14:textId="3D570464" w:rsidR="00B444D2" w:rsidRPr="00F01684" w:rsidRDefault="00F01684" w:rsidP="00F01684">
    <w:pPr>
      <w:pStyle w:val="Header"/>
      <w:jc w:val="right"/>
      <w:rPr>
        <w:lang w:val="fr-CH"/>
      </w:rPr>
    </w:pPr>
    <w:r>
      <w:rPr>
        <w:lang w:val="fr-CH"/>
      </w:rPr>
      <w:t>ECE/TRANS/WP.29/GRSG/2023/22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2E6DBF"/>
    <w:multiLevelType w:val="hybridMultilevel"/>
    <w:tmpl w:val="186A1918"/>
    <w:lvl w:ilvl="0" w:tplc="02A484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9B74A3"/>
    <w:multiLevelType w:val="hybridMultilevel"/>
    <w:tmpl w:val="E5B4E14E"/>
    <w:lvl w:ilvl="0" w:tplc="0CE61396">
      <w:start w:val="1"/>
      <w:numFmt w:val="decimal"/>
      <w:lvlText w:val="%1."/>
      <w:lvlJc w:val="left"/>
      <w:pPr>
        <w:ind w:left="1494" w:hanging="360"/>
      </w:pPr>
      <w:rPr>
        <w:rFonts w:hint="default"/>
      </w:rPr>
    </w:lvl>
    <w:lvl w:ilvl="1" w:tplc="04130001">
      <w:start w:val="1"/>
      <w:numFmt w:val="bullet"/>
      <w:lvlText w:val=""/>
      <w:lvlJc w:val="left"/>
      <w:pPr>
        <w:ind w:left="2214"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93163D"/>
    <w:multiLevelType w:val="hybridMultilevel"/>
    <w:tmpl w:val="C90A0426"/>
    <w:lvl w:ilvl="0" w:tplc="EEFAA33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1" w15:restartNumberingAfterBreak="0">
    <w:nsid w:val="40BE68AB"/>
    <w:multiLevelType w:val="hybridMultilevel"/>
    <w:tmpl w:val="E5A6A7F2"/>
    <w:lvl w:ilvl="0" w:tplc="D4BEF60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3D4D99"/>
    <w:multiLevelType w:val="hybridMultilevel"/>
    <w:tmpl w:val="066462F8"/>
    <w:lvl w:ilvl="0" w:tplc="1638A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C9A6F6D"/>
    <w:multiLevelType w:val="hybridMultilevel"/>
    <w:tmpl w:val="A3FC7C9C"/>
    <w:lvl w:ilvl="0" w:tplc="FFFFFFFF">
      <w:start w:val="1"/>
      <w:numFmt w:val="decimal"/>
      <w:lvlText w:val="%1."/>
      <w:lvlJc w:val="left"/>
      <w:pPr>
        <w:ind w:left="1494" w:hanging="360"/>
      </w:pPr>
      <w:rPr>
        <w:rFonts w:hint="default"/>
      </w:rPr>
    </w:lvl>
    <w:lvl w:ilvl="1" w:tplc="02A484E0">
      <w:start w:val="1"/>
      <w:numFmt w:val="lowerLetter"/>
      <w:lvlText w:val="(%2)"/>
      <w:lvlJc w:val="left"/>
      <w:pPr>
        <w:ind w:left="2214" w:hanging="360"/>
      </w:pPr>
      <w:rPr>
        <w:rFonts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5E465E56"/>
    <w:multiLevelType w:val="hybridMultilevel"/>
    <w:tmpl w:val="BB7C1CD4"/>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61EAB"/>
    <w:multiLevelType w:val="hybridMultilevel"/>
    <w:tmpl w:val="2146D3E4"/>
    <w:lvl w:ilvl="0" w:tplc="7EA4D984">
      <w:start w:val="1"/>
      <w:numFmt w:val="lowerLetter"/>
      <w:lvlText w:val="(%1)"/>
      <w:lvlJc w:val="left"/>
      <w:pPr>
        <w:ind w:left="720" w:hanging="360"/>
      </w:pPr>
      <w:rPr>
        <w:rFonts w:ascii="Times New Roman" w:eastAsia="MS Mincho"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51384354">
    <w:abstractNumId w:val="1"/>
  </w:num>
  <w:num w:numId="2" w16cid:durableId="357003388">
    <w:abstractNumId w:val="0"/>
  </w:num>
  <w:num w:numId="3" w16cid:durableId="1859731117">
    <w:abstractNumId w:val="2"/>
  </w:num>
  <w:num w:numId="4" w16cid:durableId="1456866615">
    <w:abstractNumId w:val="3"/>
  </w:num>
  <w:num w:numId="5" w16cid:durableId="1369647000">
    <w:abstractNumId w:val="8"/>
  </w:num>
  <w:num w:numId="6" w16cid:durableId="1597783472">
    <w:abstractNumId w:val="9"/>
  </w:num>
  <w:num w:numId="7" w16cid:durableId="802187516">
    <w:abstractNumId w:val="7"/>
  </w:num>
  <w:num w:numId="8" w16cid:durableId="1351375021">
    <w:abstractNumId w:val="6"/>
  </w:num>
  <w:num w:numId="9" w16cid:durableId="1937055410">
    <w:abstractNumId w:val="5"/>
  </w:num>
  <w:num w:numId="10" w16cid:durableId="492110700">
    <w:abstractNumId w:val="4"/>
  </w:num>
  <w:num w:numId="11" w16cid:durableId="152456178">
    <w:abstractNumId w:val="18"/>
  </w:num>
  <w:num w:numId="12" w16cid:durableId="1379889465">
    <w:abstractNumId w:val="17"/>
  </w:num>
  <w:num w:numId="13" w16cid:durableId="1829855894">
    <w:abstractNumId w:val="10"/>
  </w:num>
  <w:num w:numId="14" w16cid:durableId="2146316321">
    <w:abstractNumId w:val="15"/>
  </w:num>
  <w:num w:numId="15" w16cid:durableId="2123912198">
    <w:abstractNumId w:val="19"/>
  </w:num>
  <w:num w:numId="16" w16cid:durableId="737361635">
    <w:abstractNumId w:val="16"/>
  </w:num>
  <w:num w:numId="17" w16cid:durableId="333998762">
    <w:abstractNumId w:val="25"/>
  </w:num>
  <w:num w:numId="18" w16cid:durableId="810362159">
    <w:abstractNumId w:val="27"/>
  </w:num>
  <w:num w:numId="19" w16cid:durableId="1895312746">
    <w:abstractNumId w:val="13"/>
  </w:num>
  <w:num w:numId="20" w16cid:durableId="1716390905">
    <w:abstractNumId w:val="14"/>
  </w:num>
  <w:num w:numId="21" w16cid:durableId="1868324028">
    <w:abstractNumId w:val="26"/>
  </w:num>
  <w:num w:numId="22" w16cid:durableId="1326395757">
    <w:abstractNumId w:val="21"/>
  </w:num>
  <w:num w:numId="23" w16cid:durableId="614992542">
    <w:abstractNumId w:val="22"/>
  </w:num>
  <w:num w:numId="24" w16cid:durableId="1260992348">
    <w:abstractNumId w:val="11"/>
  </w:num>
  <w:num w:numId="25" w16cid:durableId="162553374">
    <w:abstractNumId w:val="24"/>
  </w:num>
  <w:num w:numId="26" w16cid:durableId="470750570">
    <w:abstractNumId w:val="20"/>
  </w:num>
  <w:num w:numId="27" w16cid:durableId="572545735">
    <w:abstractNumId w:val="12"/>
  </w:num>
  <w:num w:numId="28" w16cid:durableId="193339350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D2"/>
    <w:rsid w:val="00002A7D"/>
    <w:rsid w:val="000038A8"/>
    <w:rsid w:val="00005DF3"/>
    <w:rsid w:val="00006790"/>
    <w:rsid w:val="000128C4"/>
    <w:rsid w:val="00027624"/>
    <w:rsid w:val="00050F6B"/>
    <w:rsid w:val="0006174E"/>
    <w:rsid w:val="00062986"/>
    <w:rsid w:val="000678CD"/>
    <w:rsid w:val="00072C8C"/>
    <w:rsid w:val="00081CE0"/>
    <w:rsid w:val="00084D30"/>
    <w:rsid w:val="00090320"/>
    <w:rsid w:val="000931C0"/>
    <w:rsid w:val="00096C33"/>
    <w:rsid w:val="00097003"/>
    <w:rsid w:val="000976C6"/>
    <w:rsid w:val="000A2E09"/>
    <w:rsid w:val="000B175B"/>
    <w:rsid w:val="000B3A0F"/>
    <w:rsid w:val="000D47BE"/>
    <w:rsid w:val="000E0415"/>
    <w:rsid w:val="000F7715"/>
    <w:rsid w:val="00121A1D"/>
    <w:rsid w:val="00156B99"/>
    <w:rsid w:val="00166124"/>
    <w:rsid w:val="0016703D"/>
    <w:rsid w:val="00170935"/>
    <w:rsid w:val="00184DDA"/>
    <w:rsid w:val="001900CD"/>
    <w:rsid w:val="001A0452"/>
    <w:rsid w:val="001A368B"/>
    <w:rsid w:val="001B4B04"/>
    <w:rsid w:val="001B5875"/>
    <w:rsid w:val="001C1158"/>
    <w:rsid w:val="001C4B9C"/>
    <w:rsid w:val="001C6663"/>
    <w:rsid w:val="001C7895"/>
    <w:rsid w:val="001D26DF"/>
    <w:rsid w:val="001E4AA8"/>
    <w:rsid w:val="001F1599"/>
    <w:rsid w:val="001F19C4"/>
    <w:rsid w:val="002043F0"/>
    <w:rsid w:val="0021131F"/>
    <w:rsid w:val="00211E0B"/>
    <w:rsid w:val="00232575"/>
    <w:rsid w:val="00247258"/>
    <w:rsid w:val="00257CAC"/>
    <w:rsid w:val="002608A5"/>
    <w:rsid w:val="00264BA2"/>
    <w:rsid w:val="0027237A"/>
    <w:rsid w:val="002774E3"/>
    <w:rsid w:val="00287073"/>
    <w:rsid w:val="002974E9"/>
    <w:rsid w:val="002A306B"/>
    <w:rsid w:val="002A5E2B"/>
    <w:rsid w:val="002A7F94"/>
    <w:rsid w:val="002B109A"/>
    <w:rsid w:val="002C429E"/>
    <w:rsid w:val="002C6D45"/>
    <w:rsid w:val="002D3F1F"/>
    <w:rsid w:val="002D60EB"/>
    <w:rsid w:val="002D6E53"/>
    <w:rsid w:val="002F046D"/>
    <w:rsid w:val="002F3023"/>
    <w:rsid w:val="00301764"/>
    <w:rsid w:val="003035A8"/>
    <w:rsid w:val="00317AF9"/>
    <w:rsid w:val="003229D8"/>
    <w:rsid w:val="0033681D"/>
    <w:rsid w:val="00336C97"/>
    <w:rsid w:val="00337F88"/>
    <w:rsid w:val="00342432"/>
    <w:rsid w:val="0035223F"/>
    <w:rsid w:val="00352D4B"/>
    <w:rsid w:val="0035638C"/>
    <w:rsid w:val="00357159"/>
    <w:rsid w:val="0036016D"/>
    <w:rsid w:val="00384D54"/>
    <w:rsid w:val="003A0FCF"/>
    <w:rsid w:val="003A46BB"/>
    <w:rsid w:val="003A4EC7"/>
    <w:rsid w:val="003A7295"/>
    <w:rsid w:val="003B1F60"/>
    <w:rsid w:val="003C2CC4"/>
    <w:rsid w:val="003C3960"/>
    <w:rsid w:val="003C70AD"/>
    <w:rsid w:val="003D4B23"/>
    <w:rsid w:val="003D77C2"/>
    <w:rsid w:val="003E278A"/>
    <w:rsid w:val="003F1C47"/>
    <w:rsid w:val="00403B67"/>
    <w:rsid w:val="00404882"/>
    <w:rsid w:val="00413520"/>
    <w:rsid w:val="004155FD"/>
    <w:rsid w:val="004325CB"/>
    <w:rsid w:val="00440A07"/>
    <w:rsid w:val="00445B8A"/>
    <w:rsid w:val="004471AE"/>
    <w:rsid w:val="0045373F"/>
    <w:rsid w:val="00462880"/>
    <w:rsid w:val="00463371"/>
    <w:rsid w:val="00467A8D"/>
    <w:rsid w:val="00475EFE"/>
    <w:rsid w:val="00476F24"/>
    <w:rsid w:val="0048109D"/>
    <w:rsid w:val="004A5D33"/>
    <w:rsid w:val="004A63A7"/>
    <w:rsid w:val="004B34BF"/>
    <w:rsid w:val="004C55B0"/>
    <w:rsid w:val="004E7A5E"/>
    <w:rsid w:val="004F1BE2"/>
    <w:rsid w:val="004F6BA0"/>
    <w:rsid w:val="00502DCF"/>
    <w:rsid w:val="00503BEA"/>
    <w:rsid w:val="005262C6"/>
    <w:rsid w:val="00533616"/>
    <w:rsid w:val="00535ABA"/>
    <w:rsid w:val="0053768B"/>
    <w:rsid w:val="00540DA8"/>
    <w:rsid w:val="005420F2"/>
    <w:rsid w:val="0054285C"/>
    <w:rsid w:val="0055742E"/>
    <w:rsid w:val="00560DD2"/>
    <w:rsid w:val="00567511"/>
    <w:rsid w:val="00584173"/>
    <w:rsid w:val="00593695"/>
    <w:rsid w:val="00595520"/>
    <w:rsid w:val="005A147B"/>
    <w:rsid w:val="005A44B9"/>
    <w:rsid w:val="005B1BA0"/>
    <w:rsid w:val="005B3DB3"/>
    <w:rsid w:val="005B6B78"/>
    <w:rsid w:val="005C0268"/>
    <w:rsid w:val="005C738E"/>
    <w:rsid w:val="005D15CA"/>
    <w:rsid w:val="005E0BA3"/>
    <w:rsid w:val="005F08DF"/>
    <w:rsid w:val="005F3066"/>
    <w:rsid w:val="005F3E61"/>
    <w:rsid w:val="00604DDD"/>
    <w:rsid w:val="006115CC"/>
    <w:rsid w:val="00611FC4"/>
    <w:rsid w:val="006176FB"/>
    <w:rsid w:val="00630FCB"/>
    <w:rsid w:val="00640B26"/>
    <w:rsid w:val="00656D70"/>
    <w:rsid w:val="0065766B"/>
    <w:rsid w:val="00672C3A"/>
    <w:rsid w:val="006770B2"/>
    <w:rsid w:val="00681938"/>
    <w:rsid w:val="00686A48"/>
    <w:rsid w:val="0068763C"/>
    <w:rsid w:val="006908A1"/>
    <w:rsid w:val="006940E1"/>
    <w:rsid w:val="006A0374"/>
    <w:rsid w:val="006A0FF6"/>
    <w:rsid w:val="006A3C72"/>
    <w:rsid w:val="006A7392"/>
    <w:rsid w:val="006B03A1"/>
    <w:rsid w:val="006B2097"/>
    <w:rsid w:val="006B67D9"/>
    <w:rsid w:val="006C5535"/>
    <w:rsid w:val="006C64B0"/>
    <w:rsid w:val="006C6B61"/>
    <w:rsid w:val="006D0589"/>
    <w:rsid w:val="006D3AB4"/>
    <w:rsid w:val="006D5034"/>
    <w:rsid w:val="006E564B"/>
    <w:rsid w:val="006E7154"/>
    <w:rsid w:val="007002A8"/>
    <w:rsid w:val="007003CD"/>
    <w:rsid w:val="0070701E"/>
    <w:rsid w:val="007144DD"/>
    <w:rsid w:val="0072632A"/>
    <w:rsid w:val="00731FFC"/>
    <w:rsid w:val="0073492C"/>
    <w:rsid w:val="007358E8"/>
    <w:rsid w:val="00736ECE"/>
    <w:rsid w:val="00744739"/>
    <w:rsid w:val="0074533B"/>
    <w:rsid w:val="007625E0"/>
    <w:rsid w:val="007643BC"/>
    <w:rsid w:val="00780C68"/>
    <w:rsid w:val="007959FE"/>
    <w:rsid w:val="007A0CF1"/>
    <w:rsid w:val="007B5FFE"/>
    <w:rsid w:val="007B6BA5"/>
    <w:rsid w:val="007C3390"/>
    <w:rsid w:val="007C42D8"/>
    <w:rsid w:val="007C4F4B"/>
    <w:rsid w:val="007D6F65"/>
    <w:rsid w:val="007D7362"/>
    <w:rsid w:val="007F5CE2"/>
    <w:rsid w:val="007F6611"/>
    <w:rsid w:val="00810BAC"/>
    <w:rsid w:val="008175E9"/>
    <w:rsid w:val="008242D7"/>
    <w:rsid w:val="0082577B"/>
    <w:rsid w:val="00825CB5"/>
    <w:rsid w:val="008377C3"/>
    <w:rsid w:val="00854099"/>
    <w:rsid w:val="00866893"/>
    <w:rsid w:val="00866F02"/>
    <w:rsid w:val="00867D18"/>
    <w:rsid w:val="00871F9A"/>
    <w:rsid w:val="00871FD5"/>
    <w:rsid w:val="0088172E"/>
    <w:rsid w:val="00881EFA"/>
    <w:rsid w:val="00884CFF"/>
    <w:rsid w:val="008879CB"/>
    <w:rsid w:val="00896702"/>
    <w:rsid w:val="008979B1"/>
    <w:rsid w:val="008A6B25"/>
    <w:rsid w:val="008A6C4F"/>
    <w:rsid w:val="008B389E"/>
    <w:rsid w:val="008D045E"/>
    <w:rsid w:val="008D3F25"/>
    <w:rsid w:val="008D4D82"/>
    <w:rsid w:val="008E0E46"/>
    <w:rsid w:val="008E211A"/>
    <w:rsid w:val="008E7116"/>
    <w:rsid w:val="008F0804"/>
    <w:rsid w:val="008F143B"/>
    <w:rsid w:val="008F3882"/>
    <w:rsid w:val="008F4B7C"/>
    <w:rsid w:val="008F7EEA"/>
    <w:rsid w:val="0091616A"/>
    <w:rsid w:val="00926E47"/>
    <w:rsid w:val="00940B9E"/>
    <w:rsid w:val="00947162"/>
    <w:rsid w:val="009610D0"/>
    <w:rsid w:val="0096375C"/>
    <w:rsid w:val="009662E6"/>
    <w:rsid w:val="0097095E"/>
    <w:rsid w:val="00971A58"/>
    <w:rsid w:val="0098592B"/>
    <w:rsid w:val="00985FC4"/>
    <w:rsid w:val="009870A2"/>
    <w:rsid w:val="00990766"/>
    <w:rsid w:val="00991261"/>
    <w:rsid w:val="0099181B"/>
    <w:rsid w:val="009964C4"/>
    <w:rsid w:val="009A5062"/>
    <w:rsid w:val="009A7B81"/>
    <w:rsid w:val="009B7EB7"/>
    <w:rsid w:val="009D01C0"/>
    <w:rsid w:val="009D6A08"/>
    <w:rsid w:val="009E0A16"/>
    <w:rsid w:val="009E0E27"/>
    <w:rsid w:val="009E6CB7"/>
    <w:rsid w:val="009E7970"/>
    <w:rsid w:val="009F2EAC"/>
    <w:rsid w:val="009F57E3"/>
    <w:rsid w:val="00A10F4F"/>
    <w:rsid w:val="00A11067"/>
    <w:rsid w:val="00A1704A"/>
    <w:rsid w:val="00A247C7"/>
    <w:rsid w:val="00A36AC2"/>
    <w:rsid w:val="00A425EB"/>
    <w:rsid w:val="00A47ED5"/>
    <w:rsid w:val="00A51330"/>
    <w:rsid w:val="00A64D6B"/>
    <w:rsid w:val="00A71640"/>
    <w:rsid w:val="00A72F22"/>
    <w:rsid w:val="00A733BC"/>
    <w:rsid w:val="00A748A6"/>
    <w:rsid w:val="00A76A69"/>
    <w:rsid w:val="00A81E10"/>
    <w:rsid w:val="00A879A4"/>
    <w:rsid w:val="00A9193E"/>
    <w:rsid w:val="00AA0FF8"/>
    <w:rsid w:val="00AB1FAC"/>
    <w:rsid w:val="00AC0F2C"/>
    <w:rsid w:val="00AC502A"/>
    <w:rsid w:val="00AE1E26"/>
    <w:rsid w:val="00AF36CC"/>
    <w:rsid w:val="00AF58C1"/>
    <w:rsid w:val="00B04A3F"/>
    <w:rsid w:val="00B06643"/>
    <w:rsid w:val="00B118D7"/>
    <w:rsid w:val="00B15055"/>
    <w:rsid w:val="00B20551"/>
    <w:rsid w:val="00B30179"/>
    <w:rsid w:val="00B31E0B"/>
    <w:rsid w:val="00B33FC7"/>
    <w:rsid w:val="00B35407"/>
    <w:rsid w:val="00B37B15"/>
    <w:rsid w:val="00B40F5E"/>
    <w:rsid w:val="00B4162A"/>
    <w:rsid w:val="00B444D2"/>
    <w:rsid w:val="00B45C02"/>
    <w:rsid w:val="00B70B63"/>
    <w:rsid w:val="00B72A1E"/>
    <w:rsid w:val="00B81E12"/>
    <w:rsid w:val="00B85A55"/>
    <w:rsid w:val="00B95460"/>
    <w:rsid w:val="00BA131C"/>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6FBC"/>
    <w:rsid w:val="00C16CC0"/>
    <w:rsid w:val="00C20CF7"/>
    <w:rsid w:val="00C3418D"/>
    <w:rsid w:val="00C463DD"/>
    <w:rsid w:val="00C745C3"/>
    <w:rsid w:val="00C80A7E"/>
    <w:rsid w:val="00C978F5"/>
    <w:rsid w:val="00CA24A4"/>
    <w:rsid w:val="00CB348D"/>
    <w:rsid w:val="00CB60E3"/>
    <w:rsid w:val="00CD46F5"/>
    <w:rsid w:val="00CE091D"/>
    <w:rsid w:val="00CE4A8F"/>
    <w:rsid w:val="00CF071D"/>
    <w:rsid w:val="00D0123D"/>
    <w:rsid w:val="00D144E1"/>
    <w:rsid w:val="00D15B04"/>
    <w:rsid w:val="00D2031B"/>
    <w:rsid w:val="00D25FE2"/>
    <w:rsid w:val="00D37DA9"/>
    <w:rsid w:val="00D406A7"/>
    <w:rsid w:val="00D43252"/>
    <w:rsid w:val="00D44D86"/>
    <w:rsid w:val="00D45E91"/>
    <w:rsid w:val="00D50B7D"/>
    <w:rsid w:val="00D52012"/>
    <w:rsid w:val="00D5204F"/>
    <w:rsid w:val="00D704E5"/>
    <w:rsid w:val="00D72727"/>
    <w:rsid w:val="00D80C73"/>
    <w:rsid w:val="00D978C6"/>
    <w:rsid w:val="00DA0956"/>
    <w:rsid w:val="00DA357F"/>
    <w:rsid w:val="00DA3E12"/>
    <w:rsid w:val="00DC18AD"/>
    <w:rsid w:val="00DF7CAE"/>
    <w:rsid w:val="00E06C4B"/>
    <w:rsid w:val="00E423C0"/>
    <w:rsid w:val="00E50127"/>
    <w:rsid w:val="00E63024"/>
    <w:rsid w:val="00E6414C"/>
    <w:rsid w:val="00E7260F"/>
    <w:rsid w:val="00E77D52"/>
    <w:rsid w:val="00E8702D"/>
    <w:rsid w:val="00E905F4"/>
    <w:rsid w:val="00E916A9"/>
    <w:rsid w:val="00E916DE"/>
    <w:rsid w:val="00E925AD"/>
    <w:rsid w:val="00E96630"/>
    <w:rsid w:val="00ED18DC"/>
    <w:rsid w:val="00ED6201"/>
    <w:rsid w:val="00ED7A2A"/>
    <w:rsid w:val="00EF1D7F"/>
    <w:rsid w:val="00F0137E"/>
    <w:rsid w:val="00F01684"/>
    <w:rsid w:val="00F04E44"/>
    <w:rsid w:val="00F21786"/>
    <w:rsid w:val="00F22EA7"/>
    <w:rsid w:val="00F25D06"/>
    <w:rsid w:val="00F31CFF"/>
    <w:rsid w:val="00F3742B"/>
    <w:rsid w:val="00F41FDB"/>
    <w:rsid w:val="00F44E91"/>
    <w:rsid w:val="00F50597"/>
    <w:rsid w:val="00F56B91"/>
    <w:rsid w:val="00F56D63"/>
    <w:rsid w:val="00F609A9"/>
    <w:rsid w:val="00F76718"/>
    <w:rsid w:val="00F768C2"/>
    <w:rsid w:val="00F80351"/>
    <w:rsid w:val="00F80C99"/>
    <w:rsid w:val="00F867EC"/>
    <w:rsid w:val="00F91B2B"/>
    <w:rsid w:val="00FB0468"/>
    <w:rsid w:val="00FC03CD"/>
    <w:rsid w:val="00FC0646"/>
    <w:rsid w:val="00FC0843"/>
    <w:rsid w:val="00FC3C3B"/>
    <w:rsid w:val="00FC4BB4"/>
    <w:rsid w:val="00FC5E6D"/>
    <w:rsid w:val="00FC68B7"/>
    <w:rsid w:val="00FD0BC2"/>
    <w:rsid w:val="00FE6985"/>
    <w:rsid w:val="00FF33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D59E"/>
  <w15:docId w15:val="{05C7DC6F-4DAD-4B8C-B27A-695C2B49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444D2"/>
    <w:rPr>
      <w:lang w:val="en-GB"/>
    </w:rPr>
  </w:style>
  <w:style w:type="paragraph" w:customStyle="1" w:styleId="para">
    <w:name w:val="para"/>
    <w:basedOn w:val="SingleTxtG"/>
    <w:link w:val="paraChar"/>
    <w:qFormat/>
    <w:rsid w:val="00B444D2"/>
    <w:pPr>
      <w:ind w:left="2268" w:hanging="1134"/>
    </w:pPr>
    <w:rPr>
      <w:lang w:eastAsia="en-US"/>
    </w:rPr>
  </w:style>
  <w:style w:type="character" w:customStyle="1" w:styleId="HChGChar">
    <w:name w:val="_ H _Ch_G Char"/>
    <w:link w:val="HChG"/>
    <w:rsid w:val="00B444D2"/>
    <w:rPr>
      <w:b/>
      <w:sz w:val="28"/>
      <w:lang w:val="en-GB"/>
    </w:rPr>
  </w:style>
  <w:style w:type="character" w:customStyle="1" w:styleId="paraChar">
    <w:name w:val="para Char"/>
    <w:link w:val="para"/>
    <w:locked/>
    <w:rsid w:val="00B444D2"/>
    <w:rPr>
      <w:lang w:val="en-GB" w:eastAsia="en-US"/>
    </w:rPr>
  </w:style>
  <w:style w:type="paragraph" w:styleId="ListParagraph">
    <w:name w:val="List Paragraph"/>
    <w:basedOn w:val="Normal"/>
    <w:uiPriority w:val="34"/>
    <w:qFormat/>
    <w:rsid w:val="001A368B"/>
    <w:pPr>
      <w:suppressAutoHyphens w:val="0"/>
      <w:spacing w:line="240" w:lineRule="auto"/>
      <w:ind w:left="720"/>
    </w:pPr>
    <w:rPr>
      <w:rFonts w:ascii="Calibri" w:eastAsia="MS Mincho" w:hAnsi="Calibri"/>
      <w:sz w:val="22"/>
      <w:szCs w:val="22"/>
      <w:lang w:val="nl-BE" w:eastAsia="nl-BE"/>
    </w:rPr>
  </w:style>
  <w:style w:type="character" w:customStyle="1" w:styleId="Flietext">
    <w:name w:val="Fließtext_"/>
    <w:basedOn w:val="DefaultParagraphFont"/>
    <w:link w:val="Flietext0"/>
    <w:rsid w:val="00E50127"/>
    <w:rPr>
      <w:b/>
      <w:bCs/>
    </w:rPr>
  </w:style>
  <w:style w:type="paragraph" w:customStyle="1" w:styleId="Flietext0">
    <w:name w:val="Fließtext"/>
    <w:basedOn w:val="Normal"/>
    <w:link w:val="Flietext"/>
    <w:rsid w:val="00E50127"/>
    <w:pPr>
      <w:widowControl w:val="0"/>
      <w:suppressAutoHyphens w:val="0"/>
      <w:spacing w:after="120" w:line="240" w:lineRule="auto"/>
    </w:pPr>
    <w:rPr>
      <w:b/>
      <w:bCs/>
      <w:lang w:val="fr-FR"/>
    </w:rPr>
  </w:style>
  <w:style w:type="paragraph" w:styleId="Revision">
    <w:name w:val="Revision"/>
    <w:hidden/>
    <w:uiPriority w:val="99"/>
    <w:semiHidden/>
    <w:rsid w:val="00B40F5E"/>
    <w:rPr>
      <w:lang w:val="en-GB"/>
    </w:rPr>
  </w:style>
  <w:style w:type="character" w:styleId="CommentReference">
    <w:name w:val="annotation reference"/>
    <w:basedOn w:val="DefaultParagraphFont"/>
    <w:semiHidden/>
    <w:unhideWhenUsed/>
    <w:rsid w:val="00B40F5E"/>
    <w:rPr>
      <w:sz w:val="16"/>
      <w:szCs w:val="16"/>
    </w:rPr>
  </w:style>
  <w:style w:type="paragraph" w:styleId="CommentText">
    <w:name w:val="annotation text"/>
    <w:basedOn w:val="Normal"/>
    <w:link w:val="CommentTextChar"/>
    <w:semiHidden/>
    <w:unhideWhenUsed/>
    <w:rsid w:val="00B40F5E"/>
    <w:pPr>
      <w:spacing w:line="240" w:lineRule="auto"/>
    </w:pPr>
  </w:style>
  <w:style w:type="character" w:customStyle="1" w:styleId="CommentTextChar">
    <w:name w:val="Comment Text Char"/>
    <w:basedOn w:val="DefaultParagraphFont"/>
    <w:link w:val="CommentText"/>
    <w:semiHidden/>
    <w:rsid w:val="00B40F5E"/>
    <w:rPr>
      <w:lang w:val="en-GB"/>
    </w:rPr>
  </w:style>
  <w:style w:type="paragraph" w:styleId="CommentSubject">
    <w:name w:val="annotation subject"/>
    <w:basedOn w:val="CommentText"/>
    <w:next w:val="CommentText"/>
    <w:link w:val="CommentSubjectChar"/>
    <w:semiHidden/>
    <w:unhideWhenUsed/>
    <w:rsid w:val="00B40F5E"/>
    <w:rPr>
      <w:b/>
      <w:bCs/>
    </w:rPr>
  </w:style>
  <w:style w:type="character" w:customStyle="1" w:styleId="CommentSubjectChar">
    <w:name w:val="Comment Subject Char"/>
    <w:basedOn w:val="CommentTextChar"/>
    <w:link w:val="CommentSubject"/>
    <w:semiHidden/>
    <w:rsid w:val="00B40F5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3503-9D1B-4A45-8C89-1950236F9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1B781-B4F3-40F9-AF6F-FD06AC795494}">
  <ds:schemaRefs>
    <ds:schemaRef ds:uri="http://schemas.microsoft.com/sharepoint/v3/contenttype/forms"/>
  </ds:schemaRefs>
</ds:datastoreItem>
</file>

<file path=customXml/itemProps3.xml><?xml version="1.0" encoding="utf-8"?>
<ds:datastoreItem xmlns:ds="http://schemas.openxmlformats.org/officeDocument/2006/customXml" ds:itemID="{03138BCD-B6DB-4AB0-BF7A-CBD5A76A5F6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6072</Characters>
  <Application>Microsoft Office Word</Application>
  <DocSecurity>0</DocSecurity>
  <Lines>132</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ECE/TRANS/WP.29/GRSG/2023/22</dc:title>
  <dc:subject>2314141</dc:subject>
  <dc:creator>Una Giltsoff</dc:creator>
  <cp:keywords/>
  <dc:description/>
  <cp:lastModifiedBy>Una Giltsoff</cp:lastModifiedBy>
  <cp:revision>2</cp:revision>
  <cp:lastPrinted>2009-02-18T09:36:00Z</cp:lastPrinted>
  <dcterms:created xsi:type="dcterms:W3CDTF">2023-07-19T14:41:00Z</dcterms:created>
  <dcterms:modified xsi:type="dcterms:W3CDTF">2023-07-19T14:41:00Z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