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E1B4963" w14:textId="77777777" w:rsidTr="00B20551">
        <w:trPr>
          <w:cantSplit/>
          <w:trHeight w:hRule="exact" w:val="851"/>
        </w:trPr>
        <w:tc>
          <w:tcPr>
            <w:tcW w:w="1276" w:type="dxa"/>
            <w:tcBorders>
              <w:bottom w:val="single" w:sz="4" w:space="0" w:color="auto"/>
            </w:tcBorders>
            <w:vAlign w:val="bottom"/>
          </w:tcPr>
          <w:p w14:paraId="6363EF25" w14:textId="77777777" w:rsidR="009E6CB7" w:rsidRDefault="009E6CB7" w:rsidP="00B20551">
            <w:pPr>
              <w:spacing w:after="80"/>
            </w:pPr>
          </w:p>
        </w:tc>
        <w:tc>
          <w:tcPr>
            <w:tcW w:w="2268" w:type="dxa"/>
            <w:tcBorders>
              <w:bottom w:val="single" w:sz="4" w:space="0" w:color="auto"/>
            </w:tcBorders>
            <w:vAlign w:val="bottom"/>
          </w:tcPr>
          <w:p w14:paraId="0BDA53B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CA047E" w14:textId="539C7B62" w:rsidR="009E6CB7" w:rsidRPr="00D47EEA" w:rsidRDefault="005E2E19" w:rsidP="005E2E19">
            <w:pPr>
              <w:jc w:val="right"/>
            </w:pPr>
            <w:r w:rsidRPr="005E2E19">
              <w:rPr>
                <w:sz w:val="40"/>
              </w:rPr>
              <w:t>ECE</w:t>
            </w:r>
            <w:r>
              <w:t>/TRANS/WP.15/AC.1/2023/47</w:t>
            </w:r>
          </w:p>
        </w:tc>
      </w:tr>
      <w:tr w:rsidR="009E6CB7" w14:paraId="36EFBFCF" w14:textId="77777777" w:rsidTr="00B20551">
        <w:trPr>
          <w:cantSplit/>
          <w:trHeight w:hRule="exact" w:val="2835"/>
        </w:trPr>
        <w:tc>
          <w:tcPr>
            <w:tcW w:w="1276" w:type="dxa"/>
            <w:tcBorders>
              <w:top w:val="single" w:sz="4" w:space="0" w:color="auto"/>
              <w:bottom w:val="single" w:sz="12" w:space="0" w:color="auto"/>
            </w:tcBorders>
          </w:tcPr>
          <w:p w14:paraId="07DB3F39" w14:textId="77777777" w:rsidR="009E6CB7" w:rsidRDefault="00686A48" w:rsidP="00B20551">
            <w:pPr>
              <w:spacing w:before="120"/>
            </w:pPr>
            <w:r>
              <w:rPr>
                <w:noProof/>
                <w:lang w:val="fr-CH" w:eastAsia="fr-CH"/>
              </w:rPr>
              <w:drawing>
                <wp:inline distT="0" distB="0" distL="0" distR="0" wp14:anchorId="2156AFD3" wp14:editId="15A3F41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15228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794D1B7" w14:textId="77777777" w:rsidR="009E6CB7" w:rsidRDefault="005E2E19" w:rsidP="005E2E19">
            <w:pPr>
              <w:spacing w:before="240" w:line="240" w:lineRule="exact"/>
            </w:pPr>
            <w:r>
              <w:t>Distr.: General</w:t>
            </w:r>
          </w:p>
          <w:p w14:paraId="751EA237" w14:textId="57A8555C" w:rsidR="005E2E19" w:rsidRDefault="00161FC5" w:rsidP="005E2E19">
            <w:pPr>
              <w:spacing w:line="240" w:lineRule="exact"/>
            </w:pPr>
            <w:r>
              <w:t>10</w:t>
            </w:r>
            <w:r w:rsidR="005E2E19">
              <w:t xml:space="preserve"> July 2023</w:t>
            </w:r>
          </w:p>
          <w:p w14:paraId="05B2C259" w14:textId="77777777" w:rsidR="005E2E19" w:rsidRDefault="005E2E19" w:rsidP="005E2E19">
            <w:pPr>
              <w:spacing w:line="240" w:lineRule="exact"/>
            </w:pPr>
          </w:p>
          <w:p w14:paraId="22DA976C" w14:textId="35D68322" w:rsidR="005E2E19" w:rsidRDefault="005E2E19" w:rsidP="005E2E19">
            <w:pPr>
              <w:spacing w:line="240" w:lineRule="exact"/>
            </w:pPr>
            <w:r>
              <w:t>Original: English</w:t>
            </w:r>
          </w:p>
        </w:tc>
      </w:tr>
    </w:tbl>
    <w:p w14:paraId="2C1CA59E" w14:textId="77777777" w:rsidR="00D42429" w:rsidRPr="00960236" w:rsidRDefault="00D42429" w:rsidP="00C411EB">
      <w:pPr>
        <w:spacing w:before="120"/>
        <w:rPr>
          <w:b/>
          <w:sz w:val="28"/>
          <w:szCs w:val="28"/>
        </w:rPr>
      </w:pPr>
      <w:r w:rsidRPr="00960236">
        <w:rPr>
          <w:b/>
          <w:sz w:val="28"/>
          <w:szCs w:val="28"/>
        </w:rPr>
        <w:t>Economic Commission for Europe</w:t>
      </w:r>
    </w:p>
    <w:p w14:paraId="620A7071" w14:textId="77777777" w:rsidR="00D42429" w:rsidRPr="00960236" w:rsidRDefault="00D42429" w:rsidP="00C411EB">
      <w:pPr>
        <w:spacing w:before="120"/>
        <w:rPr>
          <w:sz w:val="28"/>
          <w:szCs w:val="28"/>
        </w:rPr>
      </w:pPr>
      <w:r w:rsidRPr="00960236">
        <w:rPr>
          <w:sz w:val="28"/>
          <w:szCs w:val="28"/>
        </w:rPr>
        <w:t>Inland Transport Committee</w:t>
      </w:r>
    </w:p>
    <w:p w14:paraId="45889B48" w14:textId="77777777" w:rsidR="00D42429" w:rsidRPr="00960236" w:rsidRDefault="00D42429" w:rsidP="00C411EB">
      <w:pPr>
        <w:spacing w:before="120"/>
        <w:rPr>
          <w:b/>
          <w:sz w:val="24"/>
          <w:szCs w:val="24"/>
        </w:rPr>
      </w:pPr>
      <w:r w:rsidRPr="00960236">
        <w:rPr>
          <w:b/>
          <w:sz w:val="24"/>
          <w:szCs w:val="24"/>
        </w:rPr>
        <w:t>Working Party on the Transport of Dangerous Goods</w:t>
      </w:r>
    </w:p>
    <w:p w14:paraId="24B9F924" w14:textId="77777777" w:rsidR="00D42429" w:rsidRPr="00960236" w:rsidRDefault="00D4242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0D97A7B5" w14:textId="390443B8" w:rsidR="00D42429" w:rsidRDefault="00026C72" w:rsidP="00C411EB">
      <w:r>
        <w:rPr>
          <w:color w:val="000000"/>
          <w:lang w:val="en-CA"/>
        </w:rPr>
        <w:t>Geneva</w:t>
      </w:r>
      <w:r w:rsidRPr="00AC5B9D">
        <w:rPr>
          <w:color w:val="000000"/>
          <w:lang w:val="en-CA"/>
        </w:rPr>
        <w:t xml:space="preserve">, </w:t>
      </w:r>
      <w:r>
        <w:rPr>
          <w:color w:val="000000"/>
          <w:lang w:val="en-CA"/>
        </w:rPr>
        <w:t>19</w:t>
      </w:r>
      <w:r w:rsidRPr="003E468A">
        <w:rPr>
          <w:color w:val="000000"/>
          <w:lang w:val="en-CA"/>
        </w:rPr>
        <w:t>-</w:t>
      </w:r>
      <w:r>
        <w:rPr>
          <w:color w:val="000000"/>
          <w:lang w:val="en-CA"/>
        </w:rPr>
        <w:t>29</w:t>
      </w:r>
      <w:r w:rsidRPr="00AC5B9D">
        <w:rPr>
          <w:color w:val="000000"/>
          <w:lang w:val="en-CA"/>
        </w:rPr>
        <w:t xml:space="preserve"> </w:t>
      </w:r>
      <w:r>
        <w:rPr>
          <w:color w:val="000000"/>
          <w:lang w:val="en-CA"/>
        </w:rPr>
        <w:t>September</w:t>
      </w:r>
      <w:r w:rsidRPr="00AC5B9D">
        <w:rPr>
          <w:color w:val="000000"/>
          <w:lang w:val="en-CA"/>
        </w:rPr>
        <w:t xml:space="preserve"> 202</w:t>
      </w:r>
      <w:r w:rsidRPr="003E468A">
        <w:rPr>
          <w:color w:val="000000"/>
          <w:lang w:val="en-CA"/>
        </w:rPr>
        <w:t>3</w:t>
      </w:r>
    </w:p>
    <w:p w14:paraId="0E098520" w14:textId="35E770E0" w:rsidR="00D42429" w:rsidRDefault="00D42429" w:rsidP="00C411EB">
      <w:r>
        <w:t xml:space="preserve">Item </w:t>
      </w:r>
      <w:r w:rsidR="00774164">
        <w:t>5</w:t>
      </w:r>
      <w:r w:rsidR="008D7D74">
        <w:t xml:space="preserve"> (a)</w:t>
      </w:r>
      <w:r>
        <w:t xml:space="preserve"> of the provisional agenda</w:t>
      </w:r>
    </w:p>
    <w:p w14:paraId="3D572AB8" w14:textId="47EC7C6E" w:rsidR="001C6663" w:rsidRDefault="00A66BA3" w:rsidP="00C411EB">
      <w:pPr>
        <w:rPr>
          <w:b/>
          <w:color w:val="000000"/>
          <w:lang w:val="en-CA"/>
        </w:rPr>
      </w:pPr>
      <w:r w:rsidRPr="003E468A">
        <w:rPr>
          <w:b/>
          <w:color w:val="000000"/>
          <w:lang w:val="en-CA"/>
        </w:rPr>
        <w:t>Proposals for amendments to RID/ADR/ADN:</w:t>
      </w:r>
    </w:p>
    <w:p w14:paraId="51110B4B" w14:textId="622FB1A2" w:rsidR="00A66BA3" w:rsidRDefault="00A66BA3" w:rsidP="00C411EB">
      <w:pPr>
        <w:rPr>
          <w:b/>
          <w:color w:val="000000"/>
          <w:lang w:val="en-CA"/>
        </w:rPr>
      </w:pPr>
      <w:r>
        <w:rPr>
          <w:b/>
          <w:color w:val="000000"/>
          <w:lang w:val="en-CA"/>
        </w:rPr>
        <w:t>pending issues</w:t>
      </w:r>
    </w:p>
    <w:p w14:paraId="59753980" w14:textId="6DB9664F" w:rsidR="00961DF7" w:rsidRPr="003E468A" w:rsidRDefault="00EC5FBF" w:rsidP="00EC5FBF">
      <w:pPr>
        <w:pStyle w:val="HChG"/>
        <w:rPr>
          <w:lang w:val="en-CA"/>
        </w:rPr>
      </w:pPr>
      <w:r>
        <w:rPr>
          <w:lang w:val="en-CA"/>
        </w:rPr>
        <w:tab/>
      </w:r>
      <w:r>
        <w:rPr>
          <w:lang w:val="en-CA"/>
        </w:rPr>
        <w:tab/>
      </w:r>
      <w:r w:rsidR="00961DF7">
        <w:rPr>
          <w:lang w:val="en-CA"/>
        </w:rPr>
        <w:t xml:space="preserve">Last </w:t>
      </w:r>
      <w:r>
        <w:rPr>
          <w:lang w:val="en-CA"/>
        </w:rPr>
        <w:t>m</w:t>
      </w:r>
      <w:r w:rsidR="00961DF7">
        <w:rPr>
          <w:lang w:val="en-CA"/>
        </w:rPr>
        <w:t xml:space="preserve">ile </w:t>
      </w:r>
      <w:r>
        <w:rPr>
          <w:lang w:val="en-CA"/>
        </w:rPr>
        <w:t>d</w:t>
      </w:r>
      <w:r w:rsidR="00961DF7" w:rsidRPr="003E468A">
        <w:rPr>
          <w:lang w:val="en-CA"/>
        </w:rPr>
        <w:t>elivery</w:t>
      </w:r>
    </w:p>
    <w:p w14:paraId="012BCE0D" w14:textId="0654807E" w:rsidR="00961DF7" w:rsidRPr="003E468A" w:rsidRDefault="00961DF7" w:rsidP="00961DF7">
      <w:pPr>
        <w:pStyle w:val="H1G"/>
        <w:spacing w:before="240" w:line="240" w:lineRule="auto"/>
        <w:rPr>
          <w:sz w:val="22"/>
          <w:szCs w:val="22"/>
          <w:lang w:val="en-CA"/>
        </w:rPr>
      </w:pPr>
      <w:r w:rsidRPr="003E468A">
        <w:rPr>
          <w:sz w:val="22"/>
          <w:szCs w:val="22"/>
          <w:lang w:val="en-CA"/>
        </w:rPr>
        <w:tab/>
      </w:r>
      <w:r w:rsidRPr="003E468A">
        <w:rPr>
          <w:sz w:val="22"/>
          <w:szCs w:val="22"/>
          <w:lang w:val="en-CA"/>
        </w:rPr>
        <w:tab/>
        <w:t>Submitted by the Council on Safe Transportation of Hazardous Articles (COSTHA)</w:t>
      </w:r>
      <w:r w:rsidR="00307C53" w:rsidRPr="00307C53">
        <w:rPr>
          <w:rStyle w:val="FootnoteReference"/>
          <w:sz w:val="20"/>
        </w:rPr>
        <w:t xml:space="preserve"> </w:t>
      </w:r>
      <w:r w:rsidR="00307C53" w:rsidRPr="0073256F">
        <w:rPr>
          <w:rStyle w:val="FootnoteReference"/>
          <w:sz w:val="20"/>
        </w:rPr>
        <w:footnoteReference w:customMarkFollows="1" w:id="2"/>
        <w:t>*</w:t>
      </w:r>
      <w:r w:rsidR="00307C53" w:rsidRPr="0073256F">
        <w:rPr>
          <w:vertAlign w:val="superscript"/>
        </w:rPr>
        <w:t xml:space="preserve">, </w:t>
      </w:r>
      <w:r w:rsidR="00307C53" w:rsidRPr="0073256F">
        <w:rPr>
          <w:rStyle w:val="FootnoteReference"/>
          <w:sz w:val="20"/>
        </w:rPr>
        <w:footnoteReference w:customMarkFollows="1" w:id="3"/>
        <w:t>**</w:t>
      </w:r>
    </w:p>
    <w:tbl>
      <w:tblPr>
        <w:tblW w:w="9504"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5E0" w:firstRow="1" w:lastRow="1" w:firstColumn="1" w:lastColumn="1" w:noHBand="0" w:noVBand="1"/>
      </w:tblPr>
      <w:tblGrid>
        <w:gridCol w:w="2592"/>
        <w:gridCol w:w="6912"/>
      </w:tblGrid>
      <w:tr w:rsidR="00961DF7" w:rsidRPr="003E468A" w14:paraId="0A22CF05" w14:textId="77777777" w:rsidTr="009452CD">
        <w:trPr>
          <w:jc w:val="center"/>
        </w:trPr>
        <w:tc>
          <w:tcPr>
            <w:tcW w:w="2592" w:type="dxa"/>
            <w:shd w:val="clear" w:color="auto" w:fill="auto"/>
          </w:tcPr>
          <w:p w14:paraId="088C8771" w14:textId="77777777" w:rsidR="00961DF7" w:rsidRPr="003E468A" w:rsidRDefault="00961DF7" w:rsidP="00161FC5">
            <w:pPr>
              <w:spacing w:before="240" w:after="120"/>
              <w:ind w:left="255"/>
              <w:rPr>
                <w:i/>
                <w:lang w:val="en-CA"/>
              </w:rPr>
            </w:pPr>
            <w:r w:rsidRPr="00161FC5">
              <w:rPr>
                <w:i/>
                <w:sz w:val="24"/>
                <w:szCs w:val="24"/>
              </w:rPr>
              <w:t>Summary</w:t>
            </w:r>
          </w:p>
        </w:tc>
        <w:tc>
          <w:tcPr>
            <w:tcW w:w="6912" w:type="dxa"/>
            <w:shd w:val="clear" w:color="auto" w:fill="auto"/>
          </w:tcPr>
          <w:p w14:paraId="1234AECE" w14:textId="77777777" w:rsidR="00961DF7" w:rsidRPr="003E468A" w:rsidRDefault="00961DF7" w:rsidP="009452CD">
            <w:pPr>
              <w:spacing w:before="120" w:after="40" w:line="240" w:lineRule="auto"/>
              <w:ind w:left="288"/>
              <w:rPr>
                <w:i/>
                <w:lang w:val="en-CA"/>
              </w:rPr>
            </w:pPr>
          </w:p>
        </w:tc>
      </w:tr>
      <w:tr w:rsidR="00961DF7" w:rsidRPr="003E468A" w14:paraId="7677AF6B" w14:textId="77777777" w:rsidTr="009452CD">
        <w:trPr>
          <w:jc w:val="center"/>
        </w:trPr>
        <w:tc>
          <w:tcPr>
            <w:tcW w:w="2592" w:type="dxa"/>
            <w:shd w:val="clear" w:color="auto" w:fill="auto"/>
          </w:tcPr>
          <w:p w14:paraId="746CBB28" w14:textId="77777777" w:rsidR="00961DF7" w:rsidRPr="003E468A" w:rsidRDefault="00961DF7" w:rsidP="009452CD">
            <w:pPr>
              <w:spacing w:before="40" w:after="40" w:line="240" w:lineRule="auto"/>
              <w:ind w:left="576"/>
              <w:rPr>
                <w:lang w:val="en-CA"/>
              </w:rPr>
            </w:pPr>
            <w:r w:rsidRPr="003E468A">
              <w:rPr>
                <w:b/>
                <w:lang w:val="en-CA"/>
              </w:rPr>
              <w:t xml:space="preserve">Executive summary: </w:t>
            </w:r>
            <w:r w:rsidRPr="003E468A">
              <w:rPr>
                <w:lang w:val="en-CA"/>
              </w:rPr>
              <w:tab/>
            </w:r>
          </w:p>
        </w:tc>
        <w:tc>
          <w:tcPr>
            <w:tcW w:w="6912" w:type="dxa"/>
            <w:shd w:val="clear" w:color="auto" w:fill="auto"/>
          </w:tcPr>
          <w:p w14:paraId="0A54E8E7" w14:textId="7C4206F7" w:rsidR="00961DF7" w:rsidRPr="003E468A" w:rsidRDefault="00961DF7" w:rsidP="009452CD">
            <w:pPr>
              <w:spacing w:before="40" w:after="40" w:line="240" w:lineRule="auto"/>
              <w:ind w:left="144" w:right="270"/>
              <w:jc w:val="both"/>
              <w:rPr>
                <w:lang w:val="en-CA"/>
              </w:rPr>
            </w:pPr>
            <w:r w:rsidRPr="003E468A">
              <w:rPr>
                <w:lang w:val="en-CA"/>
              </w:rPr>
              <w:t xml:space="preserve">During the COVID-19 pandemic, retail deliveries, including grocery deliveries, have significantly increased. As a result, </w:t>
            </w:r>
            <w:r>
              <w:rPr>
                <w:lang w:val="en-CA"/>
              </w:rPr>
              <w:t>customer orders</w:t>
            </w:r>
            <w:r w:rsidRPr="003E468A">
              <w:rPr>
                <w:lang w:val="en-CA"/>
              </w:rPr>
              <w:t xml:space="preserve"> are frequently carried out by a delivery service that utilizes</w:t>
            </w:r>
            <w:r>
              <w:rPr>
                <w:lang w:val="en-CA"/>
              </w:rPr>
              <w:t xml:space="preserve"> either</w:t>
            </w:r>
            <w:r w:rsidRPr="003E468A">
              <w:rPr>
                <w:lang w:val="en-CA"/>
              </w:rPr>
              <w:t xml:space="preserve"> </w:t>
            </w:r>
            <w:r>
              <w:rPr>
                <w:lang w:val="en-CA"/>
              </w:rPr>
              <w:t>the</w:t>
            </w:r>
            <w:r w:rsidRPr="003E468A">
              <w:rPr>
                <w:lang w:val="en-CA"/>
              </w:rPr>
              <w:t xml:space="preserve"> operator’s own vehicle</w:t>
            </w:r>
            <w:r>
              <w:rPr>
                <w:lang w:val="en-CA"/>
              </w:rPr>
              <w:t xml:space="preserve"> or a delivery service vehicle</w:t>
            </w:r>
            <w:r w:rsidRPr="003E468A">
              <w:rPr>
                <w:lang w:val="en-CA"/>
              </w:rPr>
              <w:t xml:space="preserve">. The increase in </w:t>
            </w:r>
            <w:r w:rsidR="001D1591">
              <w:rPr>
                <w:lang w:val="en-CA"/>
              </w:rPr>
              <w:t xml:space="preserve">the </w:t>
            </w:r>
            <w:r w:rsidRPr="003E468A">
              <w:rPr>
                <w:lang w:val="en-CA"/>
              </w:rPr>
              <w:t xml:space="preserve">use of these services creates questions as to whether the requirements of the dangerous goods regulations apply when </w:t>
            </w:r>
            <w:r>
              <w:rPr>
                <w:lang w:val="en-CA"/>
              </w:rPr>
              <w:t>transported</w:t>
            </w:r>
            <w:r w:rsidRPr="003E468A">
              <w:rPr>
                <w:lang w:val="en-CA"/>
              </w:rPr>
              <w:t xml:space="preserve"> by a commercial employee in a similar manner to the traditional consumer retail experience.</w:t>
            </w:r>
          </w:p>
        </w:tc>
      </w:tr>
      <w:tr w:rsidR="00961DF7" w:rsidRPr="003E468A" w14:paraId="0A3D3E31" w14:textId="77777777" w:rsidTr="009452CD">
        <w:trPr>
          <w:jc w:val="center"/>
        </w:trPr>
        <w:tc>
          <w:tcPr>
            <w:tcW w:w="2592" w:type="dxa"/>
            <w:shd w:val="clear" w:color="auto" w:fill="auto"/>
          </w:tcPr>
          <w:p w14:paraId="6891A357" w14:textId="77777777" w:rsidR="00961DF7" w:rsidRPr="003E468A" w:rsidRDefault="00961DF7" w:rsidP="009452CD">
            <w:pPr>
              <w:tabs>
                <w:tab w:val="left" w:pos="2700"/>
                <w:tab w:val="left" w:pos="8190"/>
              </w:tabs>
              <w:spacing w:before="40" w:after="40" w:line="240" w:lineRule="auto"/>
              <w:ind w:left="2646" w:hanging="2070"/>
              <w:rPr>
                <w:lang w:val="en-CA"/>
              </w:rPr>
            </w:pPr>
            <w:r w:rsidRPr="003E468A">
              <w:rPr>
                <w:b/>
                <w:lang w:val="en-CA"/>
              </w:rPr>
              <w:t>Action to be taken:</w:t>
            </w:r>
            <w:r w:rsidRPr="003E468A">
              <w:rPr>
                <w:b/>
                <w:lang w:val="en-CA"/>
              </w:rPr>
              <w:tab/>
            </w:r>
          </w:p>
        </w:tc>
        <w:tc>
          <w:tcPr>
            <w:tcW w:w="6912" w:type="dxa"/>
            <w:shd w:val="clear" w:color="auto" w:fill="auto"/>
          </w:tcPr>
          <w:p w14:paraId="36342A08" w14:textId="44067B24" w:rsidR="00961DF7" w:rsidRPr="003E468A" w:rsidRDefault="00961DF7" w:rsidP="009452CD">
            <w:pPr>
              <w:spacing w:before="40" w:after="40" w:line="240" w:lineRule="auto"/>
              <w:ind w:left="144" w:right="270"/>
              <w:jc w:val="both"/>
              <w:rPr>
                <w:lang w:val="en-CA"/>
              </w:rPr>
            </w:pPr>
            <w:r w:rsidRPr="003E468A">
              <w:rPr>
                <w:bCs/>
                <w:lang w:val="en-CA"/>
              </w:rPr>
              <w:t xml:space="preserve">Introduce an exemption in </w:t>
            </w:r>
            <w:r w:rsidR="00631FCC">
              <w:rPr>
                <w:bCs/>
                <w:lang w:val="en-CA"/>
              </w:rPr>
              <w:t>RID/</w:t>
            </w:r>
            <w:r w:rsidRPr="003E468A">
              <w:rPr>
                <w:bCs/>
                <w:lang w:val="en-CA"/>
              </w:rPr>
              <w:t>A</w:t>
            </w:r>
            <w:r w:rsidRPr="003E468A">
              <w:rPr>
                <w:lang w:val="en-CA"/>
              </w:rPr>
              <w:t xml:space="preserve">DR/ADN for the </w:t>
            </w:r>
            <w:r>
              <w:rPr>
                <w:lang w:val="en-CA"/>
              </w:rPr>
              <w:t>last mile delivery</w:t>
            </w:r>
            <w:r w:rsidRPr="003E468A">
              <w:rPr>
                <w:lang w:val="en-CA"/>
              </w:rPr>
              <w:t>, by the retailer, of dangerous goods packaged for retail sale under specific conditions.</w:t>
            </w:r>
          </w:p>
        </w:tc>
      </w:tr>
      <w:tr w:rsidR="00961DF7" w:rsidRPr="00421691" w14:paraId="46655086" w14:textId="77777777" w:rsidTr="00161FC5">
        <w:trPr>
          <w:trHeight w:val="2929"/>
          <w:jc w:val="center"/>
        </w:trPr>
        <w:tc>
          <w:tcPr>
            <w:tcW w:w="2592" w:type="dxa"/>
            <w:shd w:val="clear" w:color="auto" w:fill="auto"/>
          </w:tcPr>
          <w:p w14:paraId="6A8783A3" w14:textId="77777777" w:rsidR="00961DF7" w:rsidRPr="00563314" w:rsidRDefault="00961DF7" w:rsidP="009452CD">
            <w:pPr>
              <w:spacing w:before="40" w:after="40" w:line="240" w:lineRule="auto"/>
              <w:ind w:left="620" w:hanging="44"/>
            </w:pPr>
            <w:r w:rsidRPr="003E468A">
              <w:rPr>
                <w:b/>
                <w:lang w:val="en-CA"/>
              </w:rPr>
              <w:t>Related documents:</w:t>
            </w:r>
            <w:r w:rsidRPr="003E468A">
              <w:rPr>
                <w:b/>
                <w:lang w:val="en-CA"/>
              </w:rPr>
              <w:tab/>
            </w:r>
            <w:r w:rsidRPr="00563314">
              <w:rPr>
                <w:lang w:val="en-CA"/>
              </w:rPr>
              <w:t xml:space="preserve"> </w:t>
            </w:r>
          </w:p>
        </w:tc>
        <w:tc>
          <w:tcPr>
            <w:tcW w:w="6912" w:type="dxa"/>
            <w:shd w:val="clear" w:color="auto" w:fill="auto"/>
          </w:tcPr>
          <w:p w14:paraId="6BD1FA00" w14:textId="3D5B8326" w:rsidR="00961DF7" w:rsidRPr="00421691" w:rsidRDefault="0073031C" w:rsidP="00961DF7">
            <w:pPr>
              <w:pStyle w:val="ListParagraph"/>
              <w:numPr>
                <w:ilvl w:val="0"/>
                <w:numId w:val="21"/>
              </w:numPr>
              <w:spacing w:before="40" w:after="40" w:line="240" w:lineRule="auto"/>
              <w:ind w:left="450" w:right="576" w:hanging="270"/>
              <w:contextualSpacing w:val="0"/>
              <w:rPr>
                <w:rFonts w:ascii="Times New Roman" w:hAnsi="Times New Roman"/>
                <w:sz w:val="20"/>
                <w:szCs w:val="20"/>
              </w:rPr>
            </w:pPr>
            <w:bookmarkStart w:id="0" w:name="_Hlk89264015"/>
            <w:r w:rsidRPr="00421691">
              <w:rPr>
                <w:rFonts w:ascii="Times New Roman" w:hAnsi="Times New Roman"/>
                <w:sz w:val="20"/>
                <w:szCs w:val="20"/>
                <w:lang w:val="en-CA"/>
              </w:rPr>
              <w:t xml:space="preserve">RID/ADR/ADN </w:t>
            </w:r>
            <w:r w:rsidR="00961DF7" w:rsidRPr="00421691">
              <w:rPr>
                <w:rFonts w:ascii="Times New Roman" w:hAnsi="Times New Roman"/>
                <w:sz w:val="20"/>
                <w:szCs w:val="20"/>
                <w:lang w:val="en-CA"/>
              </w:rPr>
              <w:t>Joint Meeting</w:t>
            </w:r>
            <w:r w:rsidR="006B3B94">
              <w:rPr>
                <w:rFonts w:ascii="Times New Roman" w:hAnsi="Times New Roman"/>
                <w:sz w:val="20"/>
                <w:szCs w:val="20"/>
                <w:lang w:val="en-CA"/>
              </w:rPr>
              <w:t xml:space="preserve"> </w:t>
            </w:r>
            <w:r w:rsidR="00961DF7">
              <w:rPr>
                <w:rFonts w:ascii="Times New Roman" w:hAnsi="Times New Roman"/>
                <w:sz w:val="20"/>
                <w:szCs w:val="20"/>
                <w:lang w:val="en-CA"/>
              </w:rPr>
              <w:t xml:space="preserve">– </w:t>
            </w:r>
            <w:r w:rsidR="00D97FA5">
              <w:rPr>
                <w:rFonts w:ascii="Times New Roman" w:hAnsi="Times New Roman"/>
                <w:sz w:val="20"/>
                <w:szCs w:val="20"/>
                <w:lang w:val="en-CA"/>
              </w:rPr>
              <w:t>s</w:t>
            </w:r>
            <w:r w:rsidR="00961DF7" w:rsidRPr="00421691">
              <w:rPr>
                <w:rFonts w:ascii="Times New Roman" w:hAnsi="Times New Roman"/>
                <w:sz w:val="20"/>
                <w:szCs w:val="20"/>
                <w:lang w:val="en-CA"/>
              </w:rPr>
              <w:t xml:space="preserve">pring 2022 </w:t>
            </w:r>
            <w:r w:rsidR="00D97FA5">
              <w:rPr>
                <w:rFonts w:ascii="Times New Roman" w:hAnsi="Times New Roman"/>
                <w:sz w:val="20"/>
                <w:szCs w:val="20"/>
                <w:lang w:val="en-CA"/>
              </w:rPr>
              <w:t>s</w:t>
            </w:r>
            <w:r w:rsidR="00961DF7" w:rsidRPr="00421691">
              <w:rPr>
                <w:rFonts w:ascii="Times New Roman" w:hAnsi="Times New Roman"/>
                <w:sz w:val="20"/>
                <w:szCs w:val="20"/>
                <w:lang w:val="en-CA"/>
              </w:rPr>
              <w:t>ession (</w:t>
            </w:r>
            <w:r w:rsidR="00A0596E">
              <w:rPr>
                <w:rFonts w:ascii="Times New Roman" w:hAnsi="Times New Roman"/>
                <w:sz w:val="20"/>
                <w:szCs w:val="20"/>
                <w:lang w:val="en-CA"/>
              </w:rPr>
              <w:t xml:space="preserve">informal document </w:t>
            </w:r>
            <w:r w:rsidR="00961DF7" w:rsidRPr="00421691">
              <w:rPr>
                <w:rFonts w:ascii="Times New Roman" w:hAnsi="Times New Roman"/>
                <w:sz w:val="20"/>
                <w:szCs w:val="20"/>
                <w:lang w:val="en-CA"/>
              </w:rPr>
              <w:t>INF.32</w:t>
            </w:r>
            <w:bookmarkEnd w:id="0"/>
            <w:r w:rsidR="00961DF7" w:rsidRPr="00421691">
              <w:rPr>
                <w:rFonts w:ascii="Times New Roman" w:hAnsi="Times New Roman"/>
                <w:sz w:val="20"/>
                <w:szCs w:val="20"/>
                <w:lang w:val="en-CA"/>
              </w:rPr>
              <w:t>(</w:t>
            </w:r>
            <w:r w:rsidR="00961DF7" w:rsidRPr="00421691">
              <w:rPr>
                <w:rFonts w:ascii="Times New Roman" w:hAnsi="Times New Roman"/>
                <w:sz w:val="20"/>
                <w:szCs w:val="20"/>
              </w:rPr>
              <w:t>COSTHA)</w:t>
            </w:r>
            <w:r w:rsidR="00961DF7" w:rsidRPr="00421691">
              <w:rPr>
                <w:rFonts w:ascii="Times New Roman" w:hAnsi="Times New Roman"/>
                <w:sz w:val="20"/>
                <w:szCs w:val="20"/>
                <w:lang w:val="en-CA"/>
              </w:rPr>
              <w:t>)</w:t>
            </w:r>
          </w:p>
          <w:p w14:paraId="7170C084" w14:textId="79129090" w:rsidR="00961DF7" w:rsidRPr="00421691" w:rsidRDefault="00961DF7" w:rsidP="00961DF7">
            <w:pPr>
              <w:pStyle w:val="ListParagraph"/>
              <w:numPr>
                <w:ilvl w:val="0"/>
                <w:numId w:val="21"/>
              </w:numPr>
              <w:spacing w:before="40" w:after="40" w:line="240" w:lineRule="auto"/>
              <w:ind w:left="450" w:right="576" w:hanging="270"/>
              <w:contextualSpacing w:val="0"/>
              <w:rPr>
                <w:rFonts w:ascii="Times New Roman" w:hAnsi="Times New Roman"/>
                <w:sz w:val="20"/>
                <w:szCs w:val="20"/>
              </w:rPr>
            </w:pPr>
            <w:r w:rsidRPr="00421691">
              <w:rPr>
                <w:rFonts w:ascii="Times New Roman" w:hAnsi="Times New Roman"/>
                <w:sz w:val="20"/>
                <w:szCs w:val="20"/>
              </w:rPr>
              <w:t>S</w:t>
            </w:r>
            <w:r>
              <w:rPr>
                <w:rFonts w:ascii="Times New Roman" w:hAnsi="Times New Roman"/>
                <w:sz w:val="20"/>
                <w:szCs w:val="20"/>
              </w:rPr>
              <w:t xml:space="preserve">ub-Committee of Experts on </w:t>
            </w:r>
            <w:r w:rsidRPr="00421691">
              <w:rPr>
                <w:rFonts w:ascii="Times New Roman" w:hAnsi="Times New Roman"/>
                <w:sz w:val="20"/>
                <w:szCs w:val="20"/>
              </w:rPr>
              <w:t xml:space="preserve">TDG </w:t>
            </w:r>
            <w:r>
              <w:rPr>
                <w:rFonts w:ascii="Times New Roman" w:hAnsi="Times New Roman"/>
                <w:sz w:val="20"/>
                <w:szCs w:val="20"/>
              </w:rPr>
              <w:t xml:space="preserve">– </w:t>
            </w:r>
            <w:r w:rsidR="007D49AC">
              <w:rPr>
                <w:rFonts w:ascii="Times New Roman" w:hAnsi="Times New Roman"/>
                <w:sz w:val="20"/>
                <w:szCs w:val="20"/>
              </w:rPr>
              <w:t>sixtieth</w:t>
            </w:r>
            <w:r w:rsidRPr="00421691">
              <w:rPr>
                <w:rFonts w:ascii="Times New Roman" w:hAnsi="Times New Roman"/>
                <w:sz w:val="20"/>
                <w:szCs w:val="20"/>
              </w:rPr>
              <w:t xml:space="preserve"> session </w:t>
            </w:r>
            <w:r>
              <w:rPr>
                <w:rFonts w:ascii="Times New Roman" w:hAnsi="Times New Roman"/>
                <w:sz w:val="20"/>
                <w:szCs w:val="20"/>
              </w:rPr>
              <w:t>(</w:t>
            </w:r>
            <w:r w:rsidRPr="00421691">
              <w:rPr>
                <w:rFonts w:ascii="Times New Roman" w:hAnsi="Times New Roman"/>
                <w:sz w:val="20"/>
                <w:szCs w:val="20"/>
              </w:rPr>
              <w:t>ST/SG/AC.10/C.3/2022/28</w:t>
            </w:r>
            <w:r>
              <w:rPr>
                <w:rFonts w:ascii="Times New Roman" w:hAnsi="Times New Roman"/>
                <w:sz w:val="20"/>
                <w:szCs w:val="20"/>
              </w:rPr>
              <w:t xml:space="preserve"> </w:t>
            </w:r>
            <w:r w:rsidRPr="00421691">
              <w:rPr>
                <w:rFonts w:ascii="Times New Roman" w:hAnsi="Times New Roman"/>
                <w:sz w:val="20"/>
                <w:szCs w:val="20"/>
                <w:lang w:val="en-CA"/>
              </w:rPr>
              <w:t>(</w:t>
            </w:r>
            <w:r w:rsidRPr="00421691">
              <w:rPr>
                <w:rFonts w:ascii="Times New Roman" w:hAnsi="Times New Roman"/>
                <w:sz w:val="20"/>
                <w:szCs w:val="20"/>
              </w:rPr>
              <w:t>COSTHA))</w:t>
            </w:r>
          </w:p>
          <w:p w14:paraId="0D968529" w14:textId="6235DFA5" w:rsidR="00961DF7" w:rsidRPr="00211444" w:rsidRDefault="006B3B94" w:rsidP="00961DF7">
            <w:pPr>
              <w:pStyle w:val="ListParagraph"/>
              <w:numPr>
                <w:ilvl w:val="0"/>
                <w:numId w:val="21"/>
              </w:numPr>
              <w:spacing w:before="40" w:after="120" w:line="240" w:lineRule="auto"/>
              <w:ind w:left="450" w:right="576" w:hanging="270"/>
              <w:contextualSpacing w:val="0"/>
              <w:rPr>
                <w:szCs w:val="8"/>
              </w:rPr>
            </w:pPr>
            <w:r w:rsidRPr="00421691">
              <w:rPr>
                <w:rFonts w:ascii="Times New Roman" w:hAnsi="Times New Roman"/>
                <w:sz w:val="20"/>
                <w:szCs w:val="20"/>
                <w:lang w:val="en-CA"/>
              </w:rPr>
              <w:t xml:space="preserve">RID/ADR/ADN </w:t>
            </w:r>
            <w:r w:rsidR="00961DF7" w:rsidRPr="00421691">
              <w:rPr>
                <w:rFonts w:ascii="Times New Roman" w:hAnsi="Times New Roman"/>
                <w:sz w:val="20"/>
                <w:szCs w:val="20"/>
                <w:lang w:val="en-CA"/>
              </w:rPr>
              <w:t>Joint Meeting</w:t>
            </w:r>
            <w:r>
              <w:rPr>
                <w:rFonts w:ascii="Times New Roman" w:hAnsi="Times New Roman"/>
                <w:sz w:val="20"/>
                <w:szCs w:val="20"/>
                <w:lang w:val="en-CA"/>
              </w:rPr>
              <w:t xml:space="preserve"> </w:t>
            </w:r>
            <w:r w:rsidR="00961DF7">
              <w:rPr>
                <w:rFonts w:ascii="Times New Roman" w:hAnsi="Times New Roman"/>
                <w:sz w:val="20"/>
                <w:szCs w:val="20"/>
                <w:lang w:val="en-CA"/>
              </w:rPr>
              <w:t xml:space="preserve">– </w:t>
            </w:r>
            <w:r w:rsidR="00D97FA5">
              <w:rPr>
                <w:rFonts w:ascii="Times New Roman" w:hAnsi="Times New Roman"/>
                <w:bCs/>
                <w:sz w:val="20"/>
                <w:szCs w:val="20"/>
                <w:lang w:val="en-CA"/>
              </w:rPr>
              <w:t>a</w:t>
            </w:r>
            <w:r w:rsidR="00961DF7" w:rsidRPr="00421691">
              <w:rPr>
                <w:rFonts w:ascii="Times New Roman" w:hAnsi="Times New Roman"/>
                <w:bCs/>
                <w:sz w:val="20"/>
                <w:szCs w:val="20"/>
                <w:lang w:val="en-CA"/>
              </w:rPr>
              <w:t xml:space="preserve">utumn 2022 </w:t>
            </w:r>
            <w:r w:rsidR="00D97FA5">
              <w:rPr>
                <w:rFonts w:ascii="Times New Roman" w:hAnsi="Times New Roman"/>
                <w:bCs/>
                <w:sz w:val="20"/>
                <w:szCs w:val="20"/>
                <w:lang w:val="en-CA"/>
              </w:rPr>
              <w:t>s</w:t>
            </w:r>
            <w:r w:rsidR="00961DF7" w:rsidRPr="00421691">
              <w:rPr>
                <w:rFonts w:ascii="Times New Roman" w:hAnsi="Times New Roman"/>
                <w:bCs/>
                <w:sz w:val="20"/>
                <w:szCs w:val="20"/>
                <w:lang w:val="en-CA"/>
              </w:rPr>
              <w:t>ession (</w:t>
            </w:r>
            <w:r w:rsidR="00961DF7" w:rsidRPr="00421691">
              <w:rPr>
                <w:rFonts w:ascii="Times New Roman" w:hAnsi="Times New Roman"/>
                <w:sz w:val="20"/>
                <w:szCs w:val="20"/>
                <w:lang w:val="en-CA"/>
              </w:rPr>
              <w:t>ECE/TRANS/WP.15/AC.1/2022/27 (</w:t>
            </w:r>
            <w:r w:rsidR="00961DF7" w:rsidRPr="00421691">
              <w:rPr>
                <w:rFonts w:ascii="Times New Roman" w:hAnsi="Times New Roman"/>
                <w:sz w:val="20"/>
                <w:szCs w:val="20"/>
              </w:rPr>
              <w:t xml:space="preserve">COSTHA), </w:t>
            </w:r>
            <w:r w:rsidR="00664647">
              <w:rPr>
                <w:rFonts w:ascii="Times New Roman" w:hAnsi="Times New Roman"/>
                <w:sz w:val="20"/>
                <w:szCs w:val="20"/>
              </w:rPr>
              <w:t xml:space="preserve">informal document </w:t>
            </w:r>
            <w:r w:rsidR="00961DF7" w:rsidRPr="00421691">
              <w:rPr>
                <w:rFonts w:ascii="Times New Roman" w:hAnsi="Times New Roman"/>
                <w:sz w:val="20"/>
                <w:szCs w:val="20"/>
              </w:rPr>
              <w:t>INF.16 (FEA)</w:t>
            </w:r>
            <w:r w:rsidR="00961DF7">
              <w:rPr>
                <w:rFonts w:ascii="Times New Roman" w:hAnsi="Times New Roman"/>
                <w:sz w:val="20"/>
                <w:szCs w:val="20"/>
              </w:rPr>
              <w:t>,</w:t>
            </w:r>
            <w:r w:rsidR="00961DF7" w:rsidRPr="00421691">
              <w:rPr>
                <w:rFonts w:ascii="Times New Roman" w:hAnsi="Times New Roman"/>
                <w:sz w:val="20"/>
                <w:szCs w:val="20"/>
              </w:rPr>
              <w:t xml:space="preserve"> </w:t>
            </w:r>
            <w:r w:rsidR="00664647">
              <w:rPr>
                <w:rFonts w:ascii="Times New Roman" w:hAnsi="Times New Roman"/>
                <w:sz w:val="20"/>
                <w:szCs w:val="20"/>
              </w:rPr>
              <w:t xml:space="preserve">informal document </w:t>
            </w:r>
            <w:r w:rsidR="00961DF7" w:rsidRPr="00421691">
              <w:rPr>
                <w:rFonts w:ascii="Times New Roman" w:hAnsi="Times New Roman"/>
                <w:sz w:val="20"/>
                <w:szCs w:val="20"/>
              </w:rPr>
              <w:t>INF.28 (France)</w:t>
            </w:r>
            <w:r w:rsidR="00961DF7">
              <w:rPr>
                <w:rFonts w:ascii="Times New Roman" w:hAnsi="Times New Roman"/>
                <w:sz w:val="20"/>
                <w:szCs w:val="20"/>
              </w:rPr>
              <w:t xml:space="preserve"> </w:t>
            </w:r>
            <w:r w:rsidR="00D97FA5">
              <w:rPr>
                <w:rFonts w:ascii="Times New Roman" w:hAnsi="Times New Roman"/>
                <w:sz w:val="20"/>
                <w:szCs w:val="20"/>
              </w:rPr>
              <w:t>and</w:t>
            </w:r>
            <w:r w:rsidR="00961DF7">
              <w:rPr>
                <w:rFonts w:ascii="Times New Roman" w:hAnsi="Times New Roman"/>
                <w:sz w:val="20"/>
                <w:szCs w:val="20"/>
              </w:rPr>
              <w:t xml:space="preserve"> </w:t>
            </w:r>
            <w:r w:rsidR="00664647">
              <w:rPr>
                <w:rFonts w:ascii="Times New Roman" w:hAnsi="Times New Roman"/>
                <w:sz w:val="20"/>
                <w:szCs w:val="20"/>
              </w:rPr>
              <w:t>informal document</w:t>
            </w:r>
            <w:r w:rsidR="00CB588E">
              <w:rPr>
                <w:rFonts w:ascii="Times New Roman" w:hAnsi="Times New Roman"/>
                <w:sz w:val="20"/>
                <w:szCs w:val="20"/>
              </w:rPr>
              <w:t xml:space="preserve"> </w:t>
            </w:r>
            <w:r w:rsidR="00961DF7" w:rsidRPr="00421691">
              <w:rPr>
                <w:rFonts w:ascii="Times New Roman" w:hAnsi="Times New Roman"/>
                <w:sz w:val="20"/>
                <w:szCs w:val="20"/>
              </w:rPr>
              <w:t>INF.29 (RECHARGE))</w:t>
            </w:r>
          </w:p>
          <w:p w14:paraId="627F3D73" w14:textId="6EA72E03" w:rsidR="00961DF7" w:rsidRPr="00C17E3A" w:rsidRDefault="006B3B94" w:rsidP="00961DF7">
            <w:pPr>
              <w:pStyle w:val="ListParagraph"/>
              <w:numPr>
                <w:ilvl w:val="0"/>
                <w:numId w:val="21"/>
              </w:numPr>
              <w:spacing w:before="40" w:after="120" w:line="240" w:lineRule="auto"/>
              <w:ind w:left="450" w:right="576" w:hanging="270"/>
              <w:contextualSpacing w:val="0"/>
              <w:rPr>
                <w:rFonts w:ascii="Times New Roman" w:hAnsi="Times New Roman"/>
                <w:sz w:val="20"/>
                <w:szCs w:val="20"/>
              </w:rPr>
            </w:pPr>
            <w:r w:rsidRPr="00C17E3A">
              <w:rPr>
                <w:rFonts w:ascii="Times New Roman" w:hAnsi="Times New Roman"/>
                <w:sz w:val="20"/>
                <w:szCs w:val="20"/>
                <w:lang w:val="en-CA"/>
              </w:rPr>
              <w:t xml:space="preserve">RID/ADR/ADN </w:t>
            </w:r>
            <w:r w:rsidR="00961DF7" w:rsidRPr="00C17E3A">
              <w:rPr>
                <w:rFonts w:ascii="Times New Roman" w:hAnsi="Times New Roman"/>
                <w:sz w:val="20"/>
                <w:szCs w:val="20"/>
                <w:lang w:val="en-CA"/>
              </w:rPr>
              <w:t>Joint Meeting</w:t>
            </w:r>
            <w:r>
              <w:rPr>
                <w:rFonts w:ascii="Times New Roman" w:hAnsi="Times New Roman"/>
                <w:sz w:val="20"/>
                <w:szCs w:val="20"/>
                <w:lang w:val="en-CA"/>
              </w:rPr>
              <w:t xml:space="preserve"> </w:t>
            </w:r>
            <w:r w:rsidR="00961DF7" w:rsidRPr="00C17E3A">
              <w:rPr>
                <w:rFonts w:ascii="Times New Roman" w:hAnsi="Times New Roman"/>
                <w:sz w:val="20"/>
                <w:szCs w:val="20"/>
                <w:lang w:val="en-CA"/>
              </w:rPr>
              <w:t xml:space="preserve">– </w:t>
            </w:r>
            <w:r w:rsidR="00D97FA5">
              <w:rPr>
                <w:rFonts w:ascii="Times New Roman" w:hAnsi="Times New Roman"/>
                <w:sz w:val="20"/>
                <w:szCs w:val="20"/>
                <w:lang w:val="en-CA"/>
              </w:rPr>
              <w:t>s</w:t>
            </w:r>
            <w:r w:rsidR="00961DF7" w:rsidRPr="00C17E3A">
              <w:rPr>
                <w:rFonts w:ascii="Times New Roman" w:hAnsi="Times New Roman"/>
                <w:sz w:val="20"/>
                <w:szCs w:val="20"/>
                <w:lang w:val="en-CA"/>
              </w:rPr>
              <w:t xml:space="preserve">pring 2023 </w:t>
            </w:r>
            <w:r w:rsidR="00D97FA5">
              <w:rPr>
                <w:rFonts w:ascii="Times New Roman" w:hAnsi="Times New Roman"/>
                <w:sz w:val="20"/>
                <w:szCs w:val="20"/>
                <w:lang w:val="en-CA"/>
              </w:rPr>
              <w:t>s</w:t>
            </w:r>
            <w:r w:rsidR="00961DF7" w:rsidRPr="00C17E3A">
              <w:rPr>
                <w:rFonts w:ascii="Times New Roman" w:hAnsi="Times New Roman"/>
                <w:sz w:val="20"/>
                <w:szCs w:val="20"/>
                <w:lang w:val="en-CA"/>
              </w:rPr>
              <w:t>ession</w:t>
            </w:r>
            <w:r w:rsidR="00961DF7" w:rsidRPr="00C17E3A">
              <w:rPr>
                <w:rFonts w:ascii="Times New Roman" w:hAnsi="Times New Roman"/>
                <w:sz w:val="20"/>
                <w:szCs w:val="20"/>
                <w:lang w:val="en-CA"/>
              </w:rPr>
              <w:br/>
            </w:r>
            <w:r w:rsidR="00961DF7" w:rsidRPr="00161FC5">
              <w:rPr>
                <w:rStyle w:val="Strong"/>
                <w:rFonts w:ascii="Times New Roman" w:eastAsiaTheme="minorHAnsi" w:hAnsi="Times New Roman"/>
                <w:b w:val="0"/>
                <w:bCs w:val="0"/>
                <w:color w:val="333333"/>
                <w:sz w:val="20"/>
                <w:szCs w:val="20"/>
              </w:rPr>
              <w:t>(ECE/TRANS/WP.15/AC.1/2023/22</w:t>
            </w:r>
            <w:r w:rsidR="00961DF7" w:rsidRPr="00161FC5">
              <w:rPr>
                <w:rFonts w:ascii="Times New Roman" w:hAnsi="Times New Roman"/>
                <w:b/>
                <w:sz w:val="20"/>
                <w:szCs w:val="20"/>
              </w:rPr>
              <w:t xml:space="preserve"> </w:t>
            </w:r>
            <w:r w:rsidR="00961DF7" w:rsidRPr="00161FC5">
              <w:rPr>
                <w:rFonts w:ascii="Times New Roman" w:hAnsi="Times New Roman"/>
                <w:bCs/>
                <w:sz w:val="20"/>
                <w:szCs w:val="20"/>
              </w:rPr>
              <w:t>(COSTHA),</w:t>
            </w:r>
            <w:r w:rsidR="00961DF7">
              <w:rPr>
                <w:rFonts w:ascii="Times New Roman" w:hAnsi="Times New Roman"/>
                <w:sz w:val="20"/>
                <w:szCs w:val="20"/>
              </w:rPr>
              <w:t xml:space="preserve"> </w:t>
            </w:r>
            <w:r w:rsidR="00CB588E">
              <w:rPr>
                <w:rFonts w:ascii="Times New Roman" w:hAnsi="Times New Roman"/>
                <w:sz w:val="20"/>
                <w:szCs w:val="20"/>
              </w:rPr>
              <w:t xml:space="preserve">informal document </w:t>
            </w:r>
            <w:r w:rsidR="00961DF7" w:rsidRPr="00421691">
              <w:rPr>
                <w:rFonts w:ascii="Times New Roman" w:hAnsi="Times New Roman"/>
                <w:sz w:val="20"/>
                <w:szCs w:val="20"/>
              </w:rPr>
              <w:t>INF.2</w:t>
            </w:r>
            <w:r w:rsidR="00961DF7">
              <w:rPr>
                <w:rFonts w:ascii="Times New Roman" w:hAnsi="Times New Roman"/>
                <w:sz w:val="20"/>
                <w:szCs w:val="20"/>
              </w:rPr>
              <w:t>0</w:t>
            </w:r>
            <w:r w:rsidR="00961DF7" w:rsidRPr="00421691">
              <w:rPr>
                <w:rFonts w:ascii="Times New Roman" w:hAnsi="Times New Roman"/>
                <w:sz w:val="20"/>
                <w:szCs w:val="20"/>
              </w:rPr>
              <w:t xml:space="preserve"> (France)</w:t>
            </w:r>
            <w:r w:rsidR="00961DF7">
              <w:rPr>
                <w:rFonts w:ascii="Times New Roman" w:hAnsi="Times New Roman"/>
                <w:sz w:val="20"/>
                <w:szCs w:val="20"/>
              </w:rPr>
              <w:t xml:space="preserve"> &amp; </w:t>
            </w:r>
            <w:r w:rsidR="00CB588E">
              <w:rPr>
                <w:rFonts w:ascii="Times New Roman" w:hAnsi="Times New Roman"/>
                <w:sz w:val="20"/>
                <w:szCs w:val="20"/>
              </w:rPr>
              <w:t xml:space="preserve">informal document </w:t>
            </w:r>
            <w:r w:rsidR="00961DF7" w:rsidRPr="00421691">
              <w:rPr>
                <w:rFonts w:ascii="Times New Roman" w:hAnsi="Times New Roman"/>
                <w:sz w:val="20"/>
                <w:szCs w:val="20"/>
              </w:rPr>
              <w:t>INF.</w:t>
            </w:r>
            <w:r w:rsidR="00961DF7">
              <w:rPr>
                <w:rFonts w:ascii="Times New Roman" w:hAnsi="Times New Roman"/>
                <w:sz w:val="20"/>
                <w:szCs w:val="20"/>
              </w:rPr>
              <w:t>3</w:t>
            </w:r>
            <w:r w:rsidR="00961DF7" w:rsidRPr="00421691">
              <w:rPr>
                <w:rFonts w:ascii="Times New Roman" w:hAnsi="Times New Roman"/>
                <w:sz w:val="20"/>
                <w:szCs w:val="20"/>
              </w:rPr>
              <w:t>1 (FEA))</w:t>
            </w:r>
          </w:p>
        </w:tc>
      </w:tr>
    </w:tbl>
    <w:p w14:paraId="00BAD572" w14:textId="77777777" w:rsidR="00207213" w:rsidRPr="003E468A" w:rsidRDefault="00207213" w:rsidP="00161FC5">
      <w:pPr>
        <w:pStyle w:val="HChG"/>
        <w:rPr>
          <w:sz w:val="20"/>
          <w:lang w:val="en-CA"/>
        </w:rPr>
      </w:pPr>
      <w:r>
        <w:rPr>
          <w:lang w:val="en-CA"/>
        </w:rPr>
        <w:lastRenderedPageBreak/>
        <w:tab/>
      </w:r>
      <w:r>
        <w:rPr>
          <w:lang w:val="en-CA"/>
        </w:rPr>
        <w:tab/>
      </w:r>
      <w:r w:rsidRPr="00161FC5">
        <w:t>Introduction</w:t>
      </w:r>
    </w:p>
    <w:p w14:paraId="1A9B3415" w14:textId="1E9D1D4E" w:rsidR="00207213" w:rsidRPr="00FA4E81" w:rsidRDefault="00A36B42" w:rsidP="00CB588E">
      <w:pPr>
        <w:pStyle w:val="SingleTxtG"/>
        <w:rPr>
          <w:b/>
          <w:sz w:val="16"/>
          <w:szCs w:val="16"/>
          <w:lang w:val="en-CA"/>
        </w:rPr>
      </w:pPr>
      <w:r>
        <w:rPr>
          <w:lang w:val="en-CA"/>
        </w:rPr>
        <w:t>1.</w:t>
      </w:r>
      <w:r>
        <w:rPr>
          <w:lang w:val="en-CA"/>
        </w:rPr>
        <w:tab/>
      </w:r>
      <w:r w:rsidR="00207213">
        <w:rPr>
          <w:lang w:val="en-CA"/>
        </w:rPr>
        <w:t xml:space="preserve">The </w:t>
      </w:r>
      <w:r w:rsidR="00207213" w:rsidRPr="003E468A">
        <w:rPr>
          <w:lang w:val="en-CA"/>
        </w:rPr>
        <w:t>challenges posed by direct-to-customer delivery systems</w:t>
      </w:r>
      <w:r w:rsidR="00207213">
        <w:rPr>
          <w:lang w:val="en-CA"/>
        </w:rPr>
        <w:t xml:space="preserve"> </w:t>
      </w:r>
      <w:r w:rsidR="00207213" w:rsidRPr="003E468A">
        <w:rPr>
          <w:lang w:val="en-CA"/>
        </w:rPr>
        <w:t>which may contain dangerous goods</w:t>
      </w:r>
      <w:r w:rsidR="00207213">
        <w:rPr>
          <w:lang w:val="en-CA"/>
        </w:rPr>
        <w:t xml:space="preserve"> remain even after the </w:t>
      </w:r>
      <w:r w:rsidR="00207213" w:rsidRPr="003E468A">
        <w:rPr>
          <w:lang w:val="en-CA"/>
        </w:rPr>
        <w:t>COVID-19 pandemic</w:t>
      </w:r>
      <w:r w:rsidR="00207213">
        <w:rPr>
          <w:lang w:val="en-CA"/>
        </w:rPr>
        <w:t>. During that time</w:t>
      </w:r>
      <w:r w:rsidR="00207213" w:rsidRPr="003E468A">
        <w:rPr>
          <w:lang w:val="en-CA"/>
        </w:rPr>
        <w:t>, retail deliveries of goods, including grocery deliveries, have significantly increased.</w:t>
      </w:r>
      <w:r w:rsidR="00207213">
        <w:rPr>
          <w:lang w:val="en-CA"/>
        </w:rPr>
        <w:t xml:space="preserve"> </w:t>
      </w:r>
      <w:r w:rsidR="00207213" w:rsidRPr="007F0546">
        <w:rPr>
          <w:szCs w:val="16"/>
          <w:lang w:val="en-CA"/>
        </w:rPr>
        <w:t xml:space="preserve">Common examples of dangerous goods sold </w:t>
      </w:r>
      <w:r w:rsidR="00207213">
        <w:rPr>
          <w:szCs w:val="16"/>
          <w:lang w:val="en-CA"/>
        </w:rPr>
        <w:t xml:space="preserve">(in store or online) </w:t>
      </w:r>
      <w:r w:rsidR="00207213" w:rsidRPr="007F0546">
        <w:rPr>
          <w:szCs w:val="16"/>
          <w:lang w:val="en-CA"/>
        </w:rPr>
        <w:t xml:space="preserve">and </w:t>
      </w:r>
      <w:r w:rsidR="00207213">
        <w:rPr>
          <w:szCs w:val="16"/>
          <w:lang w:val="en-CA"/>
        </w:rPr>
        <w:t xml:space="preserve">being delivered from groceries, retail </w:t>
      </w:r>
      <w:r w:rsidR="00207213" w:rsidRPr="007F0546">
        <w:rPr>
          <w:szCs w:val="16"/>
          <w:lang w:val="en-CA"/>
        </w:rPr>
        <w:t>stores</w:t>
      </w:r>
      <w:r w:rsidR="00207213">
        <w:rPr>
          <w:szCs w:val="16"/>
          <w:lang w:val="en-CA"/>
        </w:rPr>
        <w:t>,</w:t>
      </w:r>
      <w:r w:rsidR="00207213" w:rsidRPr="007F0546">
        <w:rPr>
          <w:szCs w:val="16"/>
          <w:lang w:val="en-CA"/>
        </w:rPr>
        <w:t xml:space="preserve"> </w:t>
      </w:r>
      <w:r w:rsidR="00207213">
        <w:rPr>
          <w:szCs w:val="16"/>
          <w:lang w:val="en-CA"/>
        </w:rPr>
        <w:t xml:space="preserve">or online shops, </w:t>
      </w:r>
      <w:r w:rsidR="00207213" w:rsidRPr="007F0546">
        <w:rPr>
          <w:szCs w:val="16"/>
          <w:lang w:val="en-CA"/>
        </w:rPr>
        <w:t>include flammable gases and liquids, organic peroxides, corrosive substances</w:t>
      </w:r>
      <w:r w:rsidR="00207213">
        <w:rPr>
          <w:szCs w:val="16"/>
          <w:lang w:val="en-CA"/>
        </w:rPr>
        <w:t>,</w:t>
      </w:r>
      <w:r w:rsidR="00207213" w:rsidRPr="007F0546">
        <w:rPr>
          <w:szCs w:val="16"/>
          <w:lang w:val="en-CA"/>
        </w:rPr>
        <w:t xml:space="preserve"> and small lithium batteries.</w:t>
      </w:r>
    </w:p>
    <w:p w14:paraId="4F29CFEA" w14:textId="22E6EB84" w:rsidR="00207213" w:rsidRPr="00FA4E81" w:rsidRDefault="004608DB" w:rsidP="00CB588E">
      <w:pPr>
        <w:pStyle w:val="SingleTxtG"/>
        <w:rPr>
          <w:b/>
          <w:sz w:val="16"/>
          <w:szCs w:val="16"/>
          <w:lang w:val="en-CA"/>
        </w:rPr>
      </w:pPr>
      <w:r>
        <w:rPr>
          <w:szCs w:val="16"/>
          <w:lang w:val="en-CA"/>
        </w:rPr>
        <w:t>2.</w:t>
      </w:r>
      <w:r>
        <w:rPr>
          <w:szCs w:val="16"/>
          <w:lang w:val="en-CA"/>
        </w:rPr>
        <w:tab/>
      </w:r>
      <w:r w:rsidR="00207213" w:rsidRPr="00FA4E81">
        <w:rPr>
          <w:szCs w:val="16"/>
          <w:lang w:val="en-CA"/>
        </w:rPr>
        <w:t>The d</w:t>
      </w:r>
      <w:r w:rsidR="00207213" w:rsidRPr="00FA4E81">
        <w:rPr>
          <w:lang w:val="en-CA"/>
        </w:rPr>
        <w:t xml:space="preserve">elivery of </w:t>
      </w:r>
      <w:r w:rsidR="00207213">
        <w:rPr>
          <w:lang w:val="en-CA"/>
        </w:rPr>
        <w:t xml:space="preserve">these </w:t>
      </w:r>
      <w:r w:rsidR="00E37C98">
        <w:rPr>
          <w:lang w:val="en-CA"/>
        </w:rPr>
        <w:t>"</w:t>
      </w:r>
      <w:r w:rsidR="00207213">
        <w:rPr>
          <w:lang w:val="en-CA"/>
        </w:rPr>
        <w:t>online</w:t>
      </w:r>
      <w:r w:rsidR="00E37C98">
        <w:rPr>
          <w:lang w:val="en-CA"/>
        </w:rPr>
        <w:t>"</w:t>
      </w:r>
      <w:r w:rsidR="00207213">
        <w:rPr>
          <w:lang w:val="en-CA"/>
        </w:rPr>
        <w:t xml:space="preserve"> </w:t>
      </w:r>
      <w:r w:rsidR="00207213" w:rsidRPr="00FA4E81">
        <w:rPr>
          <w:szCs w:val="16"/>
          <w:lang w:val="en-CA"/>
        </w:rPr>
        <w:t xml:space="preserve">purchases </w:t>
      </w:r>
      <w:proofErr w:type="gramStart"/>
      <w:r w:rsidR="00207213" w:rsidRPr="00FA4E81">
        <w:rPr>
          <w:lang w:val="en-CA"/>
        </w:rPr>
        <w:t>is</w:t>
      </w:r>
      <w:proofErr w:type="gramEnd"/>
      <w:r w:rsidR="00207213" w:rsidRPr="00FA4E81">
        <w:rPr>
          <w:lang w:val="en-CA"/>
        </w:rPr>
        <w:t xml:space="preserve"> frequently carried out by services that use the operator’s vehicle (i.e., Instacart, Peapod, Whole Foods Market in the United States of America), and </w:t>
      </w:r>
      <w:r w:rsidR="00207213">
        <w:rPr>
          <w:lang w:val="en-CA"/>
        </w:rPr>
        <w:t>t</w:t>
      </w:r>
      <w:r w:rsidR="00207213" w:rsidRPr="00FA4E81">
        <w:rPr>
          <w:lang w:val="en-CA"/>
        </w:rPr>
        <w:t xml:space="preserve">he increase in the use of these services creates questions as to whether the requirements of the dangerous goods regulations apply when used by a commercial employee in a manner similar to that of the traditional consumer retail experience. Currently, neither </w:t>
      </w:r>
      <w:r w:rsidR="00036760">
        <w:rPr>
          <w:lang w:val="en-CA"/>
        </w:rPr>
        <w:t xml:space="preserve">RID nor </w:t>
      </w:r>
      <w:r w:rsidR="00207213" w:rsidRPr="00FA4E81">
        <w:rPr>
          <w:lang w:val="en-CA"/>
        </w:rPr>
        <w:t>ADR nor ADN provides any exceptions for this practice.</w:t>
      </w:r>
    </w:p>
    <w:p w14:paraId="121A1186" w14:textId="1D018516" w:rsidR="00207213" w:rsidRPr="0051306F" w:rsidRDefault="004608DB" w:rsidP="00CB588E">
      <w:pPr>
        <w:pStyle w:val="SingleTxtG"/>
        <w:rPr>
          <w:rFonts w:eastAsia="SimSun"/>
          <w:lang w:val="en-CA" w:eastAsia="zh-CN"/>
        </w:rPr>
      </w:pPr>
      <w:r>
        <w:rPr>
          <w:lang w:val="en-CA"/>
        </w:rPr>
        <w:t>3.</w:t>
      </w:r>
      <w:r>
        <w:rPr>
          <w:lang w:val="en-CA"/>
        </w:rPr>
        <w:tab/>
      </w:r>
      <w:r w:rsidR="00207213" w:rsidRPr="003E468A">
        <w:rPr>
          <w:lang w:val="en-CA"/>
        </w:rPr>
        <w:t xml:space="preserve">At the March 2022 session of the Joint Meeting, COSTHA presented informal document INF.32 to gather input for a future proposal. Many delegations provided initial comments on the issue, which allowed COSTHA to present a working </w:t>
      </w:r>
      <w:r w:rsidR="00E170E6">
        <w:rPr>
          <w:lang w:val="en-CA"/>
        </w:rPr>
        <w:t xml:space="preserve">document </w:t>
      </w:r>
      <w:r w:rsidR="00207213">
        <w:rPr>
          <w:lang w:val="en-CA"/>
        </w:rPr>
        <w:t xml:space="preserve">at the </w:t>
      </w:r>
      <w:r w:rsidR="00E170E6">
        <w:rPr>
          <w:lang w:val="en-CA"/>
        </w:rPr>
        <w:t xml:space="preserve">autumn </w:t>
      </w:r>
      <w:r w:rsidR="00207213">
        <w:rPr>
          <w:lang w:val="en-CA"/>
        </w:rPr>
        <w:t>2022</w:t>
      </w:r>
      <w:r w:rsidR="00207213" w:rsidRPr="003E468A">
        <w:rPr>
          <w:lang w:val="en-CA"/>
        </w:rPr>
        <w:t xml:space="preserve"> </w:t>
      </w:r>
      <w:r w:rsidR="00E170E6">
        <w:rPr>
          <w:lang w:val="en-CA"/>
        </w:rPr>
        <w:t xml:space="preserve">session </w:t>
      </w:r>
      <w:r w:rsidR="00207213" w:rsidRPr="003E468A">
        <w:rPr>
          <w:lang w:val="en-CA"/>
        </w:rPr>
        <w:t>(</w:t>
      </w:r>
      <w:r w:rsidR="00207213" w:rsidRPr="000C2BF0">
        <w:rPr>
          <w:lang w:val="en-CA"/>
        </w:rPr>
        <w:t>ECE/TRANS/WP.15/AC.1/2022/27</w:t>
      </w:r>
      <w:r w:rsidR="00207213" w:rsidRPr="003E468A">
        <w:rPr>
          <w:lang w:val="en-CA"/>
        </w:rPr>
        <w:t>) containing two proposal options at the September 2022 session of the Joint Meeting. COSTHA is grateful to the many delegations who provided comments which were very helpful for the preparation of this document</w:t>
      </w:r>
      <w:r w:rsidR="00207213">
        <w:rPr>
          <w:lang w:val="en-CA"/>
        </w:rPr>
        <w:t xml:space="preserve">, which allowed the submittal of </w:t>
      </w:r>
      <w:r w:rsidR="00207213" w:rsidRPr="003E468A">
        <w:rPr>
          <w:lang w:val="en-CA"/>
        </w:rPr>
        <w:t>a</w:t>
      </w:r>
      <w:r w:rsidR="00207213">
        <w:rPr>
          <w:lang w:val="en-CA"/>
        </w:rPr>
        <w:t xml:space="preserve">n updated </w:t>
      </w:r>
      <w:r w:rsidR="00207213" w:rsidRPr="003E468A">
        <w:rPr>
          <w:lang w:val="en-CA"/>
        </w:rPr>
        <w:t xml:space="preserve">working </w:t>
      </w:r>
      <w:r w:rsidR="0020639C">
        <w:rPr>
          <w:lang w:val="en-CA"/>
        </w:rPr>
        <w:t xml:space="preserve">document </w:t>
      </w:r>
      <w:r w:rsidR="00207213">
        <w:rPr>
          <w:lang w:val="en-CA"/>
        </w:rPr>
        <w:t xml:space="preserve">at the </w:t>
      </w:r>
      <w:r w:rsidR="0020639C">
        <w:rPr>
          <w:lang w:val="en-CA"/>
        </w:rPr>
        <w:t>s</w:t>
      </w:r>
      <w:r w:rsidR="00207213">
        <w:rPr>
          <w:lang w:val="en-CA"/>
        </w:rPr>
        <w:t>pring 2023 session of the Joint Meeting</w:t>
      </w:r>
      <w:r w:rsidR="00207213" w:rsidRPr="003E468A">
        <w:rPr>
          <w:lang w:val="en-CA"/>
        </w:rPr>
        <w:t xml:space="preserve"> (</w:t>
      </w:r>
      <w:r w:rsidR="00207213" w:rsidRPr="000C2BF0">
        <w:rPr>
          <w:lang w:val="en-CA"/>
        </w:rPr>
        <w:t>ECE/TRANS/WP.15/AC.1/202</w:t>
      </w:r>
      <w:r w:rsidR="00207213">
        <w:rPr>
          <w:lang w:val="en-CA"/>
        </w:rPr>
        <w:t>3</w:t>
      </w:r>
      <w:r w:rsidR="00207213" w:rsidRPr="000C2BF0">
        <w:rPr>
          <w:lang w:val="en-CA"/>
        </w:rPr>
        <w:t>/2</w:t>
      </w:r>
      <w:r w:rsidR="00207213">
        <w:rPr>
          <w:lang w:val="en-CA"/>
        </w:rPr>
        <w:t>2</w:t>
      </w:r>
      <w:r w:rsidR="00207213" w:rsidRPr="003E468A">
        <w:rPr>
          <w:lang w:val="en-CA"/>
        </w:rPr>
        <w:t>)</w:t>
      </w:r>
      <w:r w:rsidR="00207213">
        <w:rPr>
          <w:lang w:val="en-CA"/>
        </w:rPr>
        <w:t xml:space="preserve">. </w:t>
      </w:r>
    </w:p>
    <w:p w14:paraId="0D1F04D2" w14:textId="73757490" w:rsidR="00207213" w:rsidRPr="000B1B85" w:rsidRDefault="004608DB" w:rsidP="00CB588E">
      <w:pPr>
        <w:pStyle w:val="SingleTxtG"/>
        <w:rPr>
          <w:lang w:val="en-CA"/>
        </w:rPr>
      </w:pPr>
      <w:r>
        <w:rPr>
          <w:lang w:val="en-CA"/>
        </w:rPr>
        <w:t>4.</w:t>
      </w:r>
      <w:r>
        <w:rPr>
          <w:lang w:val="en-CA"/>
        </w:rPr>
        <w:tab/>
      </w:r>
      <w:r w:rsidR="00207213">
        <w:rPr>
          <w:lang w:val="en-CA"/>
        </w:rPr>
        <w:t xml:space="preserve">As previously discussed, </w:t>
      </w:r>
      <w:r w:rsidR="00207213" w:rsidRPr="003E468A">
        <w:rPr>
          <w:lang w:val="en-CA"/>
        </w:rPr>
        <w:t xml:space="preserve">COSTHA also brought </w:t>
      </w:r>
      <w:r w:rsidR="00207213">
        <w:rPr>
          <w:lang w:val="en-CA"/>
        </w:rPr>
        <w:t xml:space="preserve">the issue to </w:t>
      </w:r>
      <w:r w:rsidR="00207213" w:rsidRPr="003E468A">
        <w:rPr>
          <w:lang w:val="en-CA"/>
        </w:rPr>
        <w:t>the attention of the Sub-Committee of Experts on the Transport of Dangerous Goods (TDG</w:t>
      </w:r>
      <w:r w:rsidR="00974839">
        <w:rPr>
          <w:lang w:val="en-CA"/>
        </w:rPr>
        <w:t xml:space="preserve"> Sub-Committee</w:t>
      </w:r>
      <w:r w:rsidR="00207213" w:rsidRPr="003E468A">
        <w:rPr>
          <w:lang w:val="en-CA"/>
        </w:rPr>
        <w:t xml:space="preserve">) for discussion during its </w:t>
      </w:r>
      <w:r w:rsidR="00EB1E3A">
        <w:rPr>
          <w:lang w:val="en-CA"/>
        </w:rPr>
        <w:t xml:space="preserve">sixtieth </w:t>
      </w:r>
      <w:r w:rsidR="00207213" w:rsidRPr="003E468A">
        <w:rPr>
          <w:lang w:val="en-CA"/>
        </w:rPr>
        <w:t>session</w:t>
      </w:r>
      <w:r w:rsidR="00207213">
        <w:rPr>
          <w:lang w:val="en-CA"/>
        </w:rPr>
        <w:t xml:space="preserve"> that took place in Geneva (June 27 </w:t>
      </w:r>
      <w:r w:rsidR="00A654F5">
        <w:rPr>
          <w:lang w:val="en-CA"/>
        </w:rPr>
        <w:t>–</w:t>
      </w:r>
      <w:r w:rsidR="00207213">
        <w:rPr>
          <w:lang w:val="en-CA"/>
        </w:rPr>
        <w:t xml:space="preserve"> July 6, 2022) (see: </w:t>
      </w:r>
      <w:r w:rsidR="00F640FC">
        <w:t>ST/SG/AC.10/C.3</w:t>
      </w:r>
      <w:r w:rsidR="00207213" w:rsidRPr="00472F7E">
        <w:rPr>
          <w:lang w:val="en-CA"/>
        </w:rPr>
        <w:t>/2022/28</w:t>
      </w:r>
      <w:r w:rsidR="00207213">
        <w:rPr>
          <w:lang w:val="en-CA"/>
        </w:rPr>
        <w:t>)</w:t>
      </w:r>
      <w:r w:rsidR="00207213" w:rsidRPr="003E468A">
        <w:rPr>
          <w:lang w:val="en-CA"/>
        </w:rPr>
        <w:t xml:space="preserve">. COSTHA explained to the TDG </w:t>
      </w:r>
      <w:r w:rsidR="007B2DEF">
        <w:rPr>
          <w:lang w:val="en-CA"/>
        </w:rPr>
        <w:t>Sub-Committee</w:t>
      </w:r>
      <w:r w:rsidR="007B2DEF" w:rsidRPr="003E468A">
        <w:rPr>
          <w:lang w:val="en-CA"/>
        </w:rPr>
        <w:t xml:space="preserve"> </w:t>
      </w:r>
      <w:r w:rsidR="00207213" w:rsidRPr="003E468A">
        <w:rPr>
          <w:lang w:val="en-CA"/>
        </w:rPr>
        <w:t>that the delivery systems introduced by grocery</w:t>
      </w:r>
      <w:r w:rsidR="00207213">
        <w:rPr>
          <w:lang w:val="en-CA"/>
        </w:rPr>
        <w:t xml:space="preserve">, retail, and online </w:t>
      </w:r>
      <w:r w:rsidR="00207213" w:rsidRPr="003E468A">
        <w:rPr>
          <w:lang w:val="en-CA"/>
        </w:rPr>
        <w:t>stores due to COVID-19 are mostly used for shorter distances</w:t>
      </w:r>
      <w:r w:rsidR="00207213">
        <w:rPr>
          <w:lang w:val="en-CA"/>
        </w:rPr>
        <w:t xml:space="preserve">, and that </w:t>
      </w:r>
      <w:r w:rsidR="00E37C98">
        <w:rPr>
          <w:lang w:val="en-CA"/>
        </w:rPr>
        <w:t>"</w:t>
      </w:r>
      <w:r w:rsidR="00207213">
        <w:rPr>
          <w:lang w:val="en-CA"/>
        </w:rPr>
        <w:t>o</w:t>
      </w:r>
      <w:r w:rsidR="00207213" w:rsidRPr="003E468A">
        <w:rPr>
          <w:lang w:val="en-CA"/>
        </w:rPr>
        <w:t>ff the shelf</w:t>
      </w:r>
      <w:r w:rsidR="00E37C98">
        <w:rPr>
          <w:lang w:val="en-CA"/>
        </w:rPr>
        <w:t>"</w:t>
      </w:r>
      <w:r w:rsidR="00207213" w:rsidRPr="003E468A">
        <w:rPr>
          <w:lang w:val="en-CA"/>
        </w:rPr>
        <w:t xml:space="preserve"> products are placed in shopping bags, thus losing both their original (i.e., suitable) outer packaging and hazard communication. </w:t>
      </w:r>
      <w:r w:rsidR="00207213">
        <w:rPr>
          <w:lang w:val="en-CA"/>
        </w:rPr>
        <w:t xml:space="preserve">Comments from that discussion were heard and shared with the Joint Meeting working </w:t>
      </w:r>
      <w:r w:rsidR="007B2DEF">
        <w:rPr>
          <w:lang w:val="en-CA"/>
        </w:rPr>
        <w:t xml:space="preserve">document </w:t>
      </w:r>
      <w:r w:rsidR="00207213" w:rsidRPr="000C2BF0">
        <w:rPr>
          <w:lang w:val="en-CA"/>
        </w:rPr>
        <w:t>ECE/TRANS/WP.15/AC.1/202</w:t>
      </w:r>
      <w:r w:rsidR="00207213">
        <w:rPr>
          <w:lang w:val="en-CA"/>
        </w:rPr>
        <w:t>3</w:t>
      </w:r>
      <w:r w:rsidR="00207213" w:rsidRPr="000C2BF0">
        <w:rPr>
          <w:lang w:val="en-CA"/>
        </w:rPr>
        <w:t>/2</w:t>
      </w:r>
      <w:r w:rsidR="00207213">
        <w:rPr>
          <w:lang w:val="en-CA"/>
        </w:rPr>
        <w:t>2.</w:t>
      </w:r>
    </w:p>
    <w:p w14:paraId="7A08962C" w14:textId="7C05A81A" w:rsidR="00207213" w:rsidRDefault="00CB588E" w:rsidP="00CB588E">
      <w:pPr>
        <w:pStyle w:val="HChG"/>
        <w:rPr>
          <w:lang w:val="en-CA"/>
        </w:rPr>
      </w:pPr>
      <w:r>
        <w:rPr>
          <w:lang w:val="en-CA"/>
        </w:rPr>
        <w:tab/>
      </w:r>
      <w:r>
        <w:rPr>
          <w:lang w:val="en-CA"/>
        </w:rPr>
        <w:tab/>
      </w:r>
      <w:r w:rsidR="00207213" w:rsidRPr="003E468A">
        <w:rPr>
          <w:lang w:val="en-CA"/>
        </w:rPr>
        <w:t>Justification</w:t>
      </w:r>
    </w:p>
    <w:p w14:paraId="3676046E" w14:textId="57CB4A88" w:rsidR="00207213" w:rsidRPr="00CB588E" w:rsidRDefault="00207213" w:rsidP="00CB588E">
      <w:pPr>
        <w:pStyle w:val="SingleTxtG"/>
      </w:pPr>
      <w:r w:rsidRPr="00CB588E">
        <w:t>5.</w:t>
      </w:r>
      <w:r w:rsidRPr="00CB588E">
        <w:tab/>
        <w:t>During the traditional retail experience, consumers buy these dangerous goods products and use either bags or the product’s own packaging to facilitate their handling/transport to their vehicles and homes. The products in retail packaging are never repackaged per ADR for additional safety or marked in accordance with the dangerous goods regulations. When carrying these products out of retail stores, an individual person is not subject to the various regulations as per 1.1.3.1(a) of ADR. However, the regulations do apply to delivery companies and services.</w:t>
      </w:r>
    </w:p>
    <w:p w14:paraId="6894BFE8" w14:textId="236B482F" w:rsidR="00207213" w:rsidRPr="00CB588E" w:rsidRDefault="00207213" w:rsidP="00CB588E">
      <w:pPr>
        <w:pStyle w:val="SingleTxtG"/>
      </w:pPr>
      <w:r w:rsidRPr="00CB588E">
        <w:tab/>
        <w:t>6.</w:t>
      </w:r>
      <w:r w:rsidRPr="00CB588E">
        <w:tab/>
        <w:t xml:space="preserve">The growth of types of operations, especially in the magnitudes currently happening, was not anticipated when the regulations were originally developed. Applying the current regulatory requirements to these operations seems impractical and of little benefit to the overall transportation system. Last mile deliveries to the end consumer that originate from retail locations do not typically utilize any packaging beyond the retail packaging in place on the store shelf, and are generally limited to short distances, and the goods being carried are not subjected to the forces typically encountered in freight transportation where performance-oriented packaging is needed for safety reasons. Instead, the goods are often placed in bags or directly into an individual’s vehicle (such as onto a seat or in the trunk), and marking is not currently being done for these bags (regardless of whether the bags are considered a </w:t>
      </w:r>
      <w:r w:rsidR="00E37C98">
        <w:t>"</w:t>
      </w:r>
      <w:r w:rsidRPr="00CB588E">
        <w:t>suitable outer packaging</w:t>
      </w:r>
      <w:r w:rsidR="00E37C98">
        <w:t>"</w:t>
      </w:r>
      <w:r w:rsidRPr="00CB588E">
        <w:t xml:space="preserve"> or </w:t>
      </w:r>
      <w:r w:rsidR="00E37C98">
        <w:t>"</w:t>
      </w:r>
      <w:r w:rsidRPr="00CB588E">
        <w:t>overpack</w:t>
      </w:r>
      <w:r w:rsidR="00E37C98">
        <w:t>"</w:t>
      </w:r>
      <w:r w:rsidRPr="00CB588E">
        <w:t xml:space="preserve">). </w:t>
      </w:r>
    </w:p>
    <w:p w14:paraId="2D932038" w14:textId="77777777" w:rsidR="00207213" w:rsidRPr="00CB588E" w:rsidRDefault="00207213" w:rsidP="00CB588E">
      <w:pPr>
        <w:pStyle w:val="SingleTxtG"/>
      </w:pPr>
      <w:r w:rsidRPr="00CB588E">
        <w:t>7.</w:t>
      </w:r>
      <w:r w:rsidRPr="00CB588E">
        <w:tab/>
        <w:t xml:space="preserve">Based on the differences in operations, these last mile delivery services to end consumer do not seem to require the same level of safety equivalent to more traditional transportation operations. If these operations were to be considered subject to the dangerous </w:t>
      </w:r>
      <w:r w:rsidRPr="00CB588E">
        <w:lastRenderedPageBreak/>
        <w:t>goods regulations, there could be a significant, negative impact to the sustainability and environmental efforts to reduce packaging globally.</w:t>
      </w:r>
    </w:p>
    <w:p w14:paraId="0047BE44" w14:textId="65BCF35C" w:rsidR="00207213" w:rsidRPr="003E468A" w:rsidRDefault="00207213" w:rsidP="00CB588E">
      <w:pPr>
        <w:pStyle w:val="HChG"/>
        <w:rPr>
          <w:lang w:val="en-CA"/>
        </w:rPr>
      </w:pPr>
      <w:r w:rsidRPr="003E468A">
        <w:rPr>
          <w:lang w:val="en-CA"/>
        </w:rPr>
        <w:tab/>
      </w:r>
      <w:r w:rsidRPr="003E468A">
        <w:rPr>
          <w:lang w:val="en-CA"/>
        </w:rPr>
        <w:tab/>
        <w:t>Proposal</w:t>
      </w:r>
    </w:p>
    <w:p w14:paraId="5B5AF9D6" w14:textId="71EAF5A9" w:rsidR="00207213" w:rsidRDefault="00207213" w:rsidP="00CB588E">
      <w:pPr>
        <w:pStyle w:val="SingleTxtG"/>
        <w:rPr>
          <w:b/>
          <w:lang w:val="en-CA"/>
        </w:rPr>
      </w:pPr>
      <w:r w:rsidRPr="003E468A">
        <w:rPr>
          <w:lang w:val="en-CA"/>
        </w:rPr>
        <w:tab/>
      </w:r>
      <w:r>
        <w:rPr>
          <w:lang w:val="en-CA"/>
        </w:rPr>
        <w:t>8.</w:t>
      </w:r>
      <w:r>
        <w:rPr>
          <w:lang w:val="en-CA"/>
        </w:rPr>
        <w:tab/>
      </w:r>
      <w:r w:rsidRPr="003E468A">
        <w:rPr>
          <w:lang w:val="en-CA"/>
        </w:rPr>
        <w:t xml:space="preserve">COSTHA requests consideration to expressly exclude dangerous goods from the regulations during </w:t>
      </w:r>
      <w:r>
        <w:rPr>
          <w:lang w:val="en-CA"/>
        </w:rPr>
        <w:t>last mile</w:t>
      </w:r>
      <w:r w:rsidRPr="003E468A">
        <w:rPr>
          <w:lang w:val="en-CA"/>
        </w:rPr>
        <w:t xml:space="preserve"> delivery operations</w:t>
      </w:r>
      <w:r>
        <w:rPr>
          <w:lang w:val="en-CA"/>
        </w:rPr>
        <w:t xml:space="preserve"> to end customers</w:t>
      </w:r>
      <w:r w:rsidRPr="003E468A">
        <w:rPr>
          <w:lang w:val="en-CA"/>
        </w:rPr>
        <w:t>. The intent of th</w:t>
      </w:r>
      <w:r>
        <w:rPr>
          <w:lang w:val="en-CA"/>
        </w:rPr>
        <w:t xml:space="preserve">e </w:t>
      </w:r>
      <w:r w:rsidRPr="003E468A">
        <w:rPr>
          <w:lang w:val="en-CA"/>
        </w:rPr>
        <w:t>proposal</w:t>
      </w:r>
      <w:r>
        <w:rPr>
          <w:lang w:val="en-CA"/>
        </w:rPr>
        <w:t xml:space="preserve">s below </w:t>
      </w:r>
      <w:r w:rsidRPr="003E468A">
        <w:rPr>
          <w:lang w:val="en-CA"/>
        </w:rPr>
        <w:t xml:space="preserve">is to limit the amount of additional packaging and marking that does not add to the safety for the shipper or carrier and is not necessary for the end consumer. A similar exception to the regulations is provided within 1.1.3.1 (a) of the </w:t>
      </w:r>
      <w:r w:rsidR="002516A1">
        <w:rPr>
          <w:lang w:val="en-CA"/>
        </w:rPr>
        <w:t>RID/</w:t>
      </w:r>
      <w:r w:rsidRPr="003E468A">
        <w:rPr>
          <w:lang w:val="en-CA"/>
        </w:rPr>
        <w:t>ADR</w:t>
      </w:r>
      <w:r w:rsidR="002516A1">
        <w:rPr>
          <w:lang w:val="en-CA"/>
        </w:rPr>
        <w:t>/ADN</w:t>
      </w:r>
      <w:r w:rsidRPr="003E468A">
        <w:rPr>
          <w:lang w:val="en-CA"/>
        </w:rPr>
        <w:t xml:space="preserve"> where transportation by a private individual with certain limitations is excepted from regulations. Excluding the operations described above could be accomplished </w:t>
      </w:r>
      <w:r>
        <w:rPr>
          <w:lang w:val="en-CA"/>
        </w:rPr>
        <w:t xml:space="preserve">with </w:t>
      </w:r>
      <w:r w:rsidRPr="003E468A">
        <w:rPr>
          <w:lang w:val="en-CA"/>
        </w:rPr>
        <w:t xml:space="preserve">an additional exception within that </w:t>
      </w:r>
      <w:r w:rsidR="002516A1">
        <w:rPr>
          <w:lang w:val="en-CA"/>
        </w:rPr>
        <w:t>sub</w:t>
      </w:r>
      <w:r w:rsidRPr="003E468A">
        <w:rPr>
          <w:lang w:val="en-CA"/>
        </w:rPr>
        <w:t>section such as provided below:</w:t>
      </w:r>
    </w:p>
    <w:p w14:paraId="4C2F7D5B" w14:textId="1CD10AC8" w:rsidR="00207213" w:rsidRPr="003E468A" w:rsidRDefault="00E37C98" w:rsidP="00207213">
      <w:pPr>
        <w:pStyle w:val="SingleTxtG"/>
        <w:spacing w:before="240" w:line="240" w:lineRule="auto"/>
        <w:ind w:left="1138" w:right="1138"/>
        <w:rPr>
          <w:b/>
          <w:bCs/>
          <w:color w:val="0B0C0C"/>
          <w:lang w:val="en-CA"/>
        </w:rPr>
      </w:pPr>
      <w:r w:rsidRPr="00E53185">
        <w:rPr>
          <w:b/>
          <w:bCs/>
          <w:lang w:val="en-CA"/>
        </w:rPr>
        <w:t>"</w:t>
      </w:r>
      <w:r w:rsidR="00207213" w:rsidRPr="003E468A">
        <w:rPr>
          <w:b/>
          <w:bCs/>
          <w:color w:val="0B0C0C"/>
          <w:lang w:val="en-CA"/>
        </w:rPr>
        <w:t>1.1.3.1</w:t>
      </w:r>
      <w:r w:rsidR="00207213" w:rsidRPr="003E468A">
        <w:rPr>
          <w:b/>
          <w:bCs/>
          <w:color w:val="0B0C0C"/>
          <w:lang w:val="en-CA"/>
        </w:rPr>
        <w:tab/>
        <w:t xml:space="preserve">Exemption related to the nature of the transport operation </w:t>
      </w:r>
    </w:p>
    <w:p w14:paraId="54E8E286" w14:textId="4239AC7A" w:rsidR="00207213" w:rsidRDefault="00207213" w:rsidP="00207213">
      <w:pPr>
        <w:pStyle w:val="SingleTxtG"/>
        <w:spacing w:before="120" w:after="0" w:line="240" w:lineRule="auto"/>
        <w:ind w:left="1170" w:right="27"/>
        <w:rPr>
          <w:color w:val="0B0C0C"/>
          <w:lang w:val="en-CA"/>
        </w:rPr>
      </w:pPr>
      <w:r w:rsidRPr="003E468A">
        <w:rPr>
          <w:color w:val="0B0C0C"/>
          <w:lang w:val="en-CA"/>
        </w:rPr>
        <w:t xml:space="preserve">The provisions laid down in </w:t>
      </w:r>
      <w:r w:rsidR="002913CC">
        <w:rPr>
          <w:color w:val="0B0C0C"/>
          <w:lang w:val="en-CA"/>
        </w:rPr>
        <w:t>RID/</w:t>
      </w:r>
      <w:r w:rsidRPr="003E468A">
        <w:rPr>
          <w:color w:val="0B0C0C"/>
          <w:lang w:val="en-CA"/>
        </w:rPr>
        <w:t>ADR</w:t>
      </w:r>
      <w:r w:rsidR="002913CC">
        <w:rPr>
          <w:color w:val="0B0C0C"/>
          <w:lang w:val="en-CA"/>
        </w:rPr>
        <w:t>/ADN</w:t>
      </w:r>
      <w:r w:rsidRPr="003E468A">
        <w:rPr>
          <w:color w:val="0B0C0C"/>
          <w:lang w:val="en-CA"/>
        </w:rPr>
        <w:t xml:space="preserve"> do not apply to:</w:t>
      </w:r>
    </w:p>
    <w:p w14:paraId="0547200D" w14:textId="77777777" w:rsidR="00207213" w:rsidRPr="003E468A" w:rsidRDefault="00207213" w:rsidP="00207213">
      <w:pPr>
        <w:pStyle w:val="SingleTxtG"/>
        <w:spacing w:after="0" w:line="240" w:lineRule="auto"/>
        <w:ind w:left="1170" w:right="27"/>
        <w:rPr>
          <w:color w:val="0B0C0C"/>
          <w:lang w:val="en-CA" w:eastAsia="en-US"/>
        </w:rPr>
      </w:pPr>
      <w:r>
        <w:rPr>
          <w:color w:val="0B0C0C"/>
          <w:lang w:val="en-CA"/>
        </w:rPr>
        <w:t>...</w:t>
      </w:r>
    </w:p>
    <w:p w14:paraId="14A53F62" w14:textId="1A9765E3" w:rsidR="00207213" w:rsidRPr="00161FC5" w:rsidRDefault="00207213" w:rsidP="00207213">
      <w:pPr>
        <w:pStyle w:val="SingleTxtG"/>
        <w:tabs>
          <w:tab w:val="left" w:pos="1890"/>
        </w:tabs>
        <w:spacing w:line="240" w:lineRule="auto"/>
        <w:ind w:left="1530" w:right="1138"/>
        <w:rPr>
          <w:lang w:val="en-CA"/>
        </w:rPr>
      </w:pPr>
      <w:r w:rsidRPr="00161FC5">
        <w:rPr>
          <w:lang w:val="en-CA"/>
        </w:rPr>
        <w:t>(g)</w:t>
      </w:r>
      <w:r w:rsidRPr="00161FC5">
        <w:rPr>
          <w:lang w:val="en-CA"/>
        </w:rPr>
        <w:tab/>
      </w:r>
      <w:r w:rsidRPr="00161FC5">
        <w:rPr>
          <w:lang w:val="en-US"/>
        </w:rPr>
        <w:t>t</w:t>
      </w:r>
      <w:r w:rsidRPr="00161FC5">
        <w:rPr>
          <w:lang w:val="en-CA"/>
        </w:rPr>
        <w:t xml:space="preserve">he carriage of dangerous goods </w:t>
      </w:r>
      <w:r w:rsidRPr="00161FC5">
        <w:rPr>
          <w:color w:val="0B0C0C"/>
          <w:lang w:val="en-CA"/>
        </w:rPr>
        <w:t>by or on behalf of a consignor which consigns the goods directly to the final consumer (business to end consumer)</w:t>
      </w:r>
      <w:r w:rsidRPr="00161FC5">
        <w:rPr>
          <w:lang w:val="en-CA"/>
        </w:rPr>
        <w:t xml:space="preserve">, where the consignment is packaged for retail sale </w:t>
      </w:r>
      <w:r w:rsidRPr="00161FC5">
        <w:rPr>
          <w:color w:val="0B0C0C"/>
          <w:lang w:val="en-CA"/>
        </w:rPr>
        <w:t>(online, in a brick-and-mortar storefront, through direct sales, or direct mail)</w:t>
      </w:r>
      <w:r w:rsidRPr="00161FC5">
        <w:rPr>
          <w:lang w:val="en-CA"/>
        </w:rPr>
        <w:t xml:space="preserve"> and intended for the personal or domestic use of the consignee (</w:t>
      </w:r>
      <w:proofErr w:type="gramStart"/>
      <w:r w:rsidRPr="00161FC5">
        <w:rPr>
          <w:lang w:val="en-CA"/>
        </w:rPr>
        <w:t>i.e.</w:t>
      </w:r>
      <w:proofErr w:type="gramEnd"/>
      <w:r w:rsidRPr="00161FC5">
        <w:rPr>
          <w:lang w:val="en-CA"/>
        </w:rPr>
        <w:t xml:space="preserve"> end consumer or recipient), if:</w:t>
      </w:r>
    </w:p>
    <w:p w14:paraId="227D4FF8" w14:textId="3D2C7707" w:rsidR="00207213" w:rsidRPr="00161FC5" w:rsidRDefault="00207213" w:rsidP="00207213">
      <w:pPr>
        <w:pStyle w:val="SingleTxtG"/>
        <w:numPr>
          <w:ilvl w:val="0"/>
          <w:numId w:val="24"/>
        </w:numPr>
        <w:spacing w:before="80" w:after="80"/>
        <w:ind w:left="1800" w:right="1138" w:hanging="270"/>
        <w:rPr>
          <w:strike/>
          <w:color w:val="0B0C0C"/>
          <w:lang w:val="en-US"/>
        </w:rPr>
      </w:pPr>
      <w:r w:rsidRPr="00161FC5">
        <w:rPr>
          <w:lang w:val="en-CA"/>
        </w:rPr>
        <w:t xml:space="preserve">The dangerous goods are not assigned to transport categories 0 or 1 in </w:t>
      </w:r>
      <w:proofErr w:type="gramStart"/>
      <w:r w:rsidRPr="00161FC5">
        <w:rPr>
          <w:lang w:val="en-CA"/>
        </w:rPr>
        <w:t>1.1.3.6.3</w:t>
      </w:r>
      <w:r w:rsidR="007D3C99">
        <w:rPr>
          <w:lang w:val="en-US"/>
        </w:rPr>
        <w:t>;</w:t>
      </w:r>
      <w:proofErr w:type="gramEnd"/>
    </w:p>
    <w:p w14:paraId="3C71ADDE" w14:textId="6DDF1EE8" w:rsidR="00207213" w:rsidRPr="00161FC5" w:rsidRDefault="00207213" w:rsidP="00207213">
      <w:pPr>
        <w:pStyle w:val="SingleTxtG"/>
        <w:numPr>
          <w:ilvl w:val="0"/>
          <w:numId w:val="24"/>
        </w:numPr>
        <w:spacing w:before="80" w:after="80"/>
        <w:ind w:left="1800" w:right="1138" w:hanging="270"/>
        <w:rPr>
          <w:strike/>
          <w:color w:val="0B0C0C"/>
          <w:lang w:val="en-US"/>
        </w:rPr>
      </w:pPr>
      <w:r w:rsidRPr="00161FC5">
        <w:rPr>
          <w:lang w:val="en-CA"/>
        </w:rPr>
        <w:t xml:space="preserve">Measures have been taken and closures have been inspected before packing to prevent leakage of contents in normal conditions of </w:t>
      </w:r>
      <w:proofErr w:type="gramStart"/>
      <w:r w:rsidRPr="00161FC5">
        <w:rPr>
          <w:lang w:val="en-CA"/>
        </w:rPr>
        <w:t>carriage</w:t>
      </w:r>
      <w:r w:rsidR="00E93700">
        <w:rPr>
          <w:lang w:val="en-CA"/>
        </w:rPr>
        <w:t>;</w:t>
      </w:r>
      <w:proofErr w:type="gramEnd"/>
    </w:p>
    <w:p w14:paraId="7027F024" w14:textId="72EEE902" w:rsidR="00207213" w:rsidRPr="00161FC5" w:rsidRDefault="00207213" w:rsidP="00207213">
      <w:pPr>
        <w:pStyle w:val="SingleTxtG"/>
        <w:numPr>
          <w:ilvl w:val="0"/>
          <w:numId w:val="24"/>
        </w:numPr>
        <w:spacing w:before="80" w:after="80"/>
        <w:ind w:left="1800" w:right="1138" w:hanging="270"/>
        <w:rPr>
          <w:strike/>
          <w:color w:val="0B0C0C"/>
          <w:lang w:val="en-US"/>
        </w:rPr>
      </w:pPr>
      <w:r w:rsidRPr="00161FC5">
        <w:rPr>
          <w:lang w:val="en-CA"/>
        </w:rPr>
        <w:t xml:space="preserve">The maximum quantity of dangerous goods contained in each inner packaging does not exceed 5 kilograms or litres </w:t>
      </w:r>
      <w:r w:rsidRPr="00161FC5">
        <w:rPr>
          <w:i/>
          <w:iCs/>
          <w:lang w:val="en-CA"/>
        </w:rPr>
        <w:t xml:space="preserve">(or the quantity allowed in Column 7(a) </w:t>
      </w:r>
      <w:r w:rsidR="00E93700" w:rsidRPr="004B27AC">
        <w:rPr>
          <w:i/>
          <w:iCs/>
          <w:lang w:val="en-CA"/>
        </w:rPr>
        <w:t xml:space="preserve">of Table A in Chapter 3.2 </w:t>
      </w:r>
      <w:r w:rsidRPr="00161FC5">
        <w:rPr>
          <w:i/>
          <w:iCs/>
          <w:lang w:val="en-CA"/>
        </w:rPr>
        <w:t>for limited quantities)</w:t>
      </w:r>
      <w:r w:rsidRPr="00161FC5">
        <w:rPr>
          <w:lang w:val="en-CA"/>
        </w:rPr>
        <w:t>.</w:t>
      </w:r>
    </w:p>
    <w:p w14:paraId="473494C1" w14:textId="70B57680" w:rsidR="00207213" w:rsidRPr="00161FC5" w:rsidRDefault="00207213" w:rsidP="00207213">
      <w:pPr>
        <w:pStyle w:val="SingleTxtG"/>
        <w:numPr>
          <w:ilvl w:val="0"/>
          <w:numId w:val="24"/>
        </w:numPr>
        <w:spacing w:before="80" w:after="80"/>
        <w:ind w:left="1800" w:right="1138" w:hanging="270"/>
        <w:rPr>
          <w:strike/>
          <w:color w:val="0B0C0C"/>
          <w:lang w:val="en-US"/>
        </w:rPr>
      </w:pPr>
      <w:r w:rsidRPr="00161FC5">
        <w:rPr>
          <w:lang w:val="en-CA"/>
        </w:rPr>
        <w:t xml:space="preserve">The total quantity of </w:t>
      </w:r>
      <w:r w:rsidR="007F7020" w:rsidRPr="004B27AC">
        <w:rPr>
          <w:lang w:val="en-CA"/>
        </w:rPr>
        <w:t xml:space="preserve">gases of </w:t>
      </w:r>
      <w:r w:rsidRPr="00161FC5">
        <w:rPr>
          <w:lang w:val="en-CA"/>
        </w:rPr>
        <w:t xml:space="preserve">Class 2 carried in the </w:t>
      </w:r>
      <w:r w:rsidR="001A1BCB">
        <w:rPr>
          <w:lang w:val="en-CA"/>
        </w:rPr>
        <w:t>wagon or container</w:t>
      </w:r>
      <w:r w:rsidR="0054676E">
        <w:rPr>
          <w:lang w:val="en-CA"/>
        </w:rPr>
        <w:t>/</w:t>
      </w:r>
      <w:r w:rsidRPr="00161FC5">
        <w:rPr>
          <w:lang w:val="en-CA"/>
        </w:rPr>
        <w:t>transport unit, except for aerosols (UN</w:t>
      </w:r>
      <w:r w:rsidR="00312D11">
        <w:rPr>
          <w:lang w:val="en-CA"/>
        </w:rPr>
        <w:t> </w:t>
      </w:r>
      <w:r w:rsidRPr="00161FC5">
        <w:rPr>
          <w:lang w:val="en-CA"/>
        </w:rPr>
        <w:t>1950) and gas cartridges (UN</w:t>
      </w:r>
      <w:r w:rsidR="0054676E">
        <w:rPr>
          <w:lang w:val="en-CA"/>
        </w:rPr>
        <w:t> </w:t>
      </w:r>
      <w:r w:rsidRPr="00161FC5">
        <w:rPr>
          <w:lang w:val="en-CA"/>
        </w:rPr>
        <w:t xml:space="preserve">2037), does not exceed 50 kilograms or </w:t>
      </w:r>
      <w:proofErr w:type="gramStart"/>
      <w:r w:rsidRPr="00161FC5">
        <w:rPr>
          <w:lang w:val="en-CA"/>
        </w:rPr>
        <w:t>litres</w:t>
      </w:r>
      <w:r w:rsidR="00312D11">
        <w:rPr>
          <w:lang w:val="en-CA"/>
        </w:rPr>
        <w:t>;</w:t>
      </w:r>
      <w:proofErr w:type="gramEnd"/>
    </w:p>
    <w:p w14:paraId="473B9DBC" w14:textId="3AB7A46C" w:rsidR="00207213" w:rsidRPr="00161FC5" w:rsidRDefault="00207213" w:rsidP="00207213">
      <w:pPr>
        <w:pStyle w:val="SingleTxtG"/>
        <w:numPr>
          <w:ilvl w:val="0"/>
          <w:numId w:val="24"/>
        </w:numPr>
        <w:spacing w:before="80" w:after="80"/>
        <w:ind w:left="1800" w:right="1138" w:hanging="270"/>
        <w:rPr>
          <w:color w:val="0B0C0C"/>
        </w:rPr>
      </w:pPr>
      <w:r w:rsidRPr="00161FC5">
        <w:rPr>
          <w:lang w:val="en-CA"/>
        </w:rPr>
        <w:t xml:space="preserve">The </w:t>
      </w:r>
      <w:r w:rsidRPr="00161FC5">
        <w:rPr>
          <w:color w:val="0B0C0C"/>
          <w:lang w:val="en-US"/>
        </w:rPr>
        <w:t xml:space="preserve">total quantity </w:t>
      </w:r>
      <w:r w:rsidRPr="00161FC5">
        <w:rPr>
          <w:lang w:val="en-CA"/>
        </w:rPr>
        <w:t xml:space="preserve">of all dangerous goods, including </w:t>
      </w:r>
      <w:r w:rsidR="003D5D39">
        <w:rPr>
          <w:lang w:val="en-CA"/>
        </w:rPr>
        <w:t xml:space="preserve">gases of </w:t>
      </w:r>
      <w:r w:rsidRPr="00161FC5">
        <w:rPr>
          <w:lang w:val="en-CA"/>
        </w:rPr>
        <w:t xml:space="preserve">Class 2 carried in the </w:t>
      </w:r>
      <w:r w:rsidR="003D5D39">
        <w:rPr>
          <w:lang w:val="en-CA"/>
        </w:rPr>
        <w:t>wagon or container/</w:t>
      </w:r>
      <w:r w:rsidRPr="00161FC5">
        <w:rPr>
          <w:lang w:val="en-CA"/>
        </w:rPr>
        <w:t xml:space="preserve">transport unit </w:t>
      </w:r>
      <w:r w:rsidRPr="00161FC5">
        <w:rPr>
          <w:color w:val="0B0C0C"/>
          <w:lang w:val="en-US"/>
        </w:rPr>
        <w:t xml:space="preserve">does not exceed 333 kilograms or </w:t>
      </w:r>
      <w:proofErr w:type="spellStart"/>
      <w:proofErr w:type="gramStart"/>
      <w:r w:rsidRPr="00161FC5">
        <w:rPr>
          <w:color w:val="0B0C0C"/>
          <w:lang w:val="en-US"/>
        </w:rPr>
        <w:t>litres</w:t>
      </w:r>
      <w:proofErr w:type="spellEnd"/>
      <w:r w:rsidR="00312D11">
        <w:rPr>
          <w:color w:val="0B0C0C"/>
          <w:lang w:val="en-US"/>
        </w:rPr>
        <w:t>;</w:t>
      </w:r>
      <w:proofErr w:type="gramEnd"/>
    </w:p>
    <w:p w14:paraId="551F052B" w14:textId="77777777" w:rsidR="00207213" w:rsidRPr="00161FC5" w:rsidRDefault="00207213" w:rsidP="00207213">
      <w:pPr>
        <w:pStyle w:val="SingleTxtG"/>
        <w:numPr>
          <w:ilvl w:val="0"/>
          <w:numId w:val="24"/>
        </w:numPr>
        <w:spacing w:before="80" w:after="80"/>
        <w:ind w:left="1800" w:right="1138" w:hanging="270"/>
        <w:rPr>
          <w:color w:val="0B0C0C"/>
          <w:lang w:val="en-US" w:eastAsia="en-US"/>
        </w:rPr>
      </w:pPr>
      <w:r w:rsidRPr="00161FC5">
        <w:rPr>
          <w:color w:val="0B0C0C"/>
          <w:lang w:val="en-US"/>
        </w:rPr>
        <w:t xml:space="preserve">The dangerous goods are packed: </w:t>
      </w:r>
    </w:p>
    <w:p w14:paraId="22163497" w14:textId="66B2ED80" w:rsidR="00207213" w:rsidRPr="00161FC5" w:rsidRDefault="00B564F3" w:rsidP="00161FC5">
      <w:pPr>
        <w:pStyle w:val="SingleTxtG"/>
        <w:spacing w:before="80" w:after="80"/>
        <w:ind w:left="2160" w:right="1138"/>
        <w:rPr>
          <w:color w:val="0B0C0C"/>
          <w:lang w:val="en-US"/>
        </w:rPr>
      </w:pPr>
      <w:r>
        <w:rPr>
          <w:color w:val="0B0C0C"/>
          <w:lang w:val="en-US"/>
        </w:rPr>
        <w:t>(</w:t>
      </w:r>
      <w:proofErr w:type="spellStart"/>
      <w:r>
        <w:rPr>
          <w:color w:val="0B0C0C"/>
          <w:lang w:val="en-US"/>
        </w:rPr>
        <w:t>i</w:t>
      </w:r>
      <w:proofErr w:type="spellEnd"/>
      <w:r>
        <w:rPr>
          <w:color w:val="0B0C0C"/>
          <w:lang w:val="en-US"/>
        </w:rPr>
        <w:t>)</w:t>
      </w:r>
      <w:r>
        <w:rPr>
          <w:color w:val="0B0C0C"/>
          <w:lang w:val="en-US"/>
        </w:rPr>
        <w:tab/>
      </w:r>
      <w:r w:rsidR="00207213" w:rsidRPr="00161FC5">
        <w:rPr>
          <w:color w:val="0B0C0C"/>
          <w:lang w:val="en-US"/>
        </w:rPr>
        <w:t xml:space="preserve">in inner </w:t>
      </w:r>
      <w:proofErr w:type="spellStart"/>
      <w:r w:rsidR="00207213" w:rsidRPr="00161FC5">
        <w:rPr>
          <w:color w:val="0B0C0C"/>
          <w:lang w:val="en-US"/>
        </w:rPr>
        <w:t>packagings</w:t>
      </w:r>
      <w:proofErr w:type="spellEnd"/>
      <w:r w:rsidR="00207213" w:rsidRPr="00161FC5">
        <w:rPr>
          <w:color w:val="0B0C0C"/>
          <w:lang w:val="en-US"/>
        </w:rPr>
        <w:t xml:space="preserve"> derived from packages conforming with the provisions on excepted quantities in accordance with Chapter 3.5; or</w:t>
      </w:r>
    </w:p>
    <w:p w14:paraId="48EC42E5" w14:textId="184850AC" w:rsidR="00207213" w:rsidRPr="00161FC5" w:rsidRDefault="00B564F3" w:rsidP="00161FC5">
      <w:pPr>
        <w:pStyle w:val="SingleTxtG"/>
        <w:spacing w:before="80" w:after="80"/>
        <w:ind w:left="2160" w:right="1138"/>
        <w:rPr>
          <w:color w:val="0B0C0C"/>
          <w:lang w:val="en-US"/>
        </w:rPr>
      </w:pPr>
      <w:r>
        <w:rPr>
          <w:color w:val="0B0C0C"/>
          <w:lang w:val="en-US"/>
        </w:rPr>
        <w:t>(ii)</w:t>
      </w:r>
      <w:r>
        <w:rPr>
          <w:color w:val="0B0C0C"/>
          <w:lang w:val="en-US"/>
        </w:rPr>
        <w:tab/>
      </w:r>
      <w:r w:rsidR="00207213" w:rsidRPr="00161FC5">
        <w:rPr>
          <w:color w:val="0B0C0C"/>
          <w:lang w:val="en-US"/>
        </w:rPr>
        <w:t xml:space="preserve">in inner </w:t>
      </w:r>
      <w:proofErr w:type="spellStart"/>
      <w:r w:rsidR="00207213" w:rsidRPr="00161FC5">
        <w:rPr>
          <w:color w:val="0B0C0C"/>
          <w:lang w:val="en-US"/>
        </w:rPr>
        <w:t>packagings</w:t>
      </w:r>
      <w:proofErr w:type="spellEnd"/>
      <w:r w:rsidR="00207213" w:rsidRPr="00161FC5">
        <w:rPr>
          <w:color w:val="0B0C0C"/>
          <w:lang w:val="en-US"/>
        </w:rPr>
        <w:t xml:space="preserve"> derived from packages conforming with the provisions on limited quantities in accordance with Chapter 3.4; or</w:t>
      </w:r>
    </w:p>
    <w:p w14:paraId="2ACF3451" w14:textId="2D17102D" w:rsidR="00207213" w:rsidRPr="00161FC5" w:rsidRDefault="00B564F3" w:rsidP="00161FC5">
      <w:pPr>
        <w:pStyle w:val="SingleTxtG"/>
        <w:spacing w:before="80" w:after="80"/>
        <w:ind w:left="2160" w:right="1138"/>
        <w:rPr>
          <w:color w:val="0B0C0C"/>
          <w:lang w:val="en-US"/>
        </w:rPr>
      </w:pPr>
      <w:r>
        <w:rPr>
          <w:color w:val="0B0C0C"/>
          <w:lang w:val="en-US"/>
        </w:rPr>
        <w:t>(iii)</w:t>
      </w:r>
      <w:r>
        <w:rPr>
          <w:color w:val="0B0C0C"/>
          <w:lang w:val="en-US"/>
        </w:rPr>
        <w:tab/>
      </w:r>
      <w:r w:rsidR="00207213" w:rsidRPr="00161FC5">
        <w:rPr>
          <w:color w:val="0B0C0C"/>
          <w:lang w:val="en-US"/>
        </w:rPr>
        <w:t xml:space="preserve">in inner </w:t>
      </w:r>
      <w:proofErr w:type="spellStart"/>
      <w:r w:rsidR="00207213" w:rsidRPr="00161FC5">
        <w:rPr>
          <w:color w:val="0B0C0C"/>
          <w:lang w:val="en-US"/>
        </w:rPr>
        <w:t>packagings</w:t>
      </w:r>
      <w:proofErr w:type="spellEnd"/>
      <w:r w:rsidR="00207213" w:rsidRPr="00161FC5">
        <w:rPr>
          <w:color w:val="0B0C0C"/>
          <w:lang w:val="en-US"/>
        </w:rPr>
        <w:t xml:space="preserve"> derived from combination </w:t>
      </w:r>
      <w:proofErr w:type="spellStart"/>
      <w:r w:rsidR="00207213" w:rsidRPr="00161FC5">
        <w:rPr>
          <w:color w:val="0B0C0C"/>
          <w:lang w:val="en-US"/>
        </w:rPr>
        <w:t>packagings</w:t>
      </w:r>
      <w:proofErr w:type="spellEnd"/>
      <w:r w:rsidR="00207213" w:rsidRPr="00161FC5">
        <w:rPr>
          <w:color w:val="0B0C0C"/>
          <w:lang w:val="en-US"/>
        </w:rPr>
        <w:t xml:space="preserve"> conforming to Chapter 4.1; or</w:t>
      </w:r>
    </w:p>
    <w:p w14:paraId="6A16DB32" w14:textId="7B23FB36" w:rsidR="00207213" w:rsidRPr="00161FC5" w:rsidRDefault="00721141" w:rsidP="00161FC5">
      <w:pPr>
        <w:pStyle w:val="SingleTxtG"/>
        <w:spacing w:before="80" w:after="80"/>
        <w:ind w:left="2160" w:right="1138"/>
        <w:rPr>
          <w:color w:val="0B0C0C"/>
          <w:lang w:val="en-US"/>
        </w:rPr>
      </w:pPr>
      <w:r>
        <w:rPr>
          <w:color w:val="0B0C0C"/>
          <w:lang w:val="en-US"/>
        </w:rPr>
        <w:t>(iv)</w:t>
      </w:r>
      <w:r>
        <w:rPr>
          <w:color w:val="0B0C0C"/>
          <w:lang w:val="en-US"/>
        </w:rPr>
        <w:tab/>
      </w:r>
      <w:r w:rsidR="00207213" w:rsidRPr="00161FC5">
        <w:rPr>
          <w:color w:val="0B0C0C"/>
          <w:lang w:val="en-US"/>
        </w:rPr>
        <w:t xml:space="preserve">in single </w:t>
      </w:r>
      <w:proofErr w:type="spellStart"/>
      <w:r w:rsidR="00207213" w:rsidRPr="00161FC5">
        <w:rPr>
          <w:color w:val="0B0C0C"/>
          <w:lang w:val="en-US"/>
        </w:rPr>
        <w:t>packagings</w:t>
      </w:r>
      <w:proofErr w:type="spellEnd"/>
      <w:r w:rsidR="00207213" w:rsidRPr="00161FC5">
        <w:rPr>
          <w:color w:val="0B0C0C"/>
          <w:lang w:val="en-US"/>
        </w:rPr>
        <w:t xml:space="preserve"> conforming to Chapter 6.1; or</w:t>
      </w:r>
    </w:p>
    <w:p w14:paraId="09E3E9DB" w14:textId="322B8519" w:rsidR="00207213" w:rsidRPr="00161FC5" w:rsidRDefault="00721141" w:rsidP="00161FC5">
      <w:pPr>
        <w:pStyle w:val="SingleTxtG"/>
        <w:spacing w:before="80" w:after="80"/>
        <w:ind w:left="2160" w:right="1138"/>
        <w:rPr>
          <w:color w:val="0B0C0C"/>
          <w:lang w:val="en-US"/>
        </w:rPr>
      </w:pPr>
      <w:r>
        <w:rPr>
          <w:color w:val="0B0C0C"/>
          <w:lang w:val="en-US"/>
        </w:rPr>
        <w:t>(v)</w:t>
      </w:r>
      <w:r>
        <w:rPr>
          <w:color w:val="0B0C0C"/>
          <w:lang w:val="en-US"/>
        </w:rPr>
        <w:tab/>
      </w:r>
      <w:r w:rsidR="00207213" w:rsidRPr="00161FC5">
        <w:rPr>
          <w:color w:val="0B0C0C"/>
          <w:lang w:val="en-US"/>
        </w:rPr>
        <w:t>in accordance with the requirements of special provision 188 (in the case of carriage of lithium batteries</w:t>
      </w:r>
      <w:proofErr w:type="gramStart"/>
      <w:r w:rsidR="00207213" w:rsidRPr="00161FC5">
        <w:rPr>
          <w:color w:val="0B0C0C"/>
          <w:lang w:val="en-US"/>
        </w:rPr>
        <w:t>)</w:t>
      </w:r>
      <w:r w:rsidR="0057347F">
        <w:rPr>
          <w:color w:val="0B0C0C"/>
          <w:lang w:val="en-US"/>
        </w:rPr>
        <w:t>;</w:t>
      </w:r>
      <w:proofErr w:type="gramEnd"/>
    </w:p>
    <w:p w14:paraId="078F1E20" w14:textId="2B61473B" w:rsidR="00207213" w:rsidRPr="00161FC5" w:rsidRDefault="00207213" w:rsidP="00207213">
      <w:pPr>
        <w:pStyle w:val="SingleTxtG"/>
        <w:numPr>
          <w:ilvl w:val="0"/>
          <w:numId w:val="25"/>
        </w:numPr>
        <w:spacing w:before="80" w:after="80"/>
        <w:ind w:left="1800" w:right="1138"/>
        <w:rPr>
          <w:color w:val="0B0C0C"/>
          <w:lang w:val="en-US"/>
        </w:rPr>
      </w:pPr>
      <w:r w:rsidRPr="00161FC5">
        <w:rPr>
          <w:color w:val="0B0C0C"/>
          <w:lang w:val="en-US"/>
        </w:rPr>
        <w:t xml:space="preserve">The dangerous goods are secured in the </w:t>
      </w:r>
      <w:r w:rsidR="00A7601C">
        <w:rPr>
          <w:color w:val="0B0C0C"/>
          <w:lang w:val="en-US"/>
        </w:rPr>
        <w:t>wagon or container/</w:t>
      </w:r>
      <w:r w:rsidRPr="00161FC5">
        <w:rPr>
          <w:color w:val="0B0C0C"/>
          <w:lang w:val="en-US"/>
        </w:rPr>
        <w:t>vehicle in a manner that will prevent movement.</w:t>
      </w:r>
    </w:p>
    <w:p w14:paraId="18836182" w14:textId="4F2CAA82" w:rsidR="00207213" w:rsidRDefault="00207213" w:rsidP="00207213">
      <w:pPr>
        <w:pStyle w:val="SingleTxtG"/>
        <w:tabs>
          <w:tab w:val="left" w:pos="1890"/>
        </w:tabs>
        <w:spacing w:before="120" w:line="240" w:lineRule="auto"/>
        <w:ind w:left="1530" w:right="1138"/>
        <w:rPr>
          <w:u w:val="single"/>
          <w:lang w:val="en-CA"/>
        </w:rPr>
      </w:pPr>
      <w:r w:rsidRPr="00161FC5">
        <w:rPr>
          <w:color w:val="0B0C0C"/>
          <w:lang w:val="en-US"/>
        </w:rPr>
        <w:t>Shipments (returns) from the original consignee back to the original consignor are also included under these provisions.</w:t>
      </w:r>
      <w:r w:rsidR="00E53185" w:rsidRPr="00161FC5">
        <w:rPr>
          <w:lang w:val="en-CA"/>
        </w:rPr>
        <w:t>"</w:t>
      </w:r>
    </w:p>
    <w:p w14:paraId="03406E54" w14:textId="25328AC8" w:rsidR="00207213" w:rsidRPr="003E468A" w:rsidRDefault="00207213" w:rsidP="00CB588E">
      <w:pPr>
        <w:pStyle w:val="HChG"/>
        <w:pageBreakBefore/>
        <w:rPr>
          <w:lang w:val="en-CA"/>
        </w:rPr>
      </w:pPr>
      <w:r w:rsidRPr="003E468A">
        <w:rPr>
          <w:lang w:val="en-CA"/>
        </w:rPr>
        <w:lastRenderedPageBreak/>
        <w:tab/>
      </w:r>
      <w:r w:rsidRPr="003E468A">
        <w:rPr>
          <w:lang w:val="en-CA"/>
        </w:rPr>
        <w:tab/>
      </w:r>
      <w:r>
        <w:rPr>
          <w:lang w:val="en-CA"/>
        </w:rPr>
        <w:t xml:space="preserve">Additional </w:t>
      </w:r>
      <w:r w:rsidR="00F27782">
        <w:rPr>
          <w:lang w:val="en-CA"/>
        </w:rPr>
        <w:t>q</w:t>
      </w:r>
      <w:r>
        <w:rPr>
          <w:lang w:val="en-CA"/>
        </w:rPr>
        <w:t>uestions</w:t>
      </w:r>
    </w:p>
    <w:p w14:paraId="59D54589" w14:textId="77777777" w:rsidR="00207213" w:rsidRPr="00CB588E" w:rsidRDefault="00207213" w:rsidP="00CB588E">
      <w:pPr>
        <w:pStyle w:val="SingleTxtG"/>
      </w:pPr>
      <w:r w:rsidRPr="00CB588E">
        <w:t>9.</w:t>
      </w:r>
      <w:r w:rsidRPr="00CB588E">
        <w:tab/>
        <w:t>COSTHA received comments from members asking whether the proposed exception should take segregation of dangerous goods into consideration and would like the Joint Meeting’s opinion on the matter.</w:t>
      </w:r>
    </w:p>
    <w:p w14:paraId="58DBB5F1" w14:textId="7880D9AC" w:rsidR="00A66BA3" w:rsidRPr="00207213" w:rsidRDefault="00207213" w:rsidP="00207213">
      <w:pPr>
        <w:spacing w:before="240"/>
        <w:jc w:val="center"/>
        <w:rPr>
          <w:u w:val="single"/>
        </w:rPr>
      </w:pPr>
      <w:r>
        <w:rPr>
          <w:u w:val="single"/>
        </w:rPr>
        <w:tab/>
      </w:r>
      <w:r>
        <w:rPr>
          <w:u w:val="single"/>
        </w:rPr>
        <w:tab/>
      </w:r>
      <w:r>
        <w:rPr>
          <w:u w:val="single"/>
        </w:rPr>
        <w:tab/>
      </w:r>
    </w:p>
    <w:sectPr w:rsidR="00A66BA3" w:rsidRPr="00207213" w:rsidSect="005E2E1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73F1" w14:textId="77777777" w:rsidR="00FC359E" w:rsidRDefault="00FC359E"/>
  </w:endnote>
  <w:endnote w:type="continuationSeparator" w:id="0">
    <w:p w14:paraId="0DE69E34" w14:textId="77777777" w:rsidR="00FC359E" w:rsidRDefault="00FC359E"/>
  </w:endnote>
  <w:endnote w:type="continuationNotice" w:id="1">
    <w:p w14:paraId="0CB927A6" w14:textId="77777777" w:rsidR="00FC359E" w:rsidRDefault="00FC3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737E" w14:textId="4704C097" w:rsidR="005E2E19" w:rsidRPr="005E2E19" w:rsidRDefault="005E2E19" w:rsidP="005E2E19">
    <w:pPr>
      <w:pStyle w:val="Footer"/>
      <w:tabs>
        <w:tab w:val="right" w:pos="9638"/>
      </w:tabs>
      <w:rPr>
        <w:sz w:val="18"/>
      </w:rPr>
    </w:pPr>
    <w:r w:rsidRPr="005E2E19">
      <w:rPr>
        <w:b/>
        <w:sz w:val="18"/>
      </w:rPr>
      <w:fldChar w:fldCharType="begin"/>
    </w:r>
    <w:r w:rsidRPr="005E2E19">
      <w:rPr>
        <w:b/>
        <w:sz w:val="18"/>
      </w:rPr>
      <w:instrText xml:space="preserve"> PAGE  \* MERGEFORMAT </w:instrText>
    </w:r>
    <w:r w:rsidRPr="005E2E19">
      <w:rPr>
        <w:b/>
        <w:sz w:val="18"/>
      </w:rPr>
      <w:fldChar w:fldCharType="separate"/>
    </w:r>
    <w:r w:rsidRPr="005E2E19">
      <w:rPr>
        <w:b/>
        <w:noProof/>
        <w:sz w:val="18"/>
      </w:rPr>
      <w:t>2</w:t>
    </w:r>
    <w:r w:rsidRPr="005E2E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B7F" w14:textId="1F8B90A3" w:rsidR="005E2E19" w:rsidRPr="005E2E19" w:rsidRDefault="005E2E19" w:rsidP="005E2E19">
    <w:pPr>
      <w:pStyle w:val="Footer"/>
      <w:tabs>
        <w:tab w:val="right" w:pos="9638"/>
      </w:tabs>
      <w:rPr>
        <w:b/>
        <w:sz w:val="18"/>
      </w:rPr>
    </w:pPr>
    <w:r>
      <w:tab/>
    </w:r>
    <w:r w:rsidRPr="005E2E19">
      <w:rPr>
        <w:b/>
        <w:sz w:val="18"/>
      </w:rPr>
      <w:fldChar w:fldCharType="begin"/>
    </w:r>
    <w:r w:rsidRPr="005E2E19">
      <w:rPr>
        <w:b/>
        <w:sz w:val="18"/>
      </w:rPr>
      <w:instrText xml:space="preserve"> PAGE  \* MERGEFORMAT </w:instrText>
    </w:r>
    <w:r w:rsidRPr="005E2E19">
      <w:rPr>
        <w:b/>
        <w:sz w:val="18"/>
      </w:rPr>
      <w:fldChar w:fldCharType="separate"/>
    </w:r>
    <w:r w:rsidRPr="005E2E19">
      <w:rPr>
        <w:b/>
        <w:noProof/>
        <w:sz w:val="18"/>
      </w:rPr>
      <w:t>3</w:t>
    </w:r>
    <w:r w:rsidRPr="005E2E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A51" w14:textId="141CF5DC" w:rsidR="006652C7" w:rsidRDefault="006652C7" w:rsidP="006652C7">
    <w:pPr>
      <w:pStyle w:val="Footer"/>
    </w:pPr>
    <w:r w:rsidRPr="0027112F">
      <w:rPr>
        <w:noProof/>
        <w:lang w:val="en-US"/>
      </w:rPr>
      <w:drawing>
        <wp:anchor distT="0" distB="0" distL="114300" distR="114300" simplePos="0" relativeHeight="251659264" behindDoc="0" locked="1" layoutInCell="1" allowOverlap="1" wp14:anchorId="17F00D2E" wp14:editId="6F36606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10B371" w14:textId="634E489A" w:rsidR="006652C7" w:rsidRPr="006652C7" w:rsidRDefault="006652C7" w:rsidP="006652C7">
    <w:pPr>
      <w:pStyle w:val="Footer"/>
      <w:ind w:right="1134"/>
      <w:rPr>
        <w:sz w:val="20"/>
      </w:rPr>
    </w:pPr>
    <w:r>
      <w:rPr>
        <w:sz w:val="20"/>
      </w:rPr>
      <w:t>GE.23-13317(E)</w:t>
    </w:r>
    <w:r>
      <w:rPr>
        <w:noProof/>
        <w:sz w:val="20"/>
      </w:rPr>
      <w:drawing>
        <wp:anchor distT="0" distB="0" distL="114300" distR="114300" simplePos="0" relativeHeight="251660288" behindDoc="0" locked="0" layoutInCell="1" allowOverlap="1" wp14:anchorId="0A235831" wp14:editId="5D006FB7">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BAD3" w14:textId="77777777" w:rsidR="00FC359E" w:rsidRPr="000B175B" w:rsidRDefault="00FC359E" w:rsidP="000B175B">
      <w:pPr>
        <w:tabs>
          <w:tab w:val="right" w:pos="2155"/>
        </w:tabs>
        <w:spacing w:after="80"/>
        <w:ind w:left="680"/>
        <w:rPr>
          <w:u w:val="single"/>
        </w:rPr>
      </w:pPr>
      <w:r>
        <w:rPr>
          <w:u w:val="single"/>
        </w:rPr>
        <w:tab/>
      </w:r>
    </w:p>
  </w:footnote>
  <w:footnote w:type="continuationSeparator" w:id="0">
    <w:p w14:paraId="4E2023AC" w14:textId="77777777" w:rsidR="00FC359E" w:rsidRPr="00FC68B7" w:rsidRDefault="00FC359E" w:rsidP="00FC68B7">
      <w:pPr>
        <w:tabs>
          <w:tab w:val="left" w:pos="2155"/>
        </w:tabs>
        <w:spacing w:after="80"/>
        <w:ind w:left="680"/>
        <w:rPr>
          <w:u w:val="single"/>
        </w:rPr>
      </w:pPr>
      <w:r>
        <w:rPr>
          <w:u w:val="single"/>
        </w:rPr>
        <w:tab/>
      </w:r>
    </w:p>
  </w:footnote>
  <w:footnote w:type="continuationNotice" w:id="1">
    <w:p w14:paraId="60D469C1" w14:textId="77777777" w:rsidR="00FC359E" w:rsidRDefault="00FC359E"/>
  </w:footnote>
  <w:footnote w:id="2">
    <w:p w14:paraId="1981CF40" w14:textId="77777777" w:rsidR="00307C53" w:rsidRPr="0073256F" w:rsidRDefault="00307C53" w:rsidP="00307C53">
      <w:pPr>
        <w:pStyle w:val="FootnoteText"/>
        <w:rPr>
          <w:lang w:val="en-US"/>
        </w:rPr>
      </w:pPr>
      <w:r>
        <w:rPr>
          <w:rStyle w:val="FootnoteReference"/>
        </w:rPr>
        <w:tab/>
      </w:r>
      <w:r w:rsidRPr="0073256F">
        <w:rPr>
          <w:rStyle w:val="FootnoteReference"/>
          <w:sz w:val="20"/>
        </w:rPr>
        <w:t>*</w:t>
      </w:r>
      <w:r>
        <w:rPr>
          <w:rStyle w:val="FootnoteReference"/>
          <w:sz w:val="20"/>
          <w:vertAlign w:val="baseline"/>
        </w:rPr>
        <w:tab/>
      </w:r>
      <w:r>
        <w:rPr>
          <w:color w:val="000000"/>
          <w:szCs w:val="18"/>
        </w:rPr>
        <w:t>A/77/6 (Sect.20), para. 20.76</w:t>
      </w:r>
    </w:p>
  </w:footnote>
  <w:footnote w:id="3">
    <w:p w14:paraId="23F896C1" w14:textId="31071E07" w:rsidR="00307C53" w:rsidRPr="0073256F" w:rsidRDefault="00307C53" w:rsidP="00307C53">
      <w:pPr>
        <w:pStyle w:val="FootnoteText"/>
        <w:rPr>
          <w:lang w:val="en-US"/>
        </w:rPr>
      </w:pPr>
      <w:r>
        <w:rPr>
          <w:rStyle w:val="FootnoteReference"/>
        </w:rPr>
        <w:tab/>
      </w:r>
      <w:r w:rsidRPr="0073256F">
        <w:rPr>
          <w:rStyle w:val="FootnoteReference"/>
          <w:sz w:val="20"/>
        </w:rPr>
        <w:t>**</w:t>
      </w:r>
      <w:r>
        <w:rPr>
          <w:rStyle w:val="FootnoteReference"/>
          <w:sz w:val="20"/>
          <w:vertAlign w:val="baseline"/>
        </w:rPr>
        <w:tab/>
      </w:r>
      <w:r>
        <w:rPr>
          <w:color w:val="000000"/>
          <w:szCs w:val="18"/>
        </w:rPr>
        <w:t>Circulated by the Intergovernmental Organisation for International Carriage by Rail (OTIF) under the symbol OTIF/RID/RC/2023/4</w:t>
      </w:r>
      <w:r w:rsidR="00ED090B">
        <w:rPr>
          <w:color w:val="000000"/>
          <w:szCs w:val="18"/>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BA1A" w14:textId="0EF8909C" w:rsidR="005E2E19" w:rsidRPr="005E2E19" w:rsidRDefault="005E2E19">
    <w:pPr>
      <w:pStyle w:val="Header"/>
    </w:pPr>
    <w:r>
      <w:t>ECE/TRANS/WP.15/AC.1/2023/47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87B6" w14:textId="3DC65B7A" w:rsidR="005E2E19" w:rsidRPr="005E2E19" w:rsidRDefault="005E2E19" w:rsidP="005E2E19">
    <w:pPr>
      <w:pStyle w:val="Header"/>
      <w:jc w:val="right"/>
    </w:pPr>
    <w:r>
      <w:t>ECE/TRANS/WP.15/AC.1/2023/47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5962A7"/>
    <w:multiLevelType w:val="hybridMultilevel"/>
    <w:tmpl w:val="78CC93B6"/>
    <w:lvl w:ilvl="0" w:tplc="1B34FD6C">
      <w:start w:val="1"/>
      <w:numFmt w:val="decimal"/>
      <w:lvlText w:val="%1."/>
      <w:lvlJc w:val="left"/>
      <w:pPr>
        <w:ind w:left="1689" w:hanging="555"/>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0D6921"/>
    <w:multiLevelType w:val="hybridMultilevel"/>
    <w:tmpl w:val="B6C42BE8"/>
    <w:lvl w:ilvl="0" w:tplc="9DA09750">
      <w:start w:val="1"/>
      <w:numFmt w:val="bullet"/>
      <w:lvlText w:val="­"/>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5778A3"/>
    <w:multiLevelType w:val="hybridMultilevel"/>
    <w:tmpl w:val="965606AE"/>
    <w:lvl w:ilvl="0" w:tplc="9DA09750">
      <w:start w:val="1"/>
      <w:numFmt w:val="bullet"/>
      <w:lvlText w:val="­"/>
      <w:lvlJc w:val="left"/>
      <w:pPr>
        <w:ind w:left="864" w:hanging="360"/>
      </w:pPr>
      <w:rPr>
        <w:rFonts w:ascii="Times New Roman" w:hAnsi="Times New Roman" w:cs="Times New Roman"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3797C"/>
    <w:multiLevelType w:val="hybridMultilevel"/>
    <w:tmpl w:val="9940BAE4"/>
    <w:lvl w:ilvl="0" w:tplc="A6B62BE0">
      <w:start w:val="1"/>
      <w:numFmt w:val="lowerRoman"/>
      <w:lvlText w:val="%1."/>
      <w:lvlJc w:val="left"/>
      <w:pPr>
        <w:ind w:left="2053" w:hanging="360"/>
      </w:pPr>
      <w:rPr>
        <w:rFonts w:hint="default"/>
      </w:rPr>
    </w:lvl>
    <w:lvl w:ilvl="1" w:tplc="9DA09750">
      <w:start w:val="1"/>
      <w:numFmt w:val="bullet"/>
      <w:lvlText w:val="­"/>
      <w:lvlJc w:val="left"/>
      <w:pPr>
        <w:ind w:left="2773" w:hanging="360"/>
      </w:pPr>
      <w:rPr>
        <w:rFonts w:ascii="Times New Roman" w:hAnsi="Times New Roman" w:cs="Times New Roman" w:hint="default"/>
      </w:rPr>
    </w:lvl>
    <w:lvl w:ilvl="2" w:tplc="1009001B">
      <w:start w:val="1"/>
      <w:numFmt w:val="lowerRoman"/>
      <w:lvlText w:val="%3."/>
      <w:lvlJc w:val="right"/>
      <w:pPr>
        <w:ind w:left="3493" w:hanging="180"/>
      </w:pPr>
    </w:lvl>
    <w:lvl w:ilvl="3" w:tplc="1009000F">
      <w:start w:val="1"/>
      <w:numFmt w:val="decimal"/>
      <w:lvlText w:val="%4."/>
      <w:lvlJc w:val="left"/>
      <w:pPr>
        <w:ind w:left="4213" w:hanging="360"/>
      </w:pPr>
    </w:lvl>
    <w:lvl w:ilvl="4" w:tplc="10090019">
      <w:start w:val="1"/>
      <w:numFmt w:val="lowerLetter"/>
      <w:lvlText w:val="%5."/>
      <w:lvlJc w:val="left"/>
      <w:pPr>
        <w:ind w:left="4933" w:hanging="360"/>
      </w:pPr>
    </w:lvl>
    <w:lvl w:ilvl="5" w:tplc="1009001B">
      <w:start w:val="1"/>
      <w:numFmt w:val="lowerRoman"/>
      <w:lvlText w:val="%6."/>
      <w:lvlJc w:val="right"/>
      <w:pPr>
        <w:ind w:left="5653" w:hanging="180"/>
      </w:pPr>
    </w:lvl>
    <w:lvl w:ilvl="6" w:tplc="1009000F">
      <w:start w:val="1"/>
      <w:numFmt w:val="decimal"/>
      <w:lvlText w:val="%7."/>
      <w:lvlJc w:val="left"/>
      <w:pPr>
        <w:ind w:left="6373" w:hanging="360"/>
      </w:pPr>
    </w:lvl>
    <w:lvl w:ilvl="7" w:tplc="10090019">
      <w:start w:val="1"/>
      <w:numFmt w:val="lowerLetter"/>
      <w:lvlText w:val="%8."/>
      <w:lvlJc w:val="left"/>
      <w:pPr>
        <w:ind w:left="7093" w:hanging="360"/>
      </w:pPr>
    </w:lvl>
    <w:lvl w:ilvl="8" w:tplc="1009001B">
      <w:start w:val="1"/>
      <w:numFmt w:val="lowerRoman"/>
      <w:lvlText w:val="%9."/>
      <w:lvlJc w:val="right"/>
      <w:pPr>
        <w:ind w:left="7813"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2588F"/>
    <w:multiLevelType w:val="hybridMultilevel"/>
    <w:tmpl w:val="6644AD40"/>
    <w:lvl w:ilvl="0" w:tplc="9DA09750">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010984436">
    <w:abstractNumId w:val="1"/>
  </w:num>
  <w:num w:numId="2" w16cid:durableId="1663270306">
    <w:abstractNumId w:val="0"/>
  </w:num>
  <w:num w:numId="3" w16cid:durableId="294147095">
    <w:abstractNumId w:val="2"/>
  </w:num>
  <w:num w:numId="4" w16cid:durableId="810102346">
    <w:abstractNumId w:val="3"/>
  </w:num>
  <w:num w:numId="5" w16cid:durableId="928735820">
    <w:abstractNumId w:val="8"/>
  </w:num>
  <w:num w:numId="6" w16cid:durableId="1141120088">
    <w:abstractNumId w:val="9"/>
  </w:num>
  <w:num w:numId="7" w16cid:durableId="747658371">
    <w:abstractNumId w:val="7"/>
  </w:num>
  <w:num w:numId="8" w16cid:durableId="1925339018">
    <w:abstractNumId w:val="6"/>
  </w:num>
  <w:num w:numId="9" w16cid:durableId="516163260">
    <w:abstractNumId w:val="5"/>
  </w:num>
  <w:num w:numId="10" w16cid:durableId="1333416275">
    <w:abstractNumId w:val="4"/>
  </w:num>
  <w:num w:numId="11" w16cid:durableId="501705017">
    <w:abstractNumId w:val="16"/>
  </w:num>
  <w:num w:numId="12" w16cid:durableId="408386809">
    <w:abstractNumId w:val="15"/>
  </w:num>
  <w:num w:numId="13" w16cid:durableId="999044659">
    <w:abstractNumId w:val="10"/>
  </w:num>
  <w:num w:numId="14" w16cid:durableId="159125914">
    <w:abstractNumId w:val="13"/>
  </w:num>
  <w:num w:numId="15" w16cid:durableId="1302081342">
    <w:abstractNumId w:val="17"/>
  </w:num>
  <w:num w:numId="16" w16cid:durableId="1271205971">
    <w:abstractNumId w:val="14"/>
  </w:num>
  <w:num w:numId="17" w16cid:durableId="1694726418">
    <w:abstractNumId w:val="20"/>
  </w:num>
  <w:num w:numId="18" w16cid:durableId="1329753611">
    <w:abstractNumId w:val="22"/>
  </w:num>
  <w:num w:numId="19" w16cid:durableId="1217863227">
    <w:abstractNumId w:val="12"/>
  </w:num>
  <w:num w:numId="20" w16cid:durableId="2064058213">
    <w:abstractNumId w:val="12"/>
  </w:num>
  <w:num w:numId="21" w16cid:durableId="8264818">
    <w:abstractNumId w:val="19"/>
  </w:num>
  <w:num w:numId="22" w16cid:durableId="1208447699">
    <w:abstractNumId w:val="11"/>
  </w:num>
  <w:num w:numId="23" w16cid:durableId="1570458045">
    <w:abstractNumId w:val="21"/>
  </w:num>
  <w:num w:numId="24" w16cid:durableId="570430468">
    <w:abstractNumId w:val="18"/>
  </w:num>
  <w:num w:numId="25" w16cid:durableId="16089238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19"/>
    <w:rsid w:val="00002A7D"/>
    <w:rsid w:val="000038A8"/>
    <w:rsid w:val="00006790"/>
    <w:rsid w:val="00011D8A"/>
    <w:rsid w:val="00026C72"/>
    <w:rsid w:val="00027624"/>
    <w:rsid w:val="00036760"/>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1FC5"/>
    <w:rsid w:val="00166124"/>
    <w:rsid w:val="00184DDA"/>
    <w:rsid w:val="00187D31"/>
    <w:rsid w:val="001900CD"/>
    <w:rsid w:val="001A0452"/>
    <w:rsid w:val="001A1BCB"/>
    <w:rsid w:val="001B4B04"/>
    <w:rsid w:val="001B5875"/>
    <w:rsid w:val="001C4B9C"/>
    <w:rsid w:val="001C6663"/>
    <w:rsid w:val="001C7895"/>
    <w:rsid w:val="001D1591"/>
    <w:rsid w:val="001D1D45"/>
    <w:rsid w:val="001D26DF"/>
    <w:rsid w:val="001F1599"/>
    <w:rsid w:val="001F19C4"/>
    <w:rsid w:val="002043F0"/>
    <w:rsid w:val="0020639C"/>
    <w:rsid w:val="00207213"/>
    <w:rsid w:val="00211E0B"/>
    <w:rsid w:val="00214B96"/>
    <w:rsid w:val="00232575"/>
    <w:rsid w:val="00247258"/>
    <w:rsid w:val="002516A1"/>
    <w:rsid w:val="00257CAC"/>
    <w:rsid w:val="00264441"/>
    <w:rsid w:val="0027237A"/>
    <w:rsid w:val="002913CC"/>
    <w:rsid w:val="002974E9"/>
    <w:rsid w:val="002A7F94"/>
    <w:rsid w:val="002B109A"/>
    <w:rsid w:val="002C6D45"/>
    <w:rsid w:val="002C6F60"/>
    <w:rsid w:val="002D6E53"/>
    <w:rsid w:val="002F046D"/>
    <w:rsid w:val="002F3023"/>
    <w:rsid w:val="00301764"/>
    <w:rsid w:val="00307C53"/>
    <w:rsid w:val="00312D11"/>
    <w:rsid w:val="003229D8"/>
    <w:rsid w:val="00336C97"/>
    <w:rsid w:val="00337F88"/>
    <w:rsid w:val="00342432"/>
    <w:rsid w:val="0035223F"/>
    <w:rsid w:val="00352D4B"/>
    <w:rsid w:val="0035638C"/>
    <w:rsid w:val="00356F31"/>
    <w:rsid w:val="003A46BB"/>
    <w:rsid w:val="003A4EC7"/>
    <w:rsid w:val="003A7295"/>
    <w:rsid w:val="003B1F60"/>
    <w:rsid w:val="003C2CC4"/>
    <w:rsid w:val="003D4B23"/>
    <w:rsid w:val="003D5D39"/>
    <w:rsid w:val="003E278A"/>
    <w:rsid w:val="00413520"/>
    <w:rsid w:val="004325CB"/>
    <w:rsid w:val="00440A07"/>
    <w:rsid w:val="004608DB"/>
    <w:rsid w:val="00462880"/>
    <w:rsid w:val="00476F24"/>
    <w:rsid w:val="004C55B0"/>
    <w:rsid w:val="004D3F40"/>
    <w:rsid w:val="004F6BA0"/>
    <w:rsid w:val="00503BEA"/>
    <w:rsid w:val="00533616"/>
    <w:rsid w:val="00535ABA"/>
    <w:rsid w:val="0053768B"/>
    <w:rsid w:val="005420F2"/>
    <w:rsid w:val="0054285C"/>
    <w:rsid w:val="0054676E"/>
    <w:rsid w:val="0057347F"/>
    <w:rsid w:val="00584173"/>
    <w:rsid w:val="00595520"/>
    <w:rsid w:val="005A44B9"/>
    <w:rsid w:val="005B1BA0"/>
    <w:rsid w:val="005B3DB3"/>
    <w:rsid w:val="005D15CA"/>
    <w:rsid w:val="005D7969"/>
    <w:rsid w:val="005E2E19"/>
    <w:rsid w:val="005F08DF"/>
    <w:rsid w:val="005F3066"/>
    <w:rsid w:val="005F3E61"/>
    <w:rsid w:val="00604DDD"/>
    <w:rsid w:val="006115CC"/>
    <w:rsid w:val="00611FC4"/>
    <w:rsid w:val="006176FB"/>
    <w:rsid w:val="00630FCB"/>
    <w:rsid w:val="00631FCC"/>
    <w:rsid w:val="00640B26"/>
    <w:rsid w:val="0065766B"/>
    <w:rsid w:val="00664647"/>
    <w:rsid w:val="006652C7"/>
    <w:rsid w:val="006770B2"/>
    <w:rsid w:val="00686A48"/>
    <w:rsid w:val="006940E1"/>
    <w:rsid w:val="006A3C72"/>
    <w:rsid w:val="006A7392"/>
    <w:rsid w:val="006B03A1"/>
    <w:rsid w:val="006B3B94"/>
    <w:rsid w:val="006B67D9"/>
    <w:rsid w:val="006C5535"/>
    <w:rsid w:val="006D0589"/>
    <w:rsid w:val="006E564B"/>
    <w:rsid w:val="006E7154"/>
    <w:rsid w:val="007003CD"/>
    <w:rsid w:val="0070701E"/>
    <w:rsid w:val="00721141"/>
    <w:rsid w:val="0072632A"/>
    <w:rsid w:val="0073031C"/>
    <w:rsid w:val="007358E8"/>
    <w:rsid w:val="00736ECE"/>
    <w:rsid w:val="0074533B"/>
    <w:rsid w:val="007643BC"/>
    <w:rsid w:val="00774164"/>
    <w:rsid w:val="00780C68"/>
    <w:rsid w:val="007959FE"/>
    <w:rsid w:val="007A0CF1"/>
    <w:rsid w:val="007A478E"/>
    <w:rsid w:val="007B2DEF"/>
    <w:rsid w:val="007B6BA5"/>
    <w:rsid w:val="007C3390"/>
    <w:rsid w:val="007C42D8"/>
    <w:rsid w:val="007C4F4B"/>
    <w:rsid w:val="007D3C99"/>
    <w:rsid w:val="007D49AC"/>
    <w:rsid w:val="007D7362"/>
    <w:rsid w:val="007F5CE2"/>
    <w:rsid w:val="007F6611"/>
    <w:rsid w:val="007F7020"/>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D7D74"/>
    <w:rsid w:val="008E0E46"/>
    <w:rsid w:val="008E7116"/>
    <w:rsid w:val="008F143B"/>
    <w:rsid w:val="008F3882"/>
    <w:rsid w:val="008F4B7C"/>
    <w:rsid w:val="009051F1"/>
    <w:rsid w:val="00926E47"/>
    <w:rsid w:val="00947162"/>
    <w:rsid w:val="009610D0"/>
    <w:rsid w:val="00961DF7"/>
    <w:rsid w:val="0096375C"/>
    <w:rsid w:val="009662E6"/>
    <w:rsid w:val="0097095E"/>
    <w:rsid w:val="00974839"/>
    <w:rsid w:val="0098592B"/>
    <w:rsid w:val="00985FC4"/>
    <w:rsid w:val="00990766"/>
    <w:rsid w:val="00991261"/>
    <w:rsid w:val="009964C4"/>
    <w:rsid w:val="009A7B81"/>
    <w:rsid w:val="009D01C0"/>
    <w:rsid w:val="009D6A08"/>
    <w:rsid w:val="009E0A16"/>
    <w:rsid w:val="009E6CB7"/>
    <w:rsid w:val="009E7970"/>
    <w:rsid w:val="009F2EAC"/>
    <w:rsid w:val="009F57E3"/>
    <w:rsid w:val="00A0596E"/>
    <w:rsid w:val="00A10F4F"/>
    <w:rsid w:val="00A11067"/>
    <w:rsid w:val="00A1704A"/>
    <w:rsid w:val="00A36B42"/>
    <w:rsid w:val="00A425EB"/>
    <w:rsid w:val="00A654F5"/>
    <w:rsid w:val="00A66BA3"/>
    <w:rsid w:val="00A72F22"/>
    <w:rsid w:val="00A733BC"/>
    <w:rsid w:val="00A748A6"/>
    <w:rsid w:val="00A7601C"/>
    <w:rsid w:val="00A76A69"/>
    <w:rsid w:val="00A879A4"/>
    <w:rsid w:val="00AA0FF8"/>
    <w:rsid w:val="00AC0F2C"/>
    <w:rsid w:val="00AC502A"/>
    <w:rsid w:val="00AF58C1"/>
    <w:rsid w:val="00B04A3F"/>
    <w:rsid w:val="00B06643"/>
    <w:rsid w:val="00B15055"/>
    <w:rsid w:val="00B20551"/>
    <w:rsid w:val="00B20BBD"/>
    <w:rsid w:val="00B30179"/>
    <w:rsid w:val="00B33FC7"/>
    <w:rsid w:val="00B37B15"/>
    <w:rsid w:val="00B45C02"/>
    <w:rsid w:val="00B564F3"/>
    <w:rsid w:val="00B70B63"/>
    <w:rsid w:val="00B72A1E"/>
    <w:rsid w:val="00B81E12"/>
    <w:rsid w:val="00BA339B"/>
    <w:rsid w:val="00BB08CC"/>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2C7B"/>
    <w:rsid w:val="00C463DD"/>
    <w:rsid w:val="00C745C3"/>
    <w:rsid w:val="00C978F5"/>
    <w:rsid w:val="00CA150B"/>
    <w:rsid w:val="00CA24A4"/>
    <w:rsid w:val="00CB348D"/>
    <w:rsid w:val="00CB588E"/>
    <w:rsid w:val="00CD46F5"/>
    <w:rsid w:val="00CE4A8F"/>
    <w:rsid w:val="00CE78F6"/>
    <w:rsid w:val="00CF071D"/>
    <w:rsid w:val="00D0123D"/>
    <w:rsid w:val="00D15B04"/>
    <w:rsid w:val="00D2031B"/>
    <w:rsid w:val="00D25FE2"/>
    <w:rsid w:val="00D368BE"/>
    <w:rsid w:val="00D37DA9"/>
    <w:rsid w:val="00D406A7"/>
    <w:rsid w:val="00D40765"/>
    <w:rsid w:val="00D42276"/>
    <w:rsid w:val="00D42429"/>
    <w:rsid w:val="00D43252"/>
    <w:rsid w:val="00D44D86"/>
    <w:rsid w:val="00D50B7D"/>
    <w:rsid w:val="00D52012"/>
    <w:rsid w:val="00D704E5"/>
    <w:rsid w:val="00D72727"/>
    <w:rsid w:val="00D978C6"/>
    <w:rsid w:val="00D97FA5"/>
    <w:rsid w:val="00DA0956"/>
    <w:rsid w:val="00DA357F"/>
    <w:rsid w:val="00DA3E12"/>
    <w:rsid w:val="00DC18AD"/>
    <w:rsid w:val="00DC1918"/>
    <w:rsid w:val="00DF7CAE"/>
    <w:rsid w:val="00E170E6"/>
    <w:rsid w:val="00E37C98"/>
    <w:rsid w:val="00E423C0"/>
    <w:rsid w:val="00E53185"/>
    <w:rsid w:val="00E6414C"/>
    <w:rsid w:val="00E7260F"/>
    <w:rsid w:val="00E8702D"/>
    <w:rsid w:val="00E905F4"/>
    <w:rsid w:val="00E916A9"/>
    <w:rsid w:val="00E916DE"/>
    <w:rsid w:val="00E925AD"/>
    <w:rsid w:val="00E93700"/>
    <w:rsid w:val="00E944E5"/>
    <w:rsid w:val="00E96630"/>
    <w:rsid w:val="00EB1E3A"/>
    <w:rsid w:val="00EC5FBF"/>
    <w:rsid w:val="00ED090B"/>
    <w:rsid w:val="00ED18DC"/>
    <w:rsid w:val="00ED6201"/>
    <w:rsid w:val="00ED7A2A"/>
    <w:rsid w:val="00EE0519"/>
    <w:rsid w:val="00EE3BB2"/>
    <w:rsid w:val="00EF1D7F"/>
    <w:rsid w:val="00F0137E"/>
    <w:rsid w:val="00F21786"/>
    <w:rsid w:val="00F27782"/>
    <w:rsid w:val="00F3742B"/>
    <w:rsid w:val="00F41FDB"/>
    <w:rsid w:val="00F50596"/>
    <w:rsid w:val="00F56D63"/>
    <w:rsid w:val="00F609A9"/>
    <w:rsid w:val="00F640FC"/>
    <w:rsid w:val="00F80C99"/>
    <w:rsid w:val="00F867EC"/>
    <w:rsid w:val="00F91B2B"/>
    <w:rsid w:val="00FC03CD"/>
    <w:rsid w:val="00FC0646"/>
    <w:rsid w:val="00FC359E"/>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20D75"/>
  <w15:docId w15:val="{724FD18E-7B3A-4360-9204-FE063DE3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uiPriority w:val="99"/>
    <w:rsid w:val="00961DF7"/>
    <w:rPr>
      <w:sz w:val="18"/>
      <w:lang w:val="en-GB"/>
    </w:rPr>
  </w:style>
  <w:style w:type="paragraph" w:styleId="ListParagraph">
    <w:name w:val="List Paragraph"/>
    <w:basedOn w:val="Normal"/>
    <w:uiPriority w:val="34"/>
    <w:qFormat/>
    <w:rsid w:val="00961DF7"/>
    <w:pPr>
      <w:suppressAutoHyphens w:val="0"/>
      <w:spacing w:after="200" w:line="276" w:lineRule="auto"/>
      <w:ind w:left="720"/>
      <w:contextualSpacing/>
    </w:pPr>
    <w:rPr>
      <w:rFonts w:ascii="Calibri" w:hAnsi="Calibri"/>
      <w:color w:val="00000A"/>
      <w:sz w:val="22"/>
      <w:szCs w:val="22"/>
      <w:lang w:eastAsia="en-US"/>
    </w:rPr>
  </w:style>
  <w:style w:type="character" w:styleId="Strong">
    <w:name w:val="Strong"/>
    <w:basedOn w:val="DefaultParagraphFont"/>
    <w:uiPriority w:val="22"/>
    <w:qFormat/>
    <w:rsid w:val="00961DF7"/>
    <w:rPr>
      <w:b/>
      <w:bCs/>
    </w:rPr>
  </w:style>
  <w:style w:type="paragraph" w:customStyle="1" w:styleId="Default">
    <w:name w:val="Default"/>
    <w:rsid w:val="00207213"/>
    <w:pPr>
      <w:autoSpaceDE w:val="0"/>
      <w:autoSpaceDN w:val="0"/>
      <w:adjustRightInd w:val="0"/>
    </w:pPr>
    <w:rPr>
      <w:color w:val="000000"/>
      <w:sz w:val="24"/>
      <w:szCs w:val="24"/>
      <w:lang w:val="en-US" w:eastAsia="en-US"/>
    </w:rPr>
  </w:style>
  <w:style w:type="paragraph" w:styleId="Revision">
    <w:name w:val="Revision"/>
    <w:hidden/>
    <w:uiPriority w:val="99"/>
    <w:semiHidden/>
    <w:rsid w:val="00EC5F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SharedWithUsers>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54F6D4DB-93A1-4DC9-A826-C49F9D449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5D152-C357-484B-9ECC-53E45D19A76C}">
  <ds:schemaRefs>
    <ds:schemaRef ds:uri="http://schemas.microsoft.com/sharepoint/v3/contenttype/forms"/>
  </ds:schemaRefs>
</ds:datastoreItem>
</file>

<file path=customXml/itemProps4.xml><?xml version="1.0" encoding="utf-8"?>
<ds:datastoreItem xmlns:ds="http://schemas.openxmlformats.org/officeDocument/2006/customXml" ds:itemID="{8132B00B-BECB-4C36-A2B5-664C3CDB7BF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7784</Characters>
  <Application>Microsoft Office Word</Application>
  <DocSecurity>0</DocSecurity>
  <Lines>150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ECE/TRANS/WP.15/AC.1/2023/47</dc:title>
  <dc:subject>2313317</dc:subject>
  <dc:creator>Nadiya Dzyubynska</dc:creator>
  <cp:keywords/>
  <dc:description/>
  <cp:lastModifiedBy>Don Canete Martin</cp:lastModifiedBy>
  <cp:revision>2</cp:revision>
  <cp:lastPrinted>2009-02-18T09:36:00Z</cp:lastPrinted>
  <dcterms:created xsi:type="dcterms:W3CDTF">2023-07-10T07:27:00Z</dcterms:created>
  <dcterms:modified xsi:type="dcterms:W3CDTF">2023-07-10T07:27:00Z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