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BEE2710" w:rsidR="00FC215C" w:rsidRPr="00E44D34" w:rsidRDefault="00FC215C" w:rsidP="00B666B2">
            <w:pPr>
              <w:jc w:val="right"/>
              <w:rPr>
                <w:b/>
                <w:sz w:val="40"/>
                <w:szCs w:val="40"/>
              </w:rPr>
            </w:pPr>
            <w:r w:rsidRPr="00E44D34">
              <w:rPr>
                <w:b/>
                <w:sz w:val="40"/>
                <w:szCs w:val="40"/>
              </w:rPr>
              <w:t>UN/SCETDG/</w:t>
            </w:r>
            <w:r w:rsidR="00DA5E24">
              <w:rPr>
                <w:b/>
                <w:sz w:val="40"/>
                <w:szCs w:val="40"/>
              </w:rPr>
              <w:t>62</w:t>
            </w:r>
            <w:r w:rsidRPr="00E44D34">
              <w:rPr>
                <w:b/>
                <w:sz w:val="40"/>
                <w:szCs w:val="40"/>
              </w:rPr>
              <w:t>/INF.</w:t>
            </w:r>
            <w:r w:rsidR="00DD0FA3">
              <w:rPr>
                <w:b/>
                <w:sz w:val="40"/>
                <w:szCs w:val="40"/>
              </w:rPr>
              <w:t>2</w:t>
            </w:r>
            <w:r w:rsidR="00291B15">
              <w:rPr>
                <w:b/>
                <w:sz w:val="40"/>
                <w:szCs w:val="40"/>
              </w:rPr>
              <w:t>1</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225D33F3"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603C89">
              <w:rPr>
                <w:b/>
              </w:rPr>
              <w:t>20</w:t>
            </w:r>
            <w:r w:rsidR="00AD7C5F">
              <w:rPr>
                <w:b/>
              </w:rPr>
              <w:t xml:space="preserve"> </w:t>
            </w:r>
            <w:r w:rsidR="007517DA">
              <w:rPr>
                <w:b/>
              </w:rPr>
              <w:t>June</w:t>
            </w:r>
            <w:r w:rsidR="00AD7C5F">
              <w:rPr>
                <w:b/>
              </w:rPr>
              <w:t xml:space="preserve"> 202</w:t>
            </w:r>
            <w:r w:rsidR="00310F0B">
              <w:rPr>
                <w:b/>
              </w:rPr>
              <w:t>3</w:t>
            </w:r>
          </w:p>
        </w:tc>
      </w:tr>
      <w:tr w:rsidR="00006E29" w:rsidRPr="00212DDD"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212DDD" w:rsidRDefault="00006E29" w:rsidP="00D73803">
            <w:pPr>
              <w:spacing w:before="40"/>
              <w:rPr>
                <w:b/>
              </w:rPr>
            </w:pPr>
            <w:r w:rsidRPr="00212DDD">
              <w:rPr>
                <w:b/>
              </w:rPr>
              <w:t xml:space="preserve">Sub-Committee of Experts on the Transport of Dangerous Goods </w:t>
            </w:r>
          </w:p>
          <w:p w14:paraId="613C7C0F" w14:textId="20243C79" w:rsidR="00006E29" w:rsidRPr="00212DDD" w:rsidRDefault="00D553D5" w:rsidP="00CB2799">
            <w:pPr>
              <w:spacing w:before="120" w:line="240" w:lineRule="auto"/>
              <w:ind w:left="34" w:hanging="34"/>
              <w:rPr>
                <w:b/>
              </w:rPr>
            </w:pPr>
            <w:r w:rsidRPr="00212DDD">
              <w:rPr>
                <w:b/>
              </w:rPr>
              <w:t>Sixty</w:t>
            </w:r>
            <w:r w:rsidR="00DD0FA3" w:rsidRPr="00212DDD">
              <w:rPr>
                <w:b/>
              </w:rPr>
              <w:t>-</w:t>
            </w:r>
            <w:r w:rsidRPr="00212DDD">
              <w:rPr>
                <w:b/>
              </w:rPr>
              <w:t>second</w:t>
            </w:r>
            <w:r w:rsidR="00006E29" w:rsidRPr="00212DDD">
              <w:rPr>
                <w:b/>
              </w:rPr>
              <w:t xml:space="preserve"> session</w:t>
            </w:r>
          </w:p>
          <w:p w14:paraId="3BDE97DE" w14:textId="47ACE84C" w:rsidR="005F1540" w:rsidRPr="00212DDD" w:rsidRDefault="00006E29" w:rsidP="00586754">
            <w:pPr>
              <w:spacing w:before="40"/>
              <w:rPr>
                <w:b/>
                <w:bCs/>
              </w:rPr>
            </w:pPr>
            <w:r w:rsidRPr="00212DDD">
              <w:t xml:space="preserve">Geneva, </w:t>
            </w:r>
            <w:r w:rsidR="00D553D5" w:rsidRPr="00212DDD">
              <w:t>3-7</w:t>
            </w:r>
            <w:r w:rsidRPr="00212DDD">
              <w:t xml:space="preserve"> July 202</w:t>
            </w:r>
            <w:r w:rsidR="00D553D5" w:rsidRPr="00212DDD">
              <w:t>3</w:t>
            </w:r>
            <w:r w:rsidRPr="00212DDD">
              <w:br/>
              <w:t xml:space="preserve">Item </w:t>
            </w:r>
            <w:r w:rsidR="00291B15" w:rsidRPr="00212DDD">
              <w:t>6 (c)</w:t>
            </w:r>
            <w:r w:rsidRPr="00212DDD">
              <w:t xml:space="preserve"> of the provisional agenda</w:t>
            </w:r>
            <w:r w:rsidRPr="00212DDD">
              <w:br/>
            </w:r>
            <w:r w:rsidR="009C4E88" w:rsidRPr="00212DDD">
              <w:rPr>
                <w:b/>
                <w:bCs/>
              </w:rPr>
              <w:t>Miscellaneous proposals for amendments to the Model Regulations</w:t>
            </w:r>
            <w:r w:rsidR="006A32EE" w:rsidRPr="00212DDD">
              <w:rPr>
                <w:b/>
                <w:bCs/>
              </w:rPr>
              <w:t xml:space="preserve"> </w:t>
            </w:r>
            <w:r w:rsidR="00F216F2" w:rsidRPr="00212DDD">
              <w:rPr>
                <w:b/>
                <w:bCs/>
              </w:rPr>
              <w:br/>
            </w:r>
            <w:r w:rsidR="009C4E88" w:rsidRPr="00212DDD">
              <w:rPr>
                <w:b/>
                <w:bCs/>
              </w:rPr>
              <w:t>on</w:t>
            </w:r>
            <w:r w:rsidR="00F216F2" w:rsidRPr="00212DDD">
              <w:rPr>
                <w:b/>
                <w:bCs/>
              </w:rPr>
              <w:t xml:space="preserve"> </w:t>
            </w:r>
            <w:r w:rsidR="009C4E88" w:rsidRPr="00212DDD">
              <w:rPr>
                <w:b/>
                <w:bCs/>
              </w:rPr>
              <w:t>the Transport of Dangerous Goods:</w:t>
            </w:r>
            <w:r w:rsidR="006A32EE" w:rsidRPr="00212DDD">
              <w:rPr>
                <w:b/>
                <w:bCs/>
              </w:rPr>
              <w:t xml:space="preserve"> </w:t>
            </w:r>
            <w:r w:rsidR="00602CE6" w:rsidRPr="00212DDD">
              <w:rPr>
                <w:b/>
                <w:bCs/>
              </w:rPr>
              <w:t>P</w:t>
            </w:r>
            <w:r w:rsidR="009C4E88" w:rsidRPr="00212DDD">
              <w:rPr>
                <w:b/>
                <w:bCs/>
              </w:rPr>
              <w:t>ortable tanks</w:t>
            </w:r>
          </w:p>
        </w:tc>
      </w:tr>
    </w:tbl>
    <w:p w14:paraId="1BE3C324" w14:textId="33B4FFD0" w:rsidR="00601011" w:rsidRPr="00212DDD" w:rsidRDefault="00A53982" w:rsidP="00601011">
      <w:pPr>
        <w:pStyle w:val="HChG"/>
        <w:ind w:right="999"/>
        <w:rPr>
          <w:lang w:val="en-GB"/>
        </w:rPr>
      </w:pPr>
      <w:r w:rsidRPr="00212DDD">
        <w:rPr>
          <w:rFonts w:eastAsia="Arial Unicode MS"/>
          <w:lang w:val="en-GB"/>
        </w:rPr>
        <w:tab/>
      </w:r>
      <w:r w:rsidRPr="00212DDD">
        <w:rPr>
          <w:rFonts w:eastAsia="Arial Unicode MS"/>
          <w:lang w:val="en-GB"/>
        </w:rPr>
        <w:tab/>
      </w:r>
      <w:r w:rsidR="00601011" w:rsidRPr="00212DDD">
        <w:rPr>
          <w:rFonts w:eastAsia="MS Mincho"/>
          <w:lang w:val="en-GB"/>
        </w:rPr>
        <w:t xml:space="preserve">Comments on </w:t>
      </w:r>
      <w:r w:rsidR="00075184" w:rsidRPr="00212DDD">
        <w:rPr>
          <w:rFonts w:eastAsia="MS Mincho"/>
          <w:lang w:val="en-GB"/>
        </w:rPr>
        <w:t xml:space="preserve">document </w:t>
      </w:r>
      <w:r w:rsidR="00601011" w:rsidRPr="00212DDD">
        <w:rPr>
          <w:rFonts w:eastAsia="MS Mincho"/>
          <w:lang w:val="en-GB"/>
        </w:rPr>
        <w:t xml:space="preserve">ST/SG/AC.10/C.3/2023/29 </w:t>
      </w:r>
      <w:r w:rsidR="00F01BFE" w:rsidRPr="00212DDD">
        <w:rPr>
          <w:rFonts w:eastAsia="MS Mincho"/>
          <w:lang w:val="en-GB"/>
        </w:rPr>
        <w:t>on</w:t>
      </w:r>
      <w:r w:rsidR="00601011" w:rsidRPr="00212DDD">
        <w:rPr>
          <w:rFonts w:eastAsia="MS Mincho"/>
          <w:lang w:val="en-GB"/>
        </w:rPr>
        <w:t xml:space="preserve"> </w:t>
      </w:r>
      <w:r w:rsidR="00F01BFE" w:rsidRPr="00212DDD">
        <w:rPr>
          <w:rFonts w:eastAsia="MS Mincho"/>
          <w:lang w:val="en-GB"/>
        </w:rPr>
        <w:t>b</w:t>
      </w:r>
      <w:r w:rsidR="00601011" w:rsidRPr="00212DDD">
        <w:rPr>
          <w:rFonts w:eastAsia="MS Mincho"/>
          <w:lang w:val="en-GB"/>
        </w:rPr>
        <w:t xml:space="preserve">ottom </w:t>
      </w:r>
      <w:r w:rsidR="00F01BFE" w:rsidRPr="00212DDD">
        <w:rPr>
          <w:rFonts w:eastAsia="MS Mincho"/>
          <w:lang w:val="en-GB"/>
        </w:rPr>
        <w:t>o</w:t>
      </w:r>
      <w:r w:rsidR="00601011" w:rsidRPr="00212DDD">
        <w:rPr>
          <w:rFonts w:eastAsia="MS Mincho"/>
          <w:lang w:val="en-GB"/>
        </w:rPr>
        <w:t xml:space="preserve">utlet </w:t>
      </w:r>
      <w:r w:rsidR="00F01BFE" w:rsidRPr="00212DDD">
        <w:rPr>
          <w:rFonts w:eastAsia="MS Mincho"/>
          <w:lang w:val="en-GB"/>
        </w:rPr>
        <w:t>v</w:t>
      </w:r>
      <w:r w:rsidR="00601011" w:rsidRPr="00212DDD">
        <w:rPr>
          <w:rFonts w:eastAsia="MS Mincho"/>
          <w:lang w:val="en-GB"/>
        </w:rPr>
        <w:t>alves for IBCs transporting UN</w:t>
      </w:r>
      <w:r w:rsidR="00CF5F88" w:rsidRPr="00212DDD">
        <w:rPr>
          <w:rFonts w:eastAsia="MS Mincho"/>
          <w:lang w:val="en-GB"/>
        </w:rPr>
        <w:t> </w:t>
      </w:r>
      <w:r w:rsidR="00601011" w:rsidRPr="00212DDD">
        <w:rPr>
          <w:rFonts w:eastAsia="MS Mincho"/>
          <w:lang w:val="en-GB"/>
        </w:rPr>
        <w:t>1789</w:t>
      </w:r>
    </w:p>
    <w:p w14:paraId="0BC20416" w14:textId="77777777" w:rsidR="00601011" w:rsidRPr="00212DDD" w:rsidRDefault="00601011" w:rsidP="00601011">
      <w:pPr>
        <w:pStyle w:val="H1G"/>
        <w:spacing w:before="240" w:after="120"/>
      </w:pPr>
      <w:r w:rsidRPr="00212DDD">
        <w:tab/>
      </w:r>
      <w:r w:rsidRPr="00212DDD">
        <w:tab/>
        <w:t>Transmitted by the International Confederation of Intermediate Bulk Container Associations (ICIBCA) and the International Confederation of Plastics Packaging Manufacturers (ICPP)</w:t>
      </w:r>
    </w:p>
    <w:p w14:paraId="2D2388D3" w14:textId="7F9BBA5D" w:rsidR="00601011" w:rsidRPr="00212DDD" w:rsidRDefault="00601011" w:rsidP="00601011">
      <w:pPr>
        <w:pStyle w:val="HChG"/>
        <w:rPr>
          <w:lang w:val="en-GB"/>
        </w:rPr>
      </w:pPr>
      <w:r w:rsidRPr="00212DDD">
        <w:rPr>
          <w:lang w:val="en-GB"/>
        </w:rPr>
        <w:tab/>
        <w:t>I.</w:t>
      </w:r>
      <w:r w:rsidRPr="00212DDD">
        <w:rPr>
          <w:lang w:val="en-GB"/>
        </w:rPr>
        <w:tab/>
        <w:t>Introduction</w:t>
      </w:r>
    </w:p>
    <w:p w14:paraId="4744CF68" w14:textId="2229EAFE" w:rsidR="00601011" w:rsidRPr="00212DDD" w:rsidRDefault="00EE7C26" w:rsidP="001C1CFF">
      <w:pPr>
        <w:pStyle w:val="SingleTxtG"/>
        <w:rPr>
          <w:lang w:val="en-GB"/>
        </w:rPr>
      </w:pPr>
      <w:r w:rsidRPr="00212DDD">
        <w:rPr>
          <w:color w:val="000000"/>
          <w:u w:color="000000"/>
          <w:bdr w:val="none" w:sz="0" w:space="0" w:color="auto" w:frame="1"/>
          <w:lang w:val="en-GB"/>
        </w:rPr>
        <w:t>1.</w:t>
      </w:r>
      <w:r w:rsidRPr="00212DDD">
        <w:rPr>
          <w:color w:val="000000"/>
          <w:u w:color="000000"/>
          <w:bdr w:val="none" w:sz="0" w:space="0" w:color="auto" w:frame="1"/>
          <w:lang w:val="en-GB"/>
        </w:rPr>
        <w:tab/>
      </w:r>
      <w:r w:rsidR="00601011" w:rsidRPr="00212DDD">
        <w:rPr>
          <w:lang w:val="en-GB"/>
        </w:rPr>
        <w:t xml:space="preserve">Our </w:t>
      </w:r>
      <w:r w:rsidR="00601011" w:rsidRPr="00212DDD">
        <w:rPr>
          <w:rStyle w:val="SingleTxtGCar"/>
          <w:lang w:val="en-GB"/>
        </w:rPr>
        <w:t>organizations</w:t>
      </w:r>
      <w:r w:rsidR="00601011" w:rsidRPr="00212DDD">
        <w:rPr>
          <w:lang w:val="en-GB"/>
        </w:rPr>
        <w:t xml:space="preserve"> representing leading manufacturers of Intermediate Bulk Containers (IBCs) submit the comments below on </w:t>
      </w:r>
      <w:r w:rsidR="00941B71">
        <w:rPr>
          <w:lang w:val="en-GB"/>
        </w:rPr>
        <w:t>document</w:t>
      </w:r>
      <w:r w:rsidR="00601011" w:rsidRPr="00212DDD">
        <w:rPr>
          <w:lang w:val="en-GB"/>
        </w:rPr>
        <w:t xml:space="preserve"> </w:t>
      </w:r>
      <w:r w:rsidR="00601011" w:rsidRPr="00212DDD">
        <w:rPr>
          <w:bCs/>
          <w:lang w:val="en-GB"/>
        </w:rPr>
        <w:t xml:space="preserve">ST/SG/AC.10/C.3/2023/29 by </w:t>
      </w:r>
      <w:r w:rsidR="00225558">
        <w:rPr>
          <w:bCs/>
          <w:lang w:val="en-GB"/>
        </w:rPr>
        <w:t xml:space="preserve">the </w:t>
      </w:r>
      <w:r w:rsidR="00225558">
        <w:t>International Dangerous Goods and Containers Association</w:t>
      </w:r>
      <w:r w:rsidR="00225558">
        <w:rPr>
          <w:lang w:val="fr-CH"/>
        </w:rPr>
        <w:t xml:space="preserve"> (</w:t>
      </w:r>
      <w:r w:rsidR="00601011" w:rsidRPr="00212DDD">
        <w:rPr>
          <w:bCs/>
          <w:lang w:val="en-GB"/>
        </w:rPr>
        <w:t>IDGCA</w:t>
      </w:r>
      <w:r w:rsidR="00225558">
        <w:rPr>
          <w:bCs/>
          <w:lang w:val="en-GB"/>
        </w:rPr>
        <w:t>)</w:t>
      </w:r>
      <w:r w:rsidR="00601011" w:rsidRPr="00212DDD">
        <w:rPr>
          <w:bCs/>
          <w:lang w:val="en-GB"/>
        </w:rPr>
        <w:t>.</w:t>
      </w:r>
    </w:p>
    <w:p w14:paraId="09CA9FD5" w14:textId="1092DB9A" w:rsidR="00601011" w:rsidRPr="00212DDD" w:rsidRDefault="00EE7C26" w:rsidP="001C1CFF">
      <w:pPr>
        <w:pStyle w:val="SingleTxtG"/>
        <w:rPr>
          <w:lang w:val="en-GB"/>
        </w:rPr>
      </w:pPr>
      <w:r w:rsidRPr="00212DDD">
        <w:rPr>
          <w:color w:val="000000"/>
          <w:u w:color="000000"/>
          <w:bdr w:val="none" w:sz="0" w:space="0" w:color="auto" w:frame="1"/>
          <w:lang w:val="en-GB"/>
        </w:rPr>
        <w:t>2.</w:t>
      </w:r>
      <w:r w:rsidRPr="00212DDD">
        <w:rPr>
          <w:color w:val="000000"/>
          <w:u w:color="000000"/>
          <w:bdr w:val="none" w:sz="0" w:space="0" w:color="auto" w:frame="1"/>
          <w:lang w:val="en-GB"/>
        </w:rPr>
        <w:tab/>
      </w:r>
      <w:r w:rsidR="00601011" w:rsidRPr="00212DDD">
        <w:rPr>
          <w:lang w:val="en-GB"/>
        </w:rPr>
        <w:t xml:space="preserve">For </w:t>
      </w:r>
      <w:r w:rsidR="00601011" w:rsidRPr="00212DDD">
        <w:rPr>
          <w:rStyle w:val="SingleTxtGCar"/>
          <w:lang w:val="en-GB"/>
        </w:rPr>
        <w:t>UN</w:t>
      </w:r>
      <w:r w:rsidR="006231A1">
        <w:rPr>
          <w:rStyle w:val="SingleTxtGCar"/>
          <w:lang w:val="en-GB"/>
        </w:rPr>
        <w:t> </w:t>
      </w:r>
      <w:r w:rsidR="00601011" w:rsidRPr="00212DDD">
        <w:rPr>
          <w:rStyle w:val="SingleTxtGCar"/>
          <w:lang w:val="en-GB"/>
        </w:rPr>
        <w:t>1789</w:t>
      </w:r>
      <w:r w:rsidR="00601011" w:rsidRPr="00212DDD">
        <w:rPr>
          <w:lang w:val="en-GB"/>
        </w:rPr>
        <w:t>, IDGCA notes the allowance of use of bottom outlets in the case of IBCs under IBC</w:t>
      </w:r>
      <w:r w:rsidR="00683F5D">
        <w:rPr>
          <w:lang w:val="en-GB"/>
        </w:rPr>
        <w:t> </w:t>
      </w:r>
      <w:r w:rsidR="00601011" w:rsidRPr="00212DDD">
        <w:rPr>
          <w:lang w:val="en-GB"/>
        </w:rPr>
        <w:t>02 and the disallowance of bottom openings in the case of multimodal portable tanks under tank instruction T8.</w:t>
      </w:r>
    </w:p>
    <w:p w14:paraId="3D62776F" w14:textId="5F3715D0" w:rsidR="00601011" w:rsidRPr="00212DDD" w:rsidRDefault="00EE7C26" w:rsidP="001C1CFF">
      <w:pPr>
        <w:pStyle w:val="SingleTxtG"/>
        <w:rPr>
          <w:lang w:val="en-GB"/>
        </w:rPr>
      </w:pPr>
      <w:r w:rsidRPr="00212DDD">
        <w:rPr>
          <w:color w:val="000000"/>
          <w:u w:color="000000"/>
          <w:bdr w:val="none" w:sz="0" w:space="0" w:color="auto" w:frame="1"/>
          <w:lang w:val="en-GB"/>
        </w:rPr>
        <w:t>3.</w:t>
      </w:r>
      <w:r w:rsidRPr="00212DDD">
        <w:rPr>
          <w:color w:val="000000"/>
          <w:u w:color="000000"/>
          <w:bdr w:val="none" w:sz="0" w:space="0" w:color="auto" w:frame="1"/>
          <w:lang w:val="en-GB"/>
        </w:rPr>
        <w:tab/>
      </w:r>
      <w:r w:rsidR="00601011" w:rsidRPr="00212DDD">
        <w:rPr>
          <w:lang w:val="en-GB"/>
        </w:rPr>
        <w:t>It appears that IDGCA regards IBCs and portable tanks transporting UN 1789 PG II as posing the same transport risk. While the IDGCA document makes no specific proposal, from the paper’s justification section, it would appear that IDGCA has in mind one of two options:</w:t>
      </w:r>
    </w:p>
    <w:p w14:paraId="02EE3157" w14:textId="1EB00211" w:rsidR="00601011" w:rsidRPr="00212DDD" w:rsidRDefault="00601011" w:rsidP="001C1CFF">
      <w:pPr>
        <w:pStyle w:val="SingleTxtG"/>
        <w:ind w:firstLine="567"/>
        <w:rPr>
          <w:lang w:val="en-GB"/>
        </w:rPr>
      </w:pPr>
      <w:r w:rsidRPr="00212DDD">
        <w:rPr>
          <w:bCs/>
          <w:lang w:val="en-GB"/>
        </w:rPr>
        <w:t>(a)</w:t>
      </w:r>
      <w:r w:rsidR="001C1CFF" w:rsidRPr="00212DDD">
        <w:rPr>
          <w:bCs/>
          <w:lang w:val="en-GB"/>
        </w:rPr>
        <w:tab/>
      </w:r>
      <w:r w:rsidRPr="00212DDD">
        <w:rPr>
          <w:rStyle w:val="SingleTxtGCar"/>
          <w:lang w:val="en-GB"/>
        </w:rPr>
        <w:t>introducing</w:t>
      </w:r>
      <w:r w:rsidRPr="00212DDD">
        <w:rPr>
          <w:lang w:val="en-GB"/>
        </w:rPr>
        <w:t xml:space="preserve"> a new restriction in IBC</w:t>
      </w:r>
      <w:r w:rsidR="00B11C4C">
        <w:rPr>
          <w:lang w:val="en-GB"/>
        </w:rPr>
        <w:t> </w:t>
      </w:r>
      <w:r w:rsidRPr="00212DDD">
        <w:rPr>
          <w:lang w:val="en-GB"/>
        </w:rPr>
        <w:t>02 disallowing bottom openings for IBCs transporting UN 1789; or</w:t>
      </w:r>
    </w:p>
    <w:p w14:paraId="78D799C3" w14:textId="7259303D" w:rsidR="00601011" w:rsidRPr="00212DDD" w:rsidRDefault="00601011" w:rsidP="00784705">
      <w:pPr>
        <w:pStyle w:val="SingleTxtG"/>
        <w:ind w:firstLine="567"/>
        <w:rPr>
          <w:lang w:val="en-GB"/>
        </w:rPr>
      </w:pPr>
      <w:r w:rsidRPr="00212DDD">
        <w:rPr>
          <w:lang w:val="en-GB"/>
        </w:rPr>
        <w:t>(b)</w:t>
      </w:r>
      <w:r w:rsidR="00784705" w:rsidRPr="00212DDD">
        <w:rPr>
          <w:lang w:val="en-GB"/>
        </w:rPr>
        <w:tab/>
      </w:r>
      <w:r w:rsidRPr="00212DDD">
        <w:rPr>
          <w:lang w:val="en-GB"/>
        </w:rPr>
        <w:t>establishing new design and testing requirements for both IBCs and portable tanks transporting UN</w:t>
      </w:r>
      <w:r w:rsidR="00013CDF">
        <w:rPr>
          <w:lang w:val="en-GB"/>
        </w:rPr>
        <w:t> </w:t>
      </w:r>
      <w:r w:rsidRPr="00212DDD">
        <w:rPr>
          <w:lang w:val="en-GB"/>
        </w:rPr>
        <w:t>1789.</w:t>
      </w:r>
    </w:p>
    <w:p w14:paraId="0232BCCE" w14:textId="36E4606D" w:rsidR="00601011" w:rsidRPr="00212DDD" w:rsidRDefault="00784705" w:rsidP="00784705">
      <w:pPr>
        <w:pStyle w:val="SingleTxtG"/>
        <w:rPr>
          <w:lang w:val="en-GB"/>
        </w:rPr>
      </w:pPr>
      <w:r w:rsidRPr="00212DDD">
        <w:rPr>
          <w:color w:val="000000"/>
          <w:u w:color="000000"/>
          <w:bdr w:val="none" w:sz="0" w:space="0" w:color="auto" w:frame="1"/>
          <w:lang w:val="en-GB"/>
        </w:rPr>
        <w:t>4.</w:t>
      </w:r>
      <w:r w:rsidRPr="00212DDD">
        <w:rPr>
          <w:color w:val="000000"/>
          <w:u w:color="000000"/>
          <w:bdr w:val="none" w:sz="0" w:space="0" w:color="auto" w:frame="1"/>
          <w:lang w:val="en-GB"/>
        </w:rPr>
        <w:tab/>
      </w:r>
      <w:r w:rsidR="00601011" w:rsidRPr="00212DDD">
        <w:rPr>
          <w:lang w:val="en-GB"/>
        </w:rPr>
        <w:t>As discussed in the comments below, alignment is unnecessary in that the degree of hazard posed by IBCs and portable tanks transporting UN</w:t>
      </w:r>
      <w:r w:rsidR="00D30E35">
        <w:rPr>
          <w:lang w:val="en-GB"/>
        </w:rPr>
        <w:t> </w:t>
      </w:r>
      <w:r w:rsidR="00601011" w:rsidRPr="00212DDD">
        <w:rPr>
          <w:lang w:val="en-GB"/>
        </w:rPr>
        <w:t>1789 is widely different, particularly when transport by vessel is considered.</w:t>
      </w:r>
    </w:p>
    <w:p w14:paraId="62014E57" w14:textId="22BBD95C" w:rsidR="00601011" w:rsidRPr="00212DDD" w:rsidRDefault="00601011" w:rsidP="00784705">
      <w:pPr>
        <w:pStyle w:val="HChG"/>
        <w:rPr>
          <w:b w:val="0"/>
          <w:bCs/>
          <w:szCs w:val="28"/>
          <w:lang w:val="en-GB"/>
        </w:rPr>
      </w:pPr>
      <w:r w:rsidRPr="00212DDD">
        <w:rPr>
          <w:lang w:val="en-GB"/>
        </w:rPr>
        <w:tab/>
        <w:t>II.</w:t>
      </w:r>
      <w:r w:rsidRPr="00212DDD">
        <w:rPr>
          <w:lang w:val="en-GB"/>
        </w:rPr>
        <w:tab/>
      </w:r>
      <w:r w:rsidRPr="00212DDD">
        <w:rPr>
          <w:bCs/>
          <w:szCs w:val="28"/>
          <w:lang w:val="en-GB"/>
        </w:rPr>
        <w:t>Rationalized approach for assigning requirements for UN portable tanks</w:t>
      </w:r>
    </w:p>
    <w:p w14:paraId="6BC4632E" w14:textId="1C643F2F" w:rsidR="00601011" w:rsidRPr="00212DDD" w:rsidRDefault="00784705" w:rsidP="004B6C6F">
      <w:pPr>
        <w:pStyle w:val="SingleTxtG"/>
        <w:rPr>
          <w:lang w:val="en-GB"/>
        </w:rPr>
      </w:pPr>
      <w:r w:rsidRPr="00212DDD">
        <w:rPr>
          <w:color w:val="000000"/>
          <w:u w:color="000000"/>
          <w:bdr w:val="none" w:sz="0" w:space="0" w:color="auto" w:frame="1"/>
          <w:lang w:val="en-GB"/>
        </w:rPr>
        <w:t>5.</w:t>
      </w:r>
      <w:r w:rsidRPr="00212DDD">
        <w:rPr>
          <w:color w:val="000000"/>
          <w:u w:color="000000"/>
          <w:bdr w:val="none" w:sz="0" w:space="0" w:color="auto" w:frame="1"/>
          <w:lang w:val="en-GB"/>
        </w:rPr>
        <w:tab/>
      </w:r>
      <w:r w:rsidR="00601011" w:rsidRPr="00212DDD">
        <w:rPr>
          <w:lang w:val="en-GB"/>
        </w:rPr>
        <w:t xml:space="preserve">The document </w:t>
      </w:r>
      <w:r w:rsidR="00791DF2" w:rsidRPr="00212DDD">
        <w:rPr>
          <w:lang w:val="en-GB"/>
        </w:rPr>
        <w:t>"</w:t>
      </w:r>
      <w:r w:rsidR="00601011" w:rsidRPr="00212DDD">
        <w:rPr>
          <w:lang w:val="en-GB"/>
        </w:rPr>
        <w:t>Guiding Principles for the Development of the Model Regulations on the Transport of Dangerous Goods</w:t>
      </w:r>
      <w:r w:rsidR="00791DF2" w:rsidRPr="00212DDD">
        <w:rPr>
          <w:lang w:val="en-GB"/>
        </w:rPr>
        <w:t>"</w:t>
      </w:r>
      <w:r w:rsidR="00601011" w:rsidRPr="00212DDD">
        <w:rPr>
          <w:lang w:val="en-GB"/>
        </w:rPr>
        <w:t xml:space="preserve"> provides the basis for why bottom openings are not allowed on portable tanks transporting UN</w:t>
      </w:r>
      <w:r w:rsidR="00F22834">
        <w:rPr>
          <w:lang w:val="en-GB"/>
        </w:rPr>
        <w:t> </w:t>
      </w:r>
      <w:r w:rsidR="00601011" w:rsidRPr="00212DDD">
        <w:rPr>
          <w:lang w:val="en-GB"/>
        </w:rPr>
        <w:t>1789. The general guideline in Part 4</w:t>
      </w:r>
      <w:r w:rsidR="00027163">
        <w:rPr>
          <w:lang w:val="en-GB"/>
        </w:rPr>
        <w:t xml:space="preserve"> </w:t>
      </w:r>
      <w:r w:rsidR="00601011" w:rsidRPr="00212DDD">
        <w:rPr>
          <w:lang w:val="en-GB"/>
        </w:rPr>
        <w:t>C.1</w:t>
      </w:r>
      <w:r w:rsidR="00027163">
        <w:rPr>
          <w:lang w:val="en-GB"/>
        </w:rPr>
        <w:t> </w:t>
      </w:r>
      <w:r w:rsidR="00601011" w:rsidRPr="00212DDD">
        <w:rPr>
          <w:lang w:val="en-GB"/>
        </w:rPr>
        <w:t xml:space="preserve">(f) </w:t>
      </w:r>
      <w:r w:rsidR="00791DF2" w:rsidRPr="00212DDD">
        <w:rPr>
          <w:lang w:val="en-GB"/>
        </w:rPr>
        <w:t>"</w:t>
      </w:r>
      <w:r w:rsidR="00601011" w:rsidRPr="00212DDD">
        <w:rPr>
          <w:lang w:val="en-GB"/>
        </w:rPr>
        <w:t>Bottom openings</w:t>
      </w:r>
      <w:r w:rsidR="00791DF2" w:rsidRPr="00212DDD">
        <w:rPr>
          <w:lang w:val="en-GB"/>
        </w:rPr>
        <w:t>"</w:t>
      </w:r>
      <w:r w:rsidR="00601011" w:rsidRPr="00212DDD">
        <w:rPr>
          <w:lang w:val="en-GB"/>
        </w:rPr>
        <w:t xml:space="preserve"> states:</w:t>
      </w:r>
    </w:p>
    <w:p w14:paraId="681DD145" w14:textId="5CFB89ED" w:rsidR="00601011" w:rsidRPr="00212DDD" w:rsidRDefault="00791DF2" w:rsidP="004B6C6F">
      <w:pPr>
        <w:pStyle w:val="SingleTxtG"/>
        <w:ind w:left="1701"/>
        <w:rPr>
          <w:lang w:val="en-GB"/>
        </w:rPr>
      </w:pPr>
      <w:r w:rsidRPr="00212DDD">
        <w:rPr>
          <w:lang w:val="en-GB"/>
        </w:rPr>
        <w:t>"</w:t>
      </w:r>
      <w:r w:rsidR="00601011" w:rsidRPr="00212DDD">
        <w:rPr>
          <w:lang w:val="en-GB"/>
        </w:rPr>
        <w:t>Bottom openings are not allowed for packing group I and certain packing group II substances which are highly corrosive to steel or aluminium.</w:t>
      </w:r>
      <w:r w:rsidRPr="00212DDD">
        <w:rPr>
          <w:lang w:val="en-GB"/>
        </w:rPr>
        <w:t>"</w:t>
      </w:r>
    </w:p>
    <w:p w14:paraId="5AF2441E" w14:textId="77777777" w:rsidR="00601011" w:rsidRPr="00212DDD" w:rsidRDefault="00601011" w:rsidP="00601011">
      <w:pPr>
        <w:pStyle w:val="ListParagraph"/>
        <w:ind w:left="1128" w:right="1180"/>
        <w:rPr>
          <w:lang w:val="en-GB"/>
        </w:rPr>
      </w:pPr>
    </w:p>
    <w:p w14:paraId="1B2C1D00" w14:textId="31099B19" w:rsidR="00601011" w:rsidRPr="00212DDD" w:rsidRDefault="00791DF2" w:rsidP="00791DF2">
      <w:pPr>
        <w:pStyle w:val="SingleTxtG"/>
        <w:rPr>
          <w:lang w:val="en-GB"/>
        </w:rPr>
      </w:pPr>
      <w:r w:rsidRPr="00212DDD">
        <w:rPr>
          <w:color w:val="000000"/>
          <w:u w:color="000000"/>
          <w:bdr w:val="none" w:sz="0" w:space="0" w:color="auto" w:frame="1"/>
          <w:lang w:val="en-GB"/>
        </w:rPr>
        <w:lastRenderedPageBreak/>
        <w:t>6.</w:t>
      </w:r>
      <w:r w:rsidRPr="00212DDD">
        <w:rPr>
          <w:color w:val="000000"/>
          <w:u w:color="000000"/>
          <w:bdr w:val="none" w:sz="0" w:space="0" w:color="auto" w:frame="1"/>
          <w:lang w:val="en-GB"/>
        </w:rPr>
        <w:tab/>
      </w:r>
      <w:r w:rsidR="00601011" w:rsidRPr="00212DDD">
        <w:rPr>
          <w:lang w:val="en-GB"/>
        </w:rPr>
        <w:t>It is understood that this guideline was adopted out of concern for a possible release of a portable tank’s contents while onboard a vessel and the consequences such a release might have on a vessel’s structure in the case of a material that is highly corrosive (e.g., UN</w:t>
      </w:r>
      <w:r w:rsidR="00064950">
        <w:rPr>
          <w:lang w:val="en-GB"/>
        </w:rPr>
        <w:t> </w:t>
      </w:r>
      <w:r w:rsidR="00601011" w:rsidRPr="00212DDD">
        <w:rPr>
          <w:lang w:val="en-GB"/>
        </w:rPr>
        <w:t>1789). As such, tank instruction T8, which does not permit bottom openings, is assigned to UN</w:t>
      </w:r>
      <w:r w:rsidR="00064950">
        <w:rPr>
          <w:lang w:val="en-GB"/>
        </w:rPr>
        <w:t> </w:t>
      </w:r>
      <w:r w:rsidR="00601011" w:rsidRPr="00212DDD">
        <w:rPr>
          <w:lang w:val="en-GB"/>
        </w:rPr>
        <w:t>1789 as well as other highly corrosive substances.</w:t>
      </w:r>
    </w:p>
    <w:p w14:paraId="5C84D88A" w14:textId="2C4842BB" w:rsidR="00601011" w:rsidRPr="00212DDD" w:rsidRDefault="00601011" w:rsidP="00791DF2">
      <w:pPr>
        <w:pStyle w:val="HChG"/>
        <w:rPr>
          <w:b w:val="0"/>
          <w:bCs/>
          <w:szCs w:val="28"/>
          <w:lang w:val="en-GB"/>
        </w:rPr>
      </w:pPr>
      <w:r w:rsidRPr="00212DDD">
        <w:rPr>
          <w:lang w:val="en-GB"/>
        </w:rPr>
        <w:tab/>
        <w:t>III.</w:t>
      </w:r>
      <w:r w:rsidRPr="00212DDD">
        <w:rPr>
          <w:lang w:val="en-GB"/>
        </w:rPr>
        <w:tab/>
      </w:r>
      <w:r w:rsidRPr="00212DDD">
        <w:rPr>
          <w:bCs/>
          <w:szCs w:val="28"/>
          <w:lang w:val="en-GB"/>
        </w:rPr>
        <w:t xml:space="preserve">Comparison of degrees of danger between IBCs and </w:t>
      </w:r>
      <w:r w:rsidR="00865CB0">
        <w:rPr>
          <w:bCs/>
          <w:szCs w:val="28"/>
          <w:lang w:val="en-GB"/>
        </w:rPr>
        <w:t>p</w:t>
      </w:r>
      <w:r w:rsidRPr="00212DDD">
        <w:rPr>
          <w:bCs/>
          <w:szCs w:val="28"/>
          <w:lang w:val="en-GB"/>
        </w:rPr>
        <w:t xml:space="preserve">ortable </w:t>
      </w:r>
      <w:r w:rsidR="00865CB0">
        <w:rPr>
          <w:bCs/>
          <w:szCs w:val="28"/>
          <w:lang w:val="en-GB"/>
        </w:rPr>
        <w:t>t</w:t>
      </w:r>
      <w:r w:rsidRPr="00212DDD">
        <w:rPr>
          <w:bCs/>
          <w:szCs w:val="28"/>
          <w:lang w:val="en-GB"/>
        </w:rPr>
        <w:t>anks carrying UN</w:t>
      </w:r>
      <w:r w:rsidR="00865CB0">
        <w:rPr>
          <w:bCs/>
          <w:szCs w:val="28"/>
          <w:lang w:val="en-GB"/>
        </w:rPr>
        <w:t> </w:t>
      </w:r>
      <w:r w:rsidRPr="00212DDD">
        <w:rPr>
          <w:bCs/>
          <w:szCs w:val="28"/>
          <w:lang w:val="en-GB"/>
        </w:rPr>
        <w:t>1789</w:t>
      </w:r>
    </w:p>
    <w:p w14:paraId="6F741F4A" w14:textId="62E45182" w:rsidR="00601011" w:rsidRPr="00212DDD" w:rsidRDefault="00791DF2" w:rsidP="009A37C4">
      <w:pPr>
        <w:pStyle w:val="SingleTxtG"/>
        <w:rPr>
          <w:lang w:val="en-GB"/>
        </w:rPr>
      </w:pPr>
      <w:r w:rsidRPr="00212DDD">
        <w:rPr>
          <w:color w:val="000000"/>
          <w:u w:color="000000"/>
          <w:bdr w:val="none" w:sz="0" w:space="0" w:color="auto" w:frame="1"/>
          <w:lang w:val="en-GB"/>
        </w:rPr>
        <w:t>7.</w:t>
      </w:r>
      <w:r w:rsidRPr="00212DDD">
        <w:rPr>
          <w:color w:val="000000"/>
          <w:u w:color="000000"/>
          <w:bdr w:val="none" w:sz="0" w:space="0" w:color="auto" w:frame="1"/>
          <w:lang w:val="en-GB"/>
        </w:rPr>
        <w:tab/>
      </w:r>
      <w:r w:rsidR="00601011" w:rsidRPr="00212DDD">
        <w:rPr>
          <w:lang w:val="en-GB"/>
        </w:rPr>
        <w:t>While IDGCA appears to consider an IBC and a portable tank containing UN</w:t>
      </w:r>
      <w:r w:rsidR="00865CB0">
        <w:rPr>
          <w:lang w:val="en-GB"/>
        </w:rPr>
        <w:t> </w:t>
      </w:r>
      <w:r w:rsidR="00601011" w:rsidRPr="00212DDD">
        <w:rPr>
          <w:lang w:val="en-GB"/>
        </w:rPr>
        <w:t>1789 as having the same degree of danger (hence their interest in making bottom opening restrictions comparable) this is not supported by the Guidelines where in Part 4B there is no similar bottom opening restriction for IBCs. We believe there may be several reasons for the difference of approach.</w:t>
      </w:r>
    </w:p>
    <w:p w14:paraId="62A342AC" w14:textId="28227F7C" w:rsidR="00601011" w:rsidRPr="00212DDD" w:rsidRDefault="009A37C4" w:rsidP="009A37C4">
      <w:pPr>
        <w:pStyle w:val="SingleTxtG"/>
        <w:rPr>
          <w:lang w:val="en-GB"/>
        </w:rPr>
      </w:pPr>
      <w:r w:rsidRPr="00212DDD">
        <w:rPr>
          <w:lang w:val="en-GB"/>
        </w:rPr>
        <w:t>8.</w:t>
      </w:r>
      <w:r w:rsidRPr="00212DDD">
        <w:rPr>
          <w:lang w:val="en-GB"/>
        </w:rPr>
        <w:tab/>
      </w:r>
      <w:r w:rsidR="00601011" w:rsidRPr="00212DDD">
        <w:rPr>
          <w:i/>
          <w:iCs/>
          <w:lang w:val="en-GB"/>
        </w:rPr>
        <w:t xml:space="preserve">Capacity </w:t>
      </w:r>
      <w:r w:rsidR="00601011" w:rsidRPr="00551851">
        <w:rPr>
          <w:i/>
          <w:iCs/>
          <w:lang w:val="en-GB"/>
        </w:rPr>
        <w:t>differences</w:t>
      </w:r>
      <w:r w:rsidR="00551851">
        <w:rPr>
          <w:i/>
          <w:iCs/>
          <w:lang w:val="en-GB"/>
        </w:rPr>
        <w:t>.</w:t>
      </w:r>
      <w:r w:rsidR="00551851">
        <w:rPr>
          <w:lang w:val="en-GB"/>
        </w:rPr>
        <w:t xml:space="preserve"> </w:t>
      </w:r>
      <w:r w:rsidR="00601011" w:rsidRPr="00212DDD">
        <w:rPr>
          <w:lang w:val="en-GB"/>
        </w:rPr>
        <w:t>The capacities of IBCs and portable tanks are significantly different so that a maximum possible release from an IBC is generally far less severe than a maximum release from a portable tank.</w:t>
      </w:r>
    </w:p>
    <w:p w14:paraId="70452038" w14:textId="68ED49A6" w:rsidR="00601011" w:rsidRPr="00212DDD" w:rsidRDefault="009A37C4" w:rsidP="009A37C4">
      <w:pPr>
        <w:pStyle w:val="SingleTxtG"/>
        <w:rPr>
          <w:lang w:val="en-GB"/>
        </w:rPr>
      </w:pPr>
      <w:r w:rsidRPr="00260D77">
        <w:rPr>
          <w:lang w:val="en-GB"/>
        </w:rPr>
        <w:t>9.</w:t>
      </w:r>
      <w:r w:rsidRPr="00212DDD">
        <w:rPr>
          <w:b/>
          <w:bCs/>
          <w:lang w:val="en-GB"/>
        </w:rPr>
        <w:tab/>
      </w:r>
      <w:r w:rsidR="00601011" w:rsidRPr="00212DDD">
        <w:rPr>
          <w:lang w:val="en-GB"/>
        </w:rPr>
        <w:t>Like other performance based packagings, IBC requirements prescribe capacity limits. IBCs are limited to a capacity of 3000 litr</w:t>
      </w:r>
      <w:r w:rsidR="007817DD">
        <w:rPr>
          <w:lang w:val="en-GB"/>
        </w:rPr>
        <w:t>e</w:t>
      </w:r>
      <w:r w:rsidR="00601011" w:rsidRPr="00212DDD">
        <w:rPr>
          <w:lang w:val="en-GB"/>
        </w:rPr>
        <w:t xml:space="preserve"> or less. In practice, most IBCs used in transport have a capacity of 1000 </w:t>
      </w:r>
      <w:r w:rsidR="007817DD" w:rsidRPr="00212DDD">
        <w:rPr>
          <w:lang w:val="en-GB"/>
        </w:rPr>
        <w:t>litre</w:t>
      </w:r>
      <w:r w:rsidR="00601011" w:rsidRPr="00212DDD">
        <w:rPr>
          <w:lang w:val="en-GB"/>
        </w:rPr>
        <w:t xml:space="preserve"> or less.</w:t>
      </w:r>
    </w:p>
    <w:p w14:paraId="2E601820" w14:textId="52779D67" w:rsidR="00601011" w:rsidRPr="00212DDD" w:rsidRDefault="009A37C4" w:rsidP="009A37C4">
      <w:pPr>
        <w:pStyle w:val="SingleTxtG"/>
        <w:rPr>
          <w:lang w:val="en-GB"/>
        </w:rPr>
      </w:pPr>
      <w:r w:rsidRPr="00212DDD">
        <w:rPr>
          <w:lang w:val="en-GB"/>
        </w:rPr>
        <w:t>10.</w:t>
      </w:r>
      <w:r w:rsidRPr="00212DDD">
        <w:rPr>
          <w:lang w:val="en-GB"/>
        </w:rPr>
        <w:tab/>
      </w:r>
      <w:r w:rsidR="00601011" w:rsidRPr="00212DDD">
        <w:rPr>
          <w:lang w:val="en-GB"/>
        </w:rPr>
        <w:t xml:space="preserve">There are no regulatory capacity limits for portable tanks. Intermodal portable tanks in a container frame – the most common configuration - are generally limited to approximately 26,000 </w:t>
      </w:r>
      <w:r w:rsidR="007817DD" w:rsidRPr="00212DDD">
        <w:rPr>
          <w:lang w:val="en-GB"/>
        </w:rPr>
        <w:t>litre</w:t>
      </w:r>
      <w:r w:rsidR="00601011" w:rsidRPr="00212DDD">
        <w:rPr>
          <w:lang w:val="en-GB"/>
        </w:rPr>
        <w:t xml:space="preserve"> capacity for practical reasons (i.e., fitting within a 20 foot ISO frame).</w:t>
      </w:r>
    </w:p>
    <w:p w14:paraId="52390F83" w14:textId="58047867" w:rsidR="00601011" w:rsidRPr="00212DDD" w:rsidRDefault="00D561AE" w:rsidP="00D561AE">
      <w:pPr>
        <w:pStyle w:val="SingleTxtG"/>
        <w:rPr>
          <w:lang w:val="en-GB"/>
        </w:rPr>
      </w:pPr>
      <w:r w:rsidRPr="00212DDD">
        <w:rPr>
          <w:lang w:val="en-GB"/>
        </w:rPr>
        <w:t>11.</w:t>
      </w:r>
      <w:r w:rsidRPr="00212DDD">
        <w:rPr>
          <w:lang w:val="en-GB"/>
        </w:rPr>
        <w:tab/>
      </w:r>
      <w:r w:rsidR="00601011" w:rsidRPr="00212DDD">
        <w:rPr>
          <w:lang w:val="en-GB"/>
        </w:rPr>
        <w:t>Given the capacity differences, it follows that a release from a bottom opening of a portable tank on a vessel could have far greater consequences than a similar event from an IBC.</w:t>
      </w:r>
    </w:p>
    <w:p w14:paraId="2BDFF789" w14:textId="66A79904" w:rsidR="00601011" w:rsidRPr="00212DDD" w:rsidRDefault="00D561AE" w:rsidP="00D561AE">
      <w:pPr>
        <w:pStyle w:val="SingleTxtG"/>
        <w:rPr>
          <w:lang w:val="en-GB"/>
        </w:rPr>
      </w:pPr>
      <w:r w:rsidRPr="00212DDD">
        <w:rPr>
          <w:lang w:val="en-GB"/>
        </w:rPr>
        <w:t>12.</w:t>
      </w:r>
      <w:r w:rsidRPr="00212DDD">
        <w:rPr>
          <w:lang w:val="en-GB"/>
        </w:rPr>
        <w:tab/>
      </w:r>
      <w:r w:rsidR="00601011" w:rsidRPr="00212DDD">
        <w:rPr>
          <w:i/>
          <w:iCs/>
          <w:lang w:val="en-GB"/>
        </w:rPr>
        <w:t xml:space="preserve">Operational practices. </w:t>
      </w:r>
      <w:r w:rsidR="00601011" w:rsidRPr="00212DDD">
        <w:rPr>
          <w:lang w:val="en-GB"/>
        </w:rPr>
        <w:t>Particularly when transported by vessel, IBCs are generally transported in closed freight containers so that they are afforded an added degree of protection in transport and handling in comparison to intermodal portable tanks. The added protection reduces the possibility of a release and reduces their impact should a release occur.</w:t>
      </w:r>
    </w:p>
    <w:p w14:paraId="7C2F88C2" w14:textId="345EA80B" w:rsidR="00601011" w:rsidRPr="00212DDD" w:rsidRDefault="00D561AE" w:rsidP="00D561AE">
      <w:pPr>
        <w:pStyle w:val="SingleTxtG"/>
        <w:rPr>
          <w:i/>
          <w:iCs/>
          <w:lang w:val="en-GB"/>
        </w:rPr>
      </w:pPr>
      <w:r w:rsidRPr="00212DDD">
        <w:rPr>
          <w:lang w:val="en-GB"/>
        </w:rPr>
        <w:t>13.</w:t>
      </w:r>
      <w:r w:rsidRPr="00212DDD">
        <w:rPr>
          <w:b/>
          <w:bCs/>
          <w:lang w:val="en-GB"/>
        </w:rPr>
        <w:tab/>
      </w:r>
      <w:r w:rsidR="00601011" w:rsidRPr="00212DDD">
        <w:rPr>
          <w:i/>
          <w:iCs/>
          <w:lang w:val="en-GB"/>
        </w:rPr>
        <w:t xml:space="preserve">Safety Record. </w:t>
      </w:r>
      <w:r w:rsidR="00601011" w:rsidRPr="00212DDD">
        <w:rPr>
          <w:lang w:val="en-GB"/>
        </w:rPr>
        <w:t>Review of US DOT incident data over a 10-year period (2013</w:t>
      </w:r>
      <w:r w:rsidR="001C06BA" w:rsidRPr="00212DDD">
        <w:rPr>
          <w:lang w:val="en-GB"/>
        </w:rPr>
        <w:t>-</w:t>
      </w:r>
      <w:r w:rsidR="00601011" w:rsidRPr="00212DDD">
        <w:rPr>
          <w:lang w:val="en-GB"/>
        </w:rPr>
        <w:t>2023) did not identify any significant dangerous goods releases from IBCs (there was one release of 10 gallons or less while loading) when transported by vessel (including loading, unloading and in transit). Considering that in the U</w:t>
      </w:r>
      <w:r w:rsidR="00A9574F">
        <w:rPr>
          <w:lang w:val="en-GB"/>
        </w:rPr>
        <w:t xml:space="preserve">nited </w:t>
      </w:r>
      <w:r w:rsidR="00601011" w:rsidRPr="00212DDD">
        <w:rPr>
          <w:lang w:val="en-GB"/>
        </w:rPr>
        <w:t>S</w:t>
      </w:r>
      <w:r w:rsidR="002F3455">
        <w:rPr>
          <w:lang w:val="en-GB"/>
        </w:rPr>
        <w:t>tates of America</w:t>
      </w:r>
      <w:r w:rsidR="00601011" w:rsidRPr="00212DDD">
        <w:rPr>
          <w:lang w:val="en-GB"/>
        </w:rPr>
        <w:t xml:space="preserve"> alone over 8 million new or reconditioned IBCs are placed on the market annually and that IBCs are widely used to transport dangerous goods by vessel, there is no indication the current IBC authorizations are inappropriate or in need of amendment.</w:t>
      </w:r>
    </w:p>
    <w:p w14:paraId="469E8338" w14:textId="77777777" w:rsidR="00601011" w:rsidRPr="00212DDD" w:rsidRDefault="00601011" w:rsidP="00601011">
      <w:pPr>
        <w:pStyle w:val="HChG"/>
        <w:rPr>
          <w:b w:val="0"/>
          <w:bCs/>
          <w:szCs w:val="28"/>
          <w:lang w:val="en-GB"/>
        </w:rPr>
      </w:pPr>
      <w:r w:rsidRPr="00212DDD">
        <w:rPr>
          <w:lang w:val="en-GB"/>
        </w:rPr>
        <w:tab/>
        <w:t>IV.</w:t>
      </w:r>
      <w:r w:rsidRPr="00212DDD">
        <w:rPr>
          <w:lang w:val="en-GB"/>
        </w:rPr>
        <w:tab/>
      </w:r>
      <w:r w:rsidRPr="00212DDD">
        <w:rPr>
          <w:bCs/>
          <w:szCs w:val="28"/>
          <w:lang w:val="en-GB"/>
        </w:rPr>
        <w:t>Recommendation</w:t>
      </w:r>
    </w:p>
    <w:p w14:paraId="60B3DD0B" w14:textId="61903688" w:rsidR="00A53982" w:rsidRPr="00212DDD" w:rsidRDefault="00D561AE" w:rsidP="00D561AE">
      <w:pPr>
        <w:pStyle w:val="SingleTxtG"/>
        <w:rPr>
          <w:lang w:val="en-GB"/>
        </w:rPr>
      </w:pPr>
      <w:r w:rsidRPr="00212DDD">
        <w:rPr>
          <w:lang w:val="en-GB"/>
        </w:rPr>
        <w:t>14.</w:t>
      </w:r>
      <w:r w:rsidRPr="00212DDD">
        <w:rPr>
          <w:lang w:val="en-GB"/>
        </w:rPr>
        <w:tab/>
      </w:r>
      <w:r w:rsidR="00601011" w:rsidRPr="00212DDD">
        <w:rPr>
          <w:lang w:val="en-GB"/>
        </w:rPr>
        <w:t>We find that arguing for use of bottom outlets for portable tanks transporting UN</w:t>
      </w:r>
      <w:r w:rsidR="002F3455">
        <w:rPr>
          <w:lang w:val="en-GB"/>
        </w:rPr>
        <w:t> </w:t>
      </w:r>
      <w:r w:rsidR="00601011" w:rsidRPr="00212DDD">
        <w:rPr>
          <w:lang w:val="en-GB"/>
        </w:rPr>
        <w:t>1789 on the basis of Model Regulations provisions for IBCs is without merit owing to wide differences in the dangers posed, particularly in the case of vessel transport. We would urge IDGCA to employ other argumentation if they are intent on obtaining authorization for use of portable tanks with bottom outlets for UN</w:t>
      </w:r>
      <w:r w:rsidR="00E675BF">
        <w:rPr>
          <w:lang w:val="en-GB"/>
        </w:rPr>
        <w:t> </w:t>
      </w:r>
      <w:r w:rsidR="00601011" w:rsidRPr="00212DDD">
        <w:rPr>
          <w:lang w:val="en-GB"/>
        </w:rPr>
        <w:t>1789.</w:t>
      </w:r>
    </w:p>
    <w:p w14:paraId="263BE5BD" w14:textId="16BB25B6" w:rsidR="008247E7" w:rsidRPr="004E2CEA" w:rsidRDefault="004E2CEA" w:rsidP="004E2CEA">
      <w:pPr>
        <w:spacing w:before="240"/>
        <w:jc w:val="center"/>
        <w:rPr>
          <w:u w:val="single"/>
        </w:rPr>
      </w:pPr>
      <w:r>
        <w:rPr>
          <w:u w:val="single"/>
        </w:rPr>
        <w:tab/>
      </w:r>
      <w:r>
        <w:rPr>
          <w:u w:val="single"/>
        </w:rPr>
        <w:tab/>
      </w:r>
      <w:r>
        <w:rPr>
          <w:u w:val="single"/>
        </w:rPr>
        <w:tab/>
      </w:r>
    </w:p>
    <w:sectPr w:rsidR="008247E7" w:rsidRPr="004E2CEA"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119A" w14:textId="77777777" w:rsidR="003F522A" w:rsidRDefault="003F522A"/>
  </w:endnote>
  <w:endnote w:type="continuationSeparator" w:id="0">
    <w:p w14:paraId="1D8DFA07" w14:textId="77777777" w:rsidR="003F522A" w:rsidRDefault="003F522A"/>
  </w:endnote>
  <w:endnote w:type="continuationNotice" w:id="1">
    <w:p w14:paraId="0A26A6FC" w14:textId="77777777" w:rsidR="003F522A" w:rsidRDefault="003F5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AF01" w14:textId="77777777" w:rsidR="003F522A" w:rsidRPr="000B175B" w:rsidRDefault="003F522A" w:rsidP="000B175B">
      <w:pPr>
        <w:tabs>
          <w:tab w:val="right" w:pos="2155"/>
        </w:tabs>
        <w:spacing w:after="80"/>
        <w:ind w:left="680"/>
        <w:rPr>
          <w:u w:val="single"/>
        </w:rPr>
      </w:pPr>
      <w:r>
        <w:rPr>
          <w:u w:val="single"/>
        </w:rPr>
        <w:tab/>
      </w:r>
    </w:p>
  </w:footnote>
  <w:footnote w:type="continuationSeparator" w:id="0">
    <w:p w14:paraId="746B163D" w14:textId="77777777" w:rsidR="003F522A" w:rsidRPr="00FC68B7" w:rsidRDefault="003F522A" w:rsidP="00FC68B7">
      <w:pPr>
        <w:tabs>
          <w:tab w:val="left" w:pos="2155"/>
        </w:tabs>
        <w:spacing w:after="80"/>
        <w:ind w:left="680"/>
        <w:rPr>
          <w:u w:val="single"/>
        </w:rPr>
      </w:pPr>
      <w:r>
        <w:rPr>
          <w:u w:val="single"/>
        </w:rPr>
        <w:tab/>
      </w:r>
    </w:p>
  </w:footnote>
  <w:footnote w:type="continuationNotice" w:id="1">
    <w:p w14:paraId="1C62E073" w14:textId="77777777" w:rsidR="003F522A" w:rsidRDefault="003F5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0B1416F4" w:rsidR="00090CBF" w:rsidRPr="00B5392B" w:rsidRDefault="00090CBF">
    <w:pPr>
      <w:pStyle w:val="Header"/>
      <w:rPr>
        <w:lang w:val="nl-NL"/>
      </w:rPr>
    </w:pPr>
    <w:r w:rsidRPr="00340E2C">
      <w:rPr>
        <w:lang w:val="nl-NL"/>
      </w:rPr>
      <w:t>UN/SCETDG/</w:t>
    </w:r>
    <w:r w:rsidR="00DA5E24">
      <w:rPr>
        <w:lang w:val="nl-NL"/>
      </w:rPr>
      <w:t>62</w:t>
    </w:r>
    <w:r w:rsidRPr="00340E2C">
      <w:rPr>
        <w:lang w:val="nl-NL"/>
      </w:rPr>
      <w:t>/INF.</w:t>
    </w:r>
    <w:r w:rsidR="008247E7">
      <w:rPr>
        <w:lang w:val="nl-NL"/>
      </w:rPr>
      <w:t>2</w:t>
    </w:r>
    <w:r w:rsidR="003D5B2B">
      <w:rPr>
        <w:lang w:val="nl-NL"/>
      </w:rPr>
      <w:t>1</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07C51A0"/>
    <w:multiLevelType w:val="hybridMultilevel"/>
    <w:tmpl w:val="6C963930"/>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69279879">
    <w:abstractNumId w:val="1"/>
  </w:num>
  <w:num w:numId="2" w16cid:durableId="721177721">
    <w:abstractNumId w:val="0"/>
  </w:num>
  <w:num w:numId="3" w16cid:durableId="1610356255">
    <w:abstractNumId w:val="2"/>
  </w:num>
  <w:num w:numId="4" w16cid:durableId="1351222389">
    <w:abstractNumId w:val="3"/>
  </w:num>
  <w:num w:numId="5" w16cid:durableId="2084254567">
    <w:abstractNumId w:val="8"/>
  </w:num>
  <w:num w:numId="6" w16cid:durableId="2019774974">
    <w:abstractNumId w:val="9"/>
  </w:num>
  <w:num w:numId="7" w16cid:durableId="1413619823">
    <w:abstractNumId w:val="7"/>
  </w:num>
  <w:num w:numId="8" w16cid:durableId="1670786887">
    <w:abstractNumId w:val="6"/>
  </w:num>
  <w:num w:numId="9" w16cid:durableId="1096973661">
    <w:abstractNumId w:val="5"/>
  </w:num>
  <w:num w:numId="10" w16cid:durableId="905608947">
    <w:abstractNumId w:val="4"/>
  </w:num>
  <w:num w:numId="11" w16cid:durableId="528876500">
    <w:abstractNumId w:val="27"/>
  </w:num>
  <w:num w:numId="12" w16cid:durableId="1462839632">
    <w:abstractNumId w:val="14"/>
  </w:num>
  <w:num w:numId="13" w16cid:durableId="600256643">
    <w:abstractNumId w:val="12"/>
  </w:num>
  <w:num w:numId="14" w16cid:durableId="1761636258">
    <w:abstractNumId w:val="28"/>
  </w:num>
  <w:num w:numId="15" w16cid:durableId="744491322">
    <w:abstractNumId w:val="32"/>
  </w:num>
  <w:num w:numId="16" w16cid:durableId="117384956">
    <w:abstractNumId w:val="16"/>
  </w:num>
  <w:num w:numId="17" w16cid:durableId="1734963880">
    <w:abstractNumId w:val="10"/>
  </w:num>
  <w:num w:numId="18" w16cid:durableId="1642033409">
    <w:abstractNumId w:val="33"/>
  </w:num>
  <w:num w:numId="19" w16cid:durableId="1999726598">
    <w:abstractNumId w:val="31"/>
  </w:num>
  <w:num w:numId="20" w16cid:durableId="797989950">
    <w:abstractNumId w:val="11"/>
  </w:num>
  <w:num w:numId="21" w16cid:durableId="237445280">
    <w:abstractNumId w:val="29"/>
  </w:num>
  <w:num w:numId="22" w16cid:durableId="1266615745">
    <w:abstractNumId w:val="13"/>
  </w:num>
  <w:num w:numId="23" w16cid:durableId="1271204134">
    <w:abstractNumId w:val="30"/>
  </w:num>
  <w:num w:numId="24" w16cid:durableId="1445348531">
    <w:abstractNumId w:val="25"/>
  </w:num>
  <w:num w:numId="25" w16cid:durableId="519047244">
    <w:abstractNumId w:val="17"/>
  </w:num>
  <w:num w:numId="26" w16cid:durableId="1109930419">
    <w:abstractNumId w:val="18"/>
  </w:num>
  <w:num w:numId="27" w16cid:durableId="159666372">
    <w:abstractNumId w:val="22"/>
  </w:num>
  <w:num w:numId="28" w16cid:durableId="97021329">
    <w:abstractNumId w:val="20"/>
  </w:num>
  <w:num w:numId="29" w16cid:durableId="13241668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39351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2677930">
    <w:abstractNumId w:val="21"/>
  </w:num>
  <w:num w:numId="32" w16cid:durableId="1790008592">
    <w:abstractNumId w:val="19"/>
  </w:num>
  <w:num w:numId="33" w16cid:durableId="198737484">
    <w:abstractNumId w:val="15"/>
  </w:num>
  <w:num w:numId="34" w16cid:durableId="1157184544">
    <w:abstractNumId w:val="24"/>
  </w:num>
  <w:num w:numId="35" w16cid:durableId="1918392171">
    <w:abstractNumId w:val="26"/>
  </w:num>
  <w:num w:numId="36" w16cid:durableId="20535310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3CDF"/>
    <w:rsid w:val="00017D24"/>
    <w:rsid w:val="000216CC"/>
    <w:rsid w:val="00027163"/>
    <w:rsid w:val="000277D3"/>
    <w:rsid w:val="00033414"/>
    <w:rsid w:val="0003375D"/>
    <w:rsid w:val="00043180"/>
    <w:rsid w:val="000504CE"/>
    <w:rsid w:val="00050922"/>
    <w:rsid w:val="00050F6B"/>
    <w:rsid w:val="00053492"/>
    <w:rsid w:val="000556F5"/>
    <w:rsid w:val="0005710C"/>
    <w:rsid w:val="00064402"/>
    <w:rsid w:val="00064950"/>
    <w:rsid w:val="00067E6D"/>
    <w:rsid w:val="00072C03"/>
    <w:rsid w:val="00072C8C"/>
    <w:rsid w:val="00073129"/>
    <w:rsid w:val="00075184"/>
    <w:rsid w:val="00075F99"/>
    <w:rsid w:val="00076A0A"/>
    <w:rsid w:val="00081F6F"/>
    <w:rsid w:val="00082CE1"/>
    <w:rsid w:val="00083598"/>
    <w:rsid w:val="00084632"/>
    <w:rsid w:val="00087152"/>
    <w:rsid w:val="00090CBF"/>
    <w:rsid w:val="00091046"/>
    <w:rsid w:val="00091419"/>
    <w:rsid w:val="00091CB3"/>
    <w:rsid w:val="000931C0"/>
    <w:rsid w:val="000A2236"/>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949"/>
    <w:rsid w:val="00121EB7"/>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5229"/>
    <w:rsid w:val="001A02A4"/>
    <w:rsid w:val="001A7113"/>
    <w:rsid w:val="001B35EE"/>
    <w:rsid w:val="001B4B04"/>
    <w:rsid w:val="001B6B72"/>
    <w:rsid w:val="001B7A75"/>
    <w:rsid w:val="001C06BA"/>
    <w:rsid w:val="001C1CFF"/>
    <w:rsid w:val="001C429D"/>
    <w:rsid w:val="001C6663"/>
    <w:rsid w:val="001C7895"/>
    <w:rsid w:val="001D26DF"/>
    <w:rsid w:val="001D2B6E"/>
    <w:rsid w:val="001D2FDC"/>
    <w:rsid w:val="001D3123"/>
    <w:rsid w:val="001D3A88"/>
    <w:rsid w:val="001D49F7"/>
    <w:rsid w:val="001D4B2D"/>
    <w:rsid w:val="001D4E70"/>
    <w:rsid w:val="001D678A"/>
    <w:rsid w:val="001E797C"/>
    <w:rsid w:val="00205D69"/>
    <w:rsid w:val="002062DE"/>
    <w:rsid w:val="00211B12"/>
    <w:rsid w:val="00211E0B"/>
    <w:rsid w:val="00212DDD"/>
    <w:rsid w:val="0021481D"/>
    <w:rsid w:val="00221589"/>
    <w:rsid w:val="00221AC2"/>
    <w:rsid w:val="00224CA2"/>
    <w:rsid w:val="00224CD9"/>
    <w:rsid w:val="00225558"/>
    <w:rsid w:val="002255B5"/>
    <w:rsid w:val="002309A7"/>
    <w:rsid w:val="0023231C"/>
    <w:rsid w:val="00235381"/>
    <w:rsid w:val="00237785"/>
    <w:rsid w:val="00241178"/>
    <w:rsid w:val="00241466"/>
    <w:rsid w:val="002440E7"/>
    <w:rsid w:val="00244C52"/>
    <w:rsid w:val="00247570"/>
    <w:rsid w:val="00250078"/>
    <w:rsid w:val="00257C1E"/>
    <w:rsid w:val="00260D77"/>
    <w:rsid w:val="00261B71"/>
    <w:rsid w:val="002621F5"/>
    <w:rsid w:val="002622A9"/>
    <w:rsid w:val="002702F1"/>
    <w:rsid w:val="002708B5"/>
    <w:rsid w:val="002725CA"/>
    <w:rsid w:val="00273A92"/>
    <w:rsid w:val="00277896"/>
    <w:rsid w:val="00280EB7"/>
    <w:rsid w:val="00284E1C"/>
    <w:rsid w:val="002905C1"/>
    <w:rsid w:val="00291B15"/>
    <w:rsid w:val="00295C28"/>
    <w:rsid w:val="002976CF"/>
    <w:rsid w:val="002A0BD2"/>
    <w:rsid w:val="002A5B17"/>
    <w:rsid w:val="002B067A"/>
    <w:rsid w:val="002B1514"/>
    <w:rsid w:val="002B1CDA"/>
    <w:rsid w:val="002C7F25"/>
    <w:rsid w:val="002D44DB"/>
    <w:rsid w:val="002D5A85"/>
    <w:rsid w:val="002D5C7D"/>
    <w:rsid w:val="002E35BB"/>
    <w:rsid w:val="002F3455"/>
    <w:rsid w:val="002F68FD"/>
    <w:rsid w:val="00305083"/>
    <w:rsid w:val="003107FA"/>
    <w:rsid w:val="00310F0B"/>
    <w:rsid w:val="00313AC2"/>
    <w:rsid w:val="00313B8C"/>
    <w:rsid w:val="00315D73"/>
    <w:rsid w:val="00316FF9"/>
    <w:rsid w:val="003173F6"/>
    <w:rsid w:val="00321716"/>
    <w:rsid w:val="003229D8"/>
    <w:rsid w:val="003244D9"/>
    <w:rsid w:val="003256BD"/>
    <w:rsid w:val="00327D0A"/>
    <w:rsid w:val="00337A32"/>
    <w:rsid w:val="00340E2C"/>
    <w:rsid w:val="003517C3"/>
    <w:rsid w:val="00354647"/>
    <w:rsid w:val="00355502"/>
    <w:rsid w:val="00356BC7"/>
    <w:rsid w:val="00357A20"/>
    <w:rsid w:val="00365AA6"/>
    <w:rsid w:val="003675C9"/>
    <w:rsid w:val="00372F06"/>
    <w:rsid w:val="00391647"/>
    <w:rsid w:val="00391A13"/>
    <w:rsid w:val="0039260F"/>
    <w:rsid w:val="0039277A"/>
    <w:rsid w:val="00393B99"/>
    <w:rsid w:val="00396F6A"/>
    <w:rsid w:val="003972E0"/>
    <w:rsid w:val="003A1EC2"/>
    <w:rsid w:val="003A4553"/>
    <w:rsid w:val="003A52D7"/>
    <w:rsid w:val="003A5A16"/>
    <w:rsid w:val="003B0C98"/>
    <w:rsid w:val="003C0657"/>
    <w:rsid w:val="003C18C9"/>
    <w:rsid w:val="003C2CC4"/>
    <w:rsid w:val="003C655D"/>
    <w:rsid w:val="003D23B5"/>
    <w:rsid w:val="003D293B"/>
    <w:rsid w:val="003D4B23"/>
    <w:rsid w:val="003D5B2B"/>
    <w:rsid w:val="003F23A4"/>
    <w:rsid w:val="003F522A"/>
    <w:rsid w:val="003F54D8"/>
    <w:rsid w:val="003F5B52"/>
    <w:rsid w:val="00400408"/>
    <w:rsid w:val="004021B7"/>
    <w:rsid w:val="00403EC6"/>
    <w:rsid w:val="00406A80"/>
    <w:rsid w:val="00406CD4"/>
    <w:rsid w:val="004108CE"/>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A52F4"/>
    <w:rsid w:val="004B25F8"/>
    <w:rsid w:val="004B2C9D"/>
    <w:rsid w:val="004B5939"/>
    <w:rsid w:val="004B6C6F"/>
    <w:rsid w:val="004B73D6"/>
    <w:rsid w:val="004C39D0"/>
    <w:rsid w:val="004C4F1A"/>
    <w:rsid w:val="004C6D6D"/>
    <w:rsid w:val="004D6793"/>
    <w:rsid w:val="004E0C5D"/>
    <w:rsid w:val="004E2CEA"/>
    <w:rsid w:val="004F12B6"/>
    <w:rsid w:val="004F4240"/>
    <w:rsid w:val="004F6D33"/>
    <w:rsid w:val="004F6DF4"/>
    <w:rsid w:val="004F77CD"/>
    <w:rsid w:val="0050042A"/>
    <w:rsid w:val="00504855"/>
    <w:rsid w:val="00507C7E"/>
    <w:rsid w:val="00507CF1"/>
    <w:rsid w:val="00522177"/>
    <w:rsid w:val="00526AFD"/>
    <w:rsid w:val="00527910"/>
    <w:rsid w:val="005318BF"/>
    <w:rsid w:val="005420F2"/>
    <w:rsid w:val="00542505"/>
    <w:rsid w:val="005434D7"/>
    <w:rsid w:val="005470EF"/>
    <w:rsid w:val="005475D4"/>
    <w:rsid w:val="00551851"/>
    <w:rsid w:val="00552CEE"/>
    <w:rsid w:val="00555CDB"/>
    <w:rsid w:val="00555FEA"/>
    <w:rsid w:val="00561B6D"/>
    <w:rsid w:val="00562D45"/>
    <w:rsid w:val="0056615B"/>
    <w:rsid w:val="00567DFB"/>
    <w:rsid w:val="00571DAA"/>
    <w:rsid w:val="00572049"/>
    <w:rsid w:val="0058129D"/>
    <w:rsid w:val="00586754"/>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31A1"/>
    <w:rsid w:val="006256BA"/>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3F5D"/>
    <w:rsid w:val="006870AE"/>
    <w:rsid w:val="00690465"/>
    <w:rsid w:val="00690CD6"/>
    <w:rsid w:val="006A098A"/>
    <w:rsid w:val="006A32EE"/>
    <w:rsid w:val="006A3932"/>
    <w:rsid w:val="006A3B0A"/>
    <w:rsid w:val="006A53DC"/>
    <w:rsid w:val="006A63E3"/>
    <w:rsid w:val="006A7392"/>
    <w:rsid w:val="006B1148"/>
    <w:rsid w:val="006B1C55"/>
    <w:rsid w:val="006B5782"/>
    <w:rsid w:val="006C0D34"/>
    <w:rsid w:val="006C251B"/>
    <w:rsid w:val="006C2F7E"/>
    <w:rsid w:val="006D3560"/>
    <w:rsid w:val="006E3B65"/>
    <w:rsid w:val="006E4E78"/>
    <w:rsid w:val="006E564B"/>
    <w:rsid w:val="007025C0"/>
    <w:rsid w:val="00707F04"/>
    <w:rsid w:val="00711637"/>
    <w:rsid w:val="00714F4F"/>
    <w:rsid w:val="0071611E"/>
    <w:rsid w:val="0072632A"/>
    <w:rsid w:val="00734F20"/>
    <w:rsid w:val="00736E6A"/>
    <w:rsid w:val="007411E2"/>
    <w:rsid w:val="00741F59"/>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7DD"/>
    <w:rsid w:val="00781B57"/>
    <w:rsid w:val="00784705"/>
    <w:rsid w:val="00786434"/>
    <w:rsid w:val="00790791"/>
    <w:rsid w:val="00791DF2"/>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9F7"/>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789"/>
    <w:rsid w:val="0086107D"/>
    <w:rsid w:val="00864251"/>
    <w:rsid w:val="00865CB0"/>
    <w:rsid w:val="00871FD5"/>
    <w:rsid w:val="00881213"/>
    <w:rsid w:val="008830CC"/>
    <w:rsid w:val="00892591"/>
    <w:rsid w:val="008979B1"/>
    <w:rsid w:val="008A0B75"/>
    <w:rsid w:val="008A1542"/>
    <w:rsid w:val="008A490A"/>
    <w:rsid w:val="008A6B25"/>
    <w:rsid w:val="008A6C4F"/>
    <w:rsid w:val="008A7679"/>
    <w:rsid w:val="008A7AB3"/>
    <w:rsid w:val="008A7E0F"/>
    <w:rsid w:val="008B65FB"/>
    <w:rsid w:val="008C0C59"/>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23019"/>
    <w:rsid w:val="00924B63"/>
    <w:rsid w:val="00930BAE"/>
    <w:rsid w:val="0093487F"/>
    <w:rsid w:val="009363B6"/>
    <w:rsid w:val="00940F46"/>
    <w:rsid w:val="00941B71"/>
    <w:rsid w:val="00941ECC"/>
    <w:rsid w:val="00941FFD"/>
    <w:rsid w:val="00945A5D"/>
    <w:rsid w:val="00946A0D"/>
    <w:rsid w:val="00955109"/>
    <w:rsid w:val="00956AD7"/>
    <w:rsid w:val="00961262"/>
    <w:rsid w:val="00963B67"/>
    <w:rsid w:val="00963CBA"/>
    <w:rsid w:val="00964682"/>
    <w:rsid w:val="009701ED"/>
    <w:rsid w:val="00972A01"/>
    <w:rsid w:val="00980725"/>
    <w:rsid w:val="00980BD7"/>
    <w:rsid w:val="00984471"/>
    <w:rsid w:val="00985F37"/>
    <w:rsid w:val="009879EA"/>
    <w:rsid w:val="009908A5"/>
    <w:rsid w:val="0099124E"/>
    <w:rsid w:val="00991261"/>
    <w:rsid w:val="00991CC2"/>
    <w:rsid w:val="009951B5"/>
    <w:rsid w:val="009953D5"/>
    <w:rsid w:val="009A1D29"/>
    <w:rsid w:val="009A37C4"/>
    <w:rsid w:val="009C4E88"/>
    <w:rsid w:val="009C5690"/>
    <w:rsid w:val="009C6394"/>
    <w:rsid w:val="009D0E2A"/>
    <w:rsid w:val="009D0F0E"/>
    <w:rsid w:val="009D1AAE"/>
    <w:rsid w:val="009D634E"/>
    <w:rsid w:val="009E1560"/>
    <w:rsid w:val="009F0F06"/>
    <w:rsid w:val="009F1220"/>
    <w:rsid w:val="009F28BC"/>
    <w:rsid w:val="009F4FC5"/>
    <w:rsid w:val="009F621A"/>
    <w:rsid w:val="00A0152E"/>
    <w:rsid w:val="00A12B58"/>
    <w:rsid w:val="00A1427D"/>
    <w:rsid w:val="00A235F1"/>
    <w:rsid w:val="00A23F62"/>
    <w:rsid w:val="00A2460E"/>
    <w:rsid w:val="00A34B00"/>
    <w:rsid w:val="00A3777A"/>
    <w:rsid w:val="00A378DF"/>
    <w:rsid w:val="00A434C0"/>
    <w:rsid w:val="00A44269"/>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EC9"/>
    <w:rsid w:val="00A810D4"/>
    <w:rsid w:val="00A83451"/>
    <w:rsid w:val="00A83538"/>
    <w:rsid w:val="00A8523D"/>
    <w:rsid w:val="00A864F0"/>
    <w:rsid w:val="00A879A4"/>
    <w:rsid w:val="00A9574F"/>
    <w:rsid w:val="00AA0894"/>
    <w:rsid w:val="00AA1D9A"/>
    <w:rsid w:val="00AA32EB"/>
    <w:rsid w:val="00AA3A57"/>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1C4C"/>
    <w:rsid w:val="00B1501F"/>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76D32"/>
    <w:rsid w:val="00B81E12"/>
    <w:rsid w:val="00B829E9"/>
    <w:rsid w:val="00B84AAC"/>
    <w:rsid w:val="00B877E1"/>
    <w:rsid w:val="00B90F54"/>
    <w:rsid w:val="00B91CC3"/>
    <w:rsid w:val="00B92A0C"/>
    <w:rsid w:val="00B93068"/>
    <w:rsid w:val="00BB176D"/>
    <w:rsid w:val="00BB3B28"/>
    <w:rsid w:val="00BC74E9"/>
    <w:rsid w:val="00BD2077"/>
    <w:rsid w:val="00BE1FF8"/>
    <w:rsid w:val="00BE382C"/>
    <w:rsid w:val="00BE50CA"/>
    <w:rsid w:val="00BE618E"/>
    <w:rsid w:val="00BF16FB"/>
    <w:rsid w:val="00C0263F"/>
    <w:rsid w:val="00C03B44"/>
    <w:rsid w:val="00C05987"/>
    <w:rsid w:val="00C13A85"/>
    <w:rsid w:val="00C17563"/>
    <w:rsid w:val="00C218A4"/>
    <w:rsid w:val="00C31519"/>
    <w:rsid w:val="00C36D37"/>
    <w:rsid w:val="00C415CF"/>
    <w:rsid w:val="00C463DD"/>
    <w:rsid w:val="00C46D5B"/>
    <w:rsid w:val="00C537D5"/>
    <w:rsid w:val="00C62F76"/>
    <w:rsid w:val="00C64B12"/>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5F88"/>
    <w:rsid w:val="00CF65AA"/>
    <w:rsid w:val="00CF6F32"/>
    <w:rsid w:val="00CF778D"/>
    <w:rsid w:val="00D0631B"/>
    <w:rsid w:val="00D06C3A"/>
    <w:rsid w:val="00D164BA"/>
    <w:rsid w:val="00D16C2F"/>
    <w:rsid w:val="00D2031B"/>
    <w:rsid w:val="00D25E8C"/>
    <w:rsid w:val="00D25FE2"/>
    <w:rsid w:val="00D27E89"/>
    <w:rsid w:val="00D30E35"/>
    <w:rsid w:val="00D37E80"/>
    <w:rsid w:val="00D40730"/>
    <w:rsid w:val="00D43252"/>
    <w:rsid w:val="00D46231"/>
    <w:rsid w:val="00D477C4"/>
    <w:rsid w:val="00D50DF8"/>
    <w:rsid w:val="00D5409C"/>
    <w:rsid w:val="00D553D5"/>
    <w:rsid w:val="00D561AE"/>
    <w:rsid w:val="00D57C13"/>
    <w:rsid w:val="00D57FD9"/>
    <w:rsid w:val="00D610C1"/>
    <w:rsid w:val="00D6123A"/>
    <w:rsid w:val="00D658FA"/>
    <w:rsid w:val="00D730E3"/>
    <w:rsid w:val="00D73803"/>
    <w:rsid w:val="00D753D8"/>
    <w:rsid w:val="00D80B70"/>
    <w:rsid w:val="00D8588A"/>
    <w:rsid w:val="00D9274F"/>
    <w:rsid w:val="00D92BE0"/>
    <w:rsid w:val="00D96248"/>
    <w:rsid w:val="00D96CC5"/>
    <w:rsid w:val="00D978C6"/>
    <w:rsid w:val="00D97B77"/>
    <w:rsid w:val="00DA5E24"/>
    <w:rsid w:val="00DA6620"/>
    <w:rsid w:val="00DA67AD"/>
    <w:rsid w:val="00DA7D8F"/>
    <w:rsid w:val="00DB39FA"/>
    <w:rsid w:val="00DD08F3"/>
    <w:rsid w:val="00DD0FA3"/>
    <w:rsid w:val="00DD1E65"/>
    <w:rsid w:val="00DD42A0"/>
    <w:rsid w:val="00DD725C"/>
    <w:rsid w:val="00DE236F"/>
    <w:rsid w:val="00DE3ECB"/>
    <w:rsid w:val="00DE41F2"/>
    <w:rsid w:val="00DE4785"/>
    <w:rsid w:val="00DE7267"/>
    <w:rsid w:val="00DF0A4D"/>
    <w:rsid w:val="00DF3039"/>
    <w:rsid w:val="00DF3A04"/>
    <w:rsid w:val="00DF4518"/>
    <w:rsid w:val="00DF69A6"/>
    <w:rsid w:val="00E130AB"/>
    <w:rsid w:val="00E15F93"/>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13A"/>
    <w:rsid w:val="00E675BF"/>
    <w:rsid w:val="00E7260F"/>
    <w:rsid w:val="00E730D8"/>
    <w:rsid w:val="00E7431E"/>
    <w:rsid w:val="00E7565E"/>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02A"/>
    <w:rsid w:val="00EB71BA"/>
    <w:rsid w:val="00EB798F"/>
    <w:rsid w:val="00EC14E9"/>
    <w:rsid w:val="00EC1F27"/>
    <w:rsid w:val="00EC271A"/>
    <w:rsid w:val="00EC526C"/>
    <w:rsid w:val="00EC6BFD"/>
    <w:rsid w:val="00EC755A"/>
    <w:rsid w:val="00ED1FC7"/>
    <w:rsid w:val="00ED3508"/>
    <w:rsid w:val="00ED3F6F"/>
    <w:rsid w:val="00ED769C"/>
    <w:rsid w:val="00ED7A2A"/>
    <w:rsid w:val="00ED7B73"/>
    <w:rsid w:val="00EE2966"/>
    <w:rsid w:val="00EE4D59"/>
    <w:rsid w:val="00EE73C3"/>
    <w:rsid w:val="00EE7C26"/>
    <w:rsid w:val="00EF1D7F"/>
    <w:rsid w:val="00EF4AAC"/>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834"/>
    <w:rsid w:val="00F22D71"/>
    <w:rsid w:val="00F257D1"/>
    <w:rsid w:val="00F30A8A"/>
    <w:rsid w:val="00F34267"/>
    <w:rsid w:val="00F3574D"/>
    <w:rsid w:val="00F358E6"/>
    <w:rsid w:val="00F40295"/>
    <w:rsid w:val="00F40E75"/>
    <w:rsid w:val="00F412D3"/>
    <w:rsid w:val="00F41540"/>
    <w:rsid w:val="00F444E3"/>
    <w:rsid w:val="00F5087E"/>
    <w:rsid w:val="00F510D1"/>
    <w:rsid w:val="00F51BAB"/>
    <w:rsid w:val="00F535BE"/>
    <w:rsid w:val="00F54674"/>
    <w:rsid w:val="00F56336"/>
    <w:rsid w:val="00F5743B"/>
    <w:rsid w:val="00F57685"/>
    <w:rsid w:val="00F64C95"/>
    <w:rsid w:val="00F75E96"/>
    <w:rsid w:val="00F768DC"/>
    <w:rsid w:val="00F87B50"/>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2E92"/>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72</TotalTime>
  <Pages>2</Pages>
  <Words>827</Words>
  <Characters>4715</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54</cp:revision>
  <cp:lastPrinted>2020-09-24T07:01:00Z</cp:lastPrinted>
  <dcterms:created xsi:type="dcterms:W3CDTF">2023-06-20T11:47:00Z</dcterms:created>
  <dcterms:modified xsi:type="dcterms:W3CDTF">2023-06-20T13:12:00Z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