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3F2E31" w14:textId="77777777" w:rsidTr="00387CD4">
        <w:trPr>
          <w:trHeight w:hRule="exact" w:val="851"/>
        </w:trPr>
        <w:tc>
          <w:tcPr>
            <w:tcW w:w="142" w:type="dxa"/>
            <w:tcBorders>
              <w:bottom w:val="single" w:sz="4" w:space="0" w:color="auto"/>
            </w:tcBorders>
          </w:tcPr>
          <w:p w14:paraId="1555D4F5" w14:textId="77777777" w:rsidR="002D5AAC" w:rsidRDefault="002D5AAC" w:rsidP="009417B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8D77AF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D9640C3" w14:textId="7A4F77C6" w:rsidR="002D5AAC" w:rsidRDefault="009417B7" w:rsidP="009417B7">
            <w:pPr>
              <w:jc w:val="right"/>
            </w:pPr>
            <w:r w:rsidRPr="009417B7">
              <w:rPr>
                <w:sz w:val="40"/>
              </w:rPr>
              <w:t>ECE</w:t>
            </w:r>
            <w:r>
              <w:t>/TRANS/WP.15/AC.2/2023/31</w:t>
            </w:r>
          </w:p>
        </w:tc>
      </w:tr>
      <w:tr w:rsidR="002D5AAC" w14:paraId="57111C20" w14:textId="77777777" w:rsidTr="00387CD4">
        <w:trPr>
          <w:trHeight w:hRule="exact" w:val="2835"/>
        </w:trPr>
        <w:tc>
          <w:tcPr>
            <w:tcW w:w="1280" w:type="dxa"/>
            <w:gridSpan w:val="2"/>
            <w:tcBorders>
              <w:top w:val="single" w:sz="4" w:space="0" w:color="auto"/>
              <w:bottom w:val="single" w:sz="12" w:space="0" w:color="auto"/>
            </w:tcBorders>
          </w:tcPr>
          <w:p w14:paraId="1ADBCDDE" w14:textId="77777777" w:rsidR="002D5AAC" w:rsidRDefault="002E5067" w:rsidP="00387CD4">
            <w:pPr>
              <w:spacing w:before="120"/>
              <w:jc w:val="center"/>
            </w:pPr>
            <w:r>
              <w:rPr>
                <w:noProof/>
                <w:lang w:val="fr-CH" w:eastAsia="fr-CH"/>
              </w:rPr>
              <w:drawing>
                <wp:inline distT="0" distB="0" distL="0" distR="0" wp14:anchorId="1F200255" wp14:editId="2A0643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757C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3A8540" w14:textId="77777777" w:rsidR="002D5AAC" w:rsidRDefault="009417B7" w:rsidP="00387CD4">
            <w:pPr>
              <w:spacing w:before="240"/>
              <w:rPr>
                <w:lang w:val="en-US"/>
              </w:rPr>
            </w:pPr>
            <w:r>
              <w:rPr>
                <w:lang w:val="en-US"/>
              </w:rPr>
              <w:t>Distr.: General</w:t>
            </w:r>
          </w:p>
          <w:p w14:paraId="46676CEF" w14:textId="77777777" w:rsidR="009417B7" w:rsidRDefault="009417B7" w:rsidP="009417B7">
            <w:pPr>
              <w:spacing w:line="240" w:lineRule="exact"/>
              <w:rPr>
                <w:lang w:val="en-US"/>
              </w:rPr>
            </w:pPr>
            <w:r>
              <w:rPr>
                <w:lang w:val="en-US"/>
              </w:rPr>
              <w:t>19 May 2023</w:t>
            </w:r>
          </w:p>
          <w:p w14:paraId="39066483" w14:textId="77777777" w:rsidR="009417B7" w:rsidRDefault="009417B7" w:rsidP="009417B7">
            <w:pPr>
              <w:spacing w:line="240" w:lineRule="exact"/>
              <w:rPr>
                <w:lang w:val="en-US"/>
              </w:rPr>
            </w:pPr>
            <w:r>
              <w:rPr>
                <w:lang w:val="en-US"/>
              </w:rPr>
              <w:t>Russian</w:t>
            </w:r>
          </w:p>
          <w:p w14:paraId="1F3F3641" w14:textId="5F979C91" w:rsidR="009417B7" w:rsidRPr="008D53B6" w:rsidRDefault="009417B7" w:rsidP="009417B7">
            <w:pPr>
              <w:spacing w:line="240" w:lineRule="exact"/>
              <w:rPr>
                <w:lang w:val="en-US"/>
              </w:rPr>
            </w:pPr>
            <w:r>
              <w:rPr>
                <w:lang w:val="en-US"/>
              </w:rPr>
              <w:t>Original: French</w:t>
            </w:r>
          </w:p>
        </w:tc>
      </w:tr>
    </w:tbl>
    <w:p w14:paraId="4670E08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AD79BE0" w14:textId="77777777" w:rsidR="009417B7" w:rsidRPr="009417B7" w:rsidRDefault="009417B7" w:rsidP="009417B7">
      <w:pPr>
        <w:spacing w:before="120"/>
        <w:rPr>
          <w:sz w:val="28"/>
          <w:szCs w:val="28"/>
        </w:rPr>
      </w:pPr>
      <w:r w:rsidRPr="009417B7">
        <w:rPr>
          <w:sz w:val="28"/>
          <w:szCs w:val="28"/>
        </w:rPr>
        <w:t>Комитет по внутреннему транспорту</w:t>
      </w:r>
    </w:p>
    <w:p w14:paraId="2C83A755" w14:textId="77777777" w:rsidR="009417B7" w:rsidRPr="009417B7" w:rsidRDefault="009417B7" w:rsidP="009417B7">
      <w:pPr>
        <w:spacing w:before="120"/>
        <w:rPr>
          <w:b/>
          <w:sz w:val="24"/>
          <w:szCs w:val="24"/>
        </w:rPr>
      </w:pPr>
      <w:r w:rsidRPr="009417B7">
        <w:rPr>
          <w:b/>
          <w:bCs/>
          <w:sz w:val="24"/>
          <w:szCs w:val="24"/>
        </w:rPr>
        <w:t>Рабочая группа по перевозкам опасных грузов</w:t>
      </w:r>
    </w:p>
    <w:p w14:paraId="51B7423E" w14:textId="13C7930D" w:rsidR="009417B7" w:rsidRPr="008640E8" w:rsidRDefault="009417B7" w:rsidP="009417B7">
      <w:pPr>
        <w:spacing w:before="120"/>
        <w:rPr>
          <w:b/>
        </w:rPr>
      </w:pPr>
      <w:r w:rsidRPr="008640E8">
        <w:rPr>
          <w:b/>
          <w:bCs/>
        </w:rPr>
        <w:t xml:space="preserve">Совместное совещание экспертов по Правилам, </w:t>
      </w:r>
      <w:r>
        <w:rPr>
          <w:b/>
          <w:bCs/>
        </w:rPr>
        <w:br/>
      </w:r>
      <w:r w:rsidRPr="008640E8">
        <w:rPr>
          <w:b/>
          <w:bCs/>
        </w:rPr>
        <w:t xml:space="preserve">прилагаемым к Европейскому соглашению </w:t>
      </w:r>
      <w:r>
        <w:rPr>
          <w:b/>
          <w:bCs/>
        </w:rPr>
        <w:br/>
      </w:r>
      <w:r w:rsidRPr="008640E8">
        <w:rPr>
          <w:b/>
          <w:bCs/>
        </w:rPr>
        <w:t xml:space="preserve">о международной перевозке опасных грузов </w:t>
      </w:r>
      <w:r>
        <w:rPr>
          <w:b/>
          <w:bCs/>
        </w:rPr>
        <w:br/>
      </w:r>
      <w:r w:rsidRPr="008640E8">
        <w:rPr>
          <w:b/>
          <w:bCs/>
        </w:rPr>
        <w:t xml:space="preserve">по внутренним водным путям (ВОПОГ) </w:t>
      </w:r>
      <w:r>
        <w:rPr>
          <w:b/>
          <w:bCs/>
        </w:rPr>
        <w:br/>
      </w:r>
      <w:r w:rsidRPr="008640E8">
        <w:rPr>
          <w:b/>
          <w:bCs/>
        </w:rPr>
        <w:t>(Комитет по вопросам безопасности ВОПОГ)</w:t>
      </w:r>
    </w:p>
    <w:p w14:paraId="7E75209B" w14:textId="77777777" w:rsidR="009417B7" w:rsidRPr="008640E8" w:rsidRDefault="009417B7" w:rsidP="009417B7">
      <w:pPr>
        <w:spacing w:before="120"/>
        <w:rPr>
          <w:b/>
        </w:rPr>
      </w:pPr>
      <w:r w:rsidRPr="008640E8">
        <w:rPr>
          <w:b/>
          <w:bCs/>
        </w:rPr>
        <w:t>Сорок вторая сессия</w:t>
      </w:r>
    </w:p>
    <w:p w14:paraId="6E70E393" w14:textId="7C242119" w:rsidR="009417B7" w:rsidRPr="008640E8" w:rsidRDefault="009417B7" w:rsidP="009417B7">
      <w:r w:rsidRPr="008640E8">
        <w:t>Женева, 21</w:t>
      </w:r>
      <w:r w:rsidR="00ED1288">
        <w:rPr>
          <w:lang w:val="en-US"/>
        </w:rPr>
        <w:t>–</w:t>
      </w:r>
      <w:r w:rsidRPr="008640E8">
        <w:t>25 августа 2023 года</w:t>
      </w:r>
    </w:p>
    <w:p w14:paraId="7BD7759C" w14:textId="77777777" w:rsidR="009417B7" w:rsidRPr="008640E8" w:rsidRDefault="009417B7" w:rsidP="009417B7">
      <w:r w:rsidRPr="008640E8">
        <w:t>Пункт 3 d) предварительной повестки дня</w:t>
      </w:r>
    </w:p>
    <w:p w14:paraId="13C7E194" w14:textId="1A02770B" w:rsidR="009417B7" w:rsidRPr="008640E8" w:rsidRDefault="009417B7" w:rsidP="009417B7">
      <w:pPr>
        <w:rPr>
          <w:b/>
          <w:bCs/>
        </w:rPr>
      </w:pPr>
      <w:r w:rsidRPr="008640E8">
        <w:rPr>
          <w:b/>
          <w:bCs/>
        </w:rPr>
        <w:t xml:space="preserve">Применение Европейского соглашения о международной </w:t>
      </w:r>
      <w:r w:rsidR="00EC29D6">
        <w:rPr>
          <w:b/>
          <w:bCs/>
        </w:rPr>
        <w:br/>
      </w:r>
      <w:r w:rsidRPr="008640E8">
        <w:rPr>
          <w:b/>
          <w:bCs/>
        </w:rPr>
        <w:t xml:space="preserve">перевозке опасных грузов по внутренним водным </w:t>
      </w:r>
      <w:r w:rsidR="00EC29D6">
        <w:rPr>
          <w:b/>
          <w:bCs/>
        </w:rPr>
        <w:br/>
      </w:r>
      <w:r w:rsidRPr="008640E8">
        <w:rPr>
          <w:b/>
          <w:bCs/>
        </w:rPr>
        <w:t>путям (ВОПОГ): подготовка экспертов</w:t>
      </w:r>
    </w:p>
    <w:p w14:paraId="7625A0A3" w14:textId="32BC7CCD" w:rsidR="009417B7" w:rsidRPr="008640E8" w:rsidRDefault="009417B7" w:rsidP="009417B7">
      <w:pPr>
        <w:pStyle w:val="HChG"/>
      </w:pPr>
      <w:r w:rsidRPr="008640E8">
        <w:tab/>
      </w:r>
      <w:r w:rsidRPr="008640E8">
        <w:tab/>
      </w:r>
      <w:r w:rsidRPr="008640E8">
        <w:rPr>
          <w:bCs/>
        </w:rPr>
        <w:t>Предложение по рассмотрению вопросов существа на</w:t>
      </w:r>
      <w:r w:rsidR="008A2144">
        <w:rPr>
          <w:bCs/>
          <w:lang w:val="en-US"/>
        </w:rPr>
        <w:t> </w:t>
      </w:r>
      <w:r w:rsidRPr="008640E8">
        <w:rPr>
          <w:bCs/>
        </w:rPr>
        <w:t>совещаниях Комитета по вопросам безопасности ВОПОГ</w:t>
      </w:r>
    </w:p>
    <w:p w14:paraId="1C907E0F" w14:textId="2D783AE3" w:rsidR="009417B7" w:rsidRPr="008640E8" w:rsidRDefault="009417B7" w:rsidP="009417B7">
      <w:pPr>
        <w:pStyle w:val="H1G"/>
        <w:rPr>
          <w:rFonts w:eastAsia="Calibri"/>
        </w:rPr>
      </w:pPr>
      <w:r w:rsidRPr="008640E8">
        <w:tab/>
      </w:r>
      <w:r w:rsidRPr="008640E8">
        <w:tab/>
      </w:r>
      <w:r w:rsidRPr="008640E8">
        <w:tab/>
      </w:r>
      <w:r w:rsidRPr="008640E8">
        <w:rPr>
          <w:bCs/>
        </w:rPr>
        <w:t xml:space="preserve">Передано Центральной комиссией судоходства </w:t>
      </w:r>
      <w:r w:rsidR="00940261">
        <w:rPr>
          <w:bCs/>
        </w:rPr>
        <w:br/>
      </w:r>
      <w:r w:rsidRPr="008640E8">
        <w:rPr>
          <w:bCs/>
        </w:rPr>
        <w:t>по Рейну (ЦКСР</w:t>
      </w:r>
      <w:r w:rsidRPr="00940261">
        <w:rPr>
          <w:b w:val="0"/>
          <w:sz w:val="20"/>
        </w:rPr>
        <w:t>)</w:t>
      </w:r>
      <w:r w:rsidRPr="00940261">
        <w:rPr>
          <w:rFonts w:eastAsia="Calibri"/>
          <w:b w:val="0"/>
          <w:sz w:val="20"/>
          <w:lang w:eastAsia="fr-FR"/>
        </w:rPr>
        <w:footnoteReference w:customMarkFollows="1" w:id="1"/>
        <w:t>*</w:t>
      </w:r>
      <w:r w:rsidR="00940261" w:rsidRPr="00940261">
        <w:rPr>
          <w:rFonts w:eastAsia="Calibri"/>
          <w:b w:val="0"/>
          <w:sz w:val="20"/>
          <w:lang w:eastAsia="fr-FR"/>
        </w:rPr>
        <w:t xml:space="preserve"> </w:t>
      </w:r>
      <w:r w:rsidRPr="00940261">
        <w:rPr>
          <w:rFonts w:eastAsia="Calibri"/>
          <w:b w:val="0"/>
          <w:sz w:val="20"/>
          <w:lang w:eastAsia="fr-FR"/>
        </w:rPr>
        <w:footnoteReference w:customMarkFollows="1" w:id="2"/>
        <w:t>**</w:t>
      </w:r>
      <w:r w:rsidRPr="00940261">
        <w:rPr>
          <w:b w:val="0"/>
          <w:sz w:val="20"/>
        </w:rPr>
        <w:t xml:space="preserve"> </w:t>
      </w:r>
    </w:p>
    <w:p w14:paraId="6E40CE34" w14:textId="77777777" w:rsidR="009417B7" w:rsidRPr="008640E8" w:rsidRDefault="009417B7" w:rsidP="009417B7">
      <w:pPr>
        <w:pStyle w:val="HChG"/>
      </w:pPr>
      <w:r w:rsidRPr="008640E8">
        <w:tab/>
      </w:r>
      <w:r w:rsidRPr="008640E8">
        <w:tab/>
      </w:r>
      <w:r w:rsidRPr="008640E8">
        <w:rPr>
          <w:bCs/>
        </w:rPr>
        <w:t>Введение</w:t>
      </w:r>
    </w:p>
    <w:p w14:paraId="4733890A" w14:textId="56EB7E6B" w:rsidR="009417B7" w:rsidRPr="008640E8" w:rsidRDefault="009417B7" w:rsidP="009417B7">
      <w:pPr>
        <w:pStyle w:val="SingleTxtG"/>
      </w:pPr>
      <w:r w:rsidRPr="008640E8">
        <w:t>1.</w:t>
      </w:r>
      <w:r w:rsidRPr="008640E8">
        <w:tab/>
        <w:t>В ходе недавнего совещания неофициальная рабочая группа по подготовке экспертов занималась вопросами существа, которые последний раз рассматривались Комитетом по вопросам безопасности ВОПОГ в 2011 году (см. в этой связи документы ECE/TRANS/WP.15/AC.2/2011/4</w:t>
      </w:r>
      <w:r w:rsidR="00DF0A4C">
        <w:t>–</w:t>
      </w:r>
      <w:r w:rsidRPr="008640E8">
        <w:t>18 и доклад о работе совещания неофициальной рабочей группы по подготовке экспертов CCNR-ZKR/ADN/WG/CQ/2023/20).</w:t>
      </w:r>
      <w:bookmarkStart w:id="0" w:name="_Hlk134190553"/>
      <w:bookmarkEnd w:id="0"/>
    </w:p>
    <w:p w14:paraId="1F1D310E" w14:textId="77777777" w:rsidR="009417B7" w:rsidRPr="008640E8" w:rsidRDefault="009417B7" w:rsidP="009417B7">
      <w:pPr>
        <w:pStyle w:val="SingleTxtG"/>
      </w:pPr>
      <w:r w:rsidRPr="008640E8">
        <w:t>2.</w:t>
      </w:r>
      <w:r w:rsidRPr="008640E8">
        <w:tab/>
        <w:t>В связи с ограниченным количеством возможных вопросов было решено, что эти документы останутся конфиденциальными. Поскольку вопросы существа широкому распространению не подлежат, неофициальная рабочая группа предлагает Комитету по вопросам безопасности ВОПОГ подумать над тем, как в рамках Комитета организовать их рассмотрение в обычном режиме при соблюдении конфиденциальности.</w:t>
      </w:r>
    </w:p>
    <w:p w14:paraId="3DEFB98E" w14:textId="7702D0B0" w:rsidR="009417B7" w:rsidRPr="008640E8" w:rsidRDefault="00FD0C1C" w:rsidP="009417B7">
      <w:pPr>
        <w:pStyle w:val="HChG"/>
      </w:pPr>
      <w:r>
        <w:rPr>
          <w:bCs/>
        </w:rPr>
        <w:lastRenderedPageBreak/>
        <w:tab/>
      </w:r>
      <w:r w:rsidR="009417B7" w:rsidRPr="008640E8">
        <w:rPr>
          <w:bCs/>
        </w:rPr>
        <w:t>I.</w:t>
      </w:r>
      <w:r w:rsidR="009417B7" w:rsidRPr="008640E8">
        <w:tab/>
      </w:r>
      <w:r w:rsidR="009417B7" w:rsidRPr="008640E8">
        <w:rPr>
          <w:bCs/>
        </w:rPr>
        <w:t>Справочная информация</w:t>
      </w:r>
    </w:p>
    <w:p w14:paraId="30AE63C3" w14:textId="77777777" w:rsidR="009417B7" w:rsidRPr="008640E8" w:rsidRDefault="009417B7" w:rsidP="009417B7">
      <w:pPr>
        <w:pStyle w:val="SingleTxtG"/>
      </w:pPr>
      <w:r w:rsidRPr="008640E8">
        <w:t>3.</w:t>
      </w:r>
      <w:r w:rsidRPr="008640E8">
        <w:tab/>
        <w:t>На недавнем совещании неофициальная рабочая группа по подготовке экспертов решила завершить рассмотрение вопросов существа в ходе своего следующего совещания, которое состоится в марте 2024 года. Речь идет о следующих документах:</w:t>
      </w:r>
    </w:p>
    <w:p w14:paraId="2D360E40" w14:textId="0AB17B77" w:rsidR="009417B7" w:rsidRPr="008640E8" w:rsidRDefault="009417B7" w:rsidP="009417B7">
      <w:pPr>
        <w:pStyle w:val="SingleTxtG"/>
      </w:pPr>
      <w:r w:rsidRPr="008640E8">
        <w:t xml:space="preserve">ECE/TRANS/WP.15/AC.2/2011/4: вопросы существа </w:t>
      </w:r>
      <w:r w:rsidR="00F744D1" w:rsidRPr="00F744D1">
        <w:t>—</w:t>
      </w:r>
      <w:r w:rsidRPr="008640E8">
        <w:t xml:space="preserve"> </w:t>
      </w:r>
      <w:proofErr w:type="spellStart"/>
      <w:r w:rsidRPr="008640E8">
        <w:t>газы</w:t>
      </w:r>
      <w:proofErr w:type="spellEnd"/>
      <w:r w:rsidRPr="008640E8">
        <w:t>;</w:t>
      </w:r>
    </w:p>
    <w:p w14:paraId="0DCD81FF" w14:textId="3D16E237" w:rsidR="009417B7" w:rsidRPr="008640E8" w:rsidRDefault="009417B7" w:rsidP="009417B7">
      <w:pPr>
        <w:pStyle w:val="SingleTxtG"/>
      </w:pPr>
      <w:r w:rsidRPr="008640E8">
        <w:t xml:space="preserve">ECE/TRANS/WP.15/AC.2/2011/5: ответы на вопросы существа </w:t>
      </w:r>
      <w:r w:rsidR="00F744D1" w:rsidRPr="00F744D1">
        <w:t>—</w:t>
      </w:r>
      <w:r w:rsidRPr="008640E8">
        <w:t xml:space="preserve"> </w:t>
      </w:r>
      <w:proofErr w:type="spellStart"/>
      <w:r w:rsidRPr="008640E8">
        <w:t>газы</w:t>
      </w:r>
      <w:proofErr w:type="spellEnd"/>
      <w:r w:rsidRPr="008640E8">
        <w:t xml:space="preserve"> (A и B);</w:t>
      </w:r>
    </w:p>
    <w:p w14:paraId="2000D7D3" w14:textId="0C9E1C23" w:rsidR="009417B7" w:rsidRPr="008640E8" w:rsidRDefault="009417B7" w:rsidP="009417B7">
      <w:pPr>
        <w:pStyle w:val="SingleTxtG"/>
      </w:pPr>
      <w:r w:rsidRPr="008640E8">
        <w:t xml:space="preserve">ECE/TRANS/WP.15/AC.2/2011/6: ответы на вопросы существа </w:t>
      </w:r>
      <w:r w:rsidR="00F744D1" w:rsidRPr="00F744D1">
        <w:t>—</w:t>
      </w:r>
      <w:r w:rsidRPr="008640E8">
        <w:t xml:space="preserve"> </w:t>
      </w:r>
      <w:proofErr w:type="spellStart"/>
      <w:r w:rsidRPr="008640E8">
        <w:t>газы</w:t>
      </w:r>
      <w:proofErr w:type="spellEnd"/>
      <w:r w:rsidRPr="008640E8">
        <w:t xml:space="preserve"> (C, D и E);</w:t>
      </w:r>
    </w:p>
    <w:p w14:paraId="5B64785E" w14:textId="55DA329C" w:rsidR="009417B7" w:rsidRPr="008640E8" w:rsidRDefault="009417B7" w:rsidP="009417B7">
      <w:pPr>
        <w:pStyle w:val="SingleTxtG"/>
      </w:pPr>
      <w:r w:rsidRPr="008640E8">
        <w:t xml:space="preserve">ECE/TRANS/WP.15/AC.2/2011/7: вопросы существа </w:t>
      </w:r>
      <w:r w:rsidR="00F744D1" w:rsidRPr="00F744D1">
        <w:t>—</w:t>
      </w:r>
      <w:r w:rsidRPr="008640E8">
        <w:t xml:space="preserve"> химические продукты;</w:t>
      </w:r>
    </w:p>
    <w:p w14:paraId="386A8943" w14:textId="3ECC5F12" w:rsidR="009417B7" w:rsidRPr="008640E8" w:rsidRDefault="009417B7" w:rsidP="009417B7">
      <w:pPr>
        <w:pStyle w:val="SingleTxtG"/>
      </w:pPr>
      <w:r w:rsidRPr="008640E8">
        <w:t>ECE/TRANS/WP.15/AC.2/2011/8</w:t>
      </w:r>
      <w:r w:rsidR="00A60606">
        <w:t>–</w:t>
      </w:r>
      <w:r w:rsidRPr="008640E8">
        <w:t xml:space="preserve">17: ответы на вопросы существа </w:t>
      </w:r>
      <w:r w:rsidR="00F744D1" w:rsidRPr="00F744D1">
        <w:t>—</w:t>
      </w:r>
      <w:r w:rsidRPr="008640E8">
        <w:t xml:space="preserve"> химические продукты;</w:t>
      </w:r>
    </w:p>
    <w:p w14:paraId="6A20A462" w14:textId="77777777" w:rsidR="009417B7" w:rsidRPr="008640E8" w:rsidRDefault="009417B7" w:rsidP="009417B7">
      <w:pPr>
        <w:pStyle w:val="SingleTxtG"/>
      </w:pPr>
      <w:r w:rsidRPr="008640E8">
        <w:t>ECE/TRANS/WP.15/AC.2/2011/18: примеры вопросов существа.</w:t>
      </w:r>
    </w:p>
    <w:p w14:paraId="014F23AA" w14:textId="338B8671" w:rsidR="009417B7" w:rsidRPr="008640E8" w:rsidRDefault="009417B7" w:rsidP="009417B7">
      <w:pPr>
        <w:pStyle w:val="SingleTxtG"/>
      </w:pPr>
      <w:r w:rsidRPr="008640E8">
        <w:t xml:space="preserve">По техническим причинам Европейская экономическая комиссия (ЕЭК ООН) разделила первоначальный документ Германии 2011 года </w:t>
      </w:r>
      <w:r w:rsidR="00416FA5">
        <w:t>«</w:t>
      </w:r>
      <w:r w:rsidRPr="008640E8">
        <w:t xml:space="preserve">Ответы на вопросы существа </w:t>
      </w:r>
      <w:r w:rsidR="00416FA5" w:rsidRPr="00F744D1">
        <w:t>—</w:t>
      </w:r>
      <w:r w:rsidRPr="008640E8">
        <w:t xml:space="preserve"> химические продукты</w:t>
      </w:r>
      <w:r w:rsidR="00416FA5">
        <w:t>»</w:t>
      </w:r>
      <w:r w:rsidRPr="008640E8">
        <w:t xml:space="preserve"> на несколько документов (8</w:t>
      </w:r>
      <w:r w:rsidR="00416FA5" w:rsidRPr="00416FA5">
        <w:t>–</w:t>
      </w:r>
      <w:r w:rsidRPr="008640E8">
        <w:t>17).</w:t>
      </w:r>
    </w:p>
    <w:p w14:paraId="5417DEFD" w14:textId="77777777" w:rsidR="009417B7" w:rsidRPr="008640E8" w:rsidRDefault="009417B7" w:rsidP="009417B7">
      <w:pPr>
        <w:pStyle w:val="SingleTxtG"/>
      </w:pPr>
      <w:r w:rsidRPr="008640E8">
        <w:t>4.</w:t>
      </w:r>
      <w:r w:rsidRPr="008640E8">
        <w:tab/>
        <w:t>Из-за времени, необходимого для проведения обзора, и последствий пандемии COVID-19, к рассмотрению удалось приступить лишь сейчас.</w:t>
      </w:r>
    </w:p>
    <w:p w14:paraId="32D26C86" w14:textId="77777777" w:rsidR="009417B7" w:rsidRPr="008640E8" w:rsidRDefault="009417B7" w:rsidP="009417B7">
      <w:pPr>
        <w:pStyle w:val="SingleTxtG"/>
      </w:pPr>
      <w:r w:rsidRPr="008640E8">
        <w:t>5.</w:t>
      </w:r>
      <w:r w:rsidRPr="008640E8">
        <w:tab/>
        <w:t>По вышеуказанным причинам крайне важно сохранить конфиденциальность документов. В 2011 году они не размещались на сайте ЕЭК ООН, где было указано, что их можно получить по запросу в секретариате ЕЭК ООН.</w:t>
      </w:r>
    </w:p>
    <w:p w14:paraId="4D9A231A" w14:textId="27F9CB37" w:rsidR="009417B7" w:rsidRPr="008640E8" w:rsidRDefault="009417B7" w:rsidP="009417B7">
      <w:pPr>
        <w:pStyle w:val="SingleTxtG"/>
      </w:pPr>
      <w:r w:rsidRPr="008640E8">
        <w:t>6.</w:t>
      </w:r>
      <w:r w:rsidRPr="008640E8">
        <w:tab/>
        <w:t>Таким образом</w:t>
      </w:r>
      <w:r w:rsidR="00A12AD0">
        <w:t>,</w:t>
      </w:r>
      <w:r w:rsidRPr="008640E8">
        <w:t xml:space="preserve"> Комитету по вопросам безопасности ВОПОГ рекомендуется рассмотреть вопрос о том, в каком объеме и, в соответствующих случаях, каким образом эти документы следует размещать на веб-сайте ЕЭК ООН, кто в принципе должен иметь к ним доступ </w:t>
      </w:r>
      <w:proofErr w:type="gramStart"/>
      <w:r w:rsidRPr="008640E8">
        <w:t>по запросу</w:t>
      </w:r>
      <w:proofErr w:type="gramEnd"/>
      <w:r w:rsidRPr="008640E8">
        <w:t xml:space="preserve"> и кто должен получать эти документы по электронной почте.</w:t>
      </w:r>
    </w:p>
    <w:p w14:paraId="2D416ECB" w14:textId="77777777" w:rsidR="009417B7" w:rsidRPr="008640E8" w:rsidRDefault="009417B7" w:rsidP="009417B7">
      <w:pPr>
        <w:pStyle w:val="HChG"/>
      </w:pPr>
      <w:r w:rsidRPr="008640E8">
        <w:rPr>
          <w:bCs/>
        </w:rPr>
        <w:tab/>
        <w:t>II.</w:t>
      </w:r>
      <w:r w:rsidRPr="008640E8">
        <w:tab/>
      </w:r>
      <w:r w:rsidRPr="008640E8">
        <w:rPr>
          <w:bCs/>
        </w:rPr>
        <w:t>Предложение</w:t>
      </w:r>
    </w:p>
    <w:p w14:paraId="42442D20" w14:textId="77777777" w:rsidR="009417B7" w:rsidRPr="008640E8" w:rsidRDefault="009417B7" w:rsidP="009417B7">
      <w:pPr>
        <w:pStyle w:val="SingleTxtG"/>
      </w:pPr>
      <w:r w:rsidRPr="008640E8">
        <w:t>7.</w:t>
      </w:r>
      <w:r w:rsidRPr="008640E8">
        <w:tab/>
        <w:t>На веб-сайте ЕЭК ООН будет размещено замечание, касающееся этих документов, аналогично тому, как это было сделано в 2011 году. Кроме того, можно было бы указать, что вариант на немецком языке можно получить в секретариате ЦКСР.</w:t>
      </w:r>
    </w:p>
    <w:p w14:paraId="4C83F420" w14:textId="77777777" w:rsidR="009417B7" w:rsidRPr="008640E8" w:rsidRDefault="009417B7" w:rsidP="009417B7">
      <w:pPr>
        <w:pStyle w:val="SingleTxtG"/>
      </w:pPr>
      <w:r w:rsidRPr="008640E8">
        <w:t>8.</w:t>
      </w:r>
      <w:r w:rsidRPr="008640E8">
        <w:tab/>
        <w:t xml:space="preserve">Доступ будет предоставлен главам делегаций, указанным в качестве таковых в докладах о работе совещаний Комитета по вопросам безопасности ВОПОГ, и членам неофициальной рабочей группы по подготовке экспертов. </w:t>
      </w:r>
    </w:p>
    <w:p w14:paraId="7D393EBF" w14:textId="77777777" w:rsidR="009417B7" w:rsidRPr="008640E8" w:rsidRDefault="009417B7" w:rsidP="009417B7">
      <w:pPr>
        <w:pStyle w:val="SingleTxtG"/>
      </w:pPr>
      <w:r w:rsidRPr="008640E8">
        <w:t>9.</w:t>
      </w:r>
      <w:r w:rsidRPr="008640E8">
        <w:tab/>
        <w:t>В рамках подготовки к совещанию Комитета по безопасности ВОПОГ документы будут направляться по электронной почте главам делегаций, но не наблюдателям (см. также пункт 2 статьи 17 ВОПОГ).</w:t>
      </w:r>
    </w:p>
    <w:p w14:paraId="18291E66" w14:textId="77777777" w:rsidR="009417B7" w:rsidRPr="008640E8" w:rsidRDefault="009417B7" w:rsidP="009417B7">
      <w:pPr>
        <w:pStyle w:val="SingleTxtG"/>
      </w:pPr>
      <w:r w:rsidRPr="008640E8">
        <w:t>10.</w:t>
      </w:r>
      <w:r w:rsidRPr="008640E8">
        <w:tab/>
        <w:t>При распространении документов будет четко указываться, что они являются конфиденциальными и что в делегациях они должны быть доступны только тем экспертам, которые непосредственно отвечают за работу с ними.</w:t>
      </w:r>
    </w:p>
    <w:p w14:paraId="5327B5CC" w14:textId="77777777" w:rsidR="009417B7" w:rsidRPr="008640E8" w:rsidRDefault="009417B7" w:rsidP="009417B7">
      <w:pPr>
        <w:spacing w:before="240"/>
        <w:jc w:val="center"/>
        <w:rPr>
          <w:u w:val="single"/>
        </w:rPr>
      </w:pPr>
      <w:r w:rsidRPr="008640E8">
        <w:rPr>
          <w:u w:val="single"/>
        </w:rPr>
        <w:tab/>
      </w:r>
      <w:r w:rsidRPr="008640E8">
        <w:rPr>
          <w:u w:val="single"/>
        </w:rPr>
        <w:tab/>
      </w:r>
      <w:r w:rsidRPr="008640E8">
        <w:rPr>
          <w:u w:val="single"/>
        </w:rPr>
        <w:tab/>
      </w:r>
    </w:p>
    <w:sectPr w:rsidR="009417B7" w:rsidRPr="008640E8" w:rsidSect="009417B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DB70" w14:textId="77777777" w:rsidR="009E3286" w:rsidRPr="00A312BC" w:rsidRDefault="009E3286" w:rsidP="00A312BC"/>
  </w:endnote>
  <w:endnote w:type="continuationSeparator" w:id="0">
    <w:p w14:paraId="24D565BA" w14:textId="77777777" w:rsidR="009E3286" w:rsidRPr="00A312BC" w:rsidRDefault="009E32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1128" w14:textId="392D5932" w:rsidR="009417B7" w:rsidRPr="009417B7" w:rsidRDefault="009417B7">
    <w:pPr>
      <w:pStyle w:val="a8"/>
    </w:pPr>
    <w:r w:rsidRPr="009417B7">
      <w:rPr>
        <w:b/>
        <w:sz w:val="18"/>
      </w:rPr>
      <w:fldChar w:fldCharType="begin"/>
    </w:r>
    <w:r w:rsidRPr="009417B7">
      <w:rPr>
        <w:b/>
        <w:sz w:val="18"/>
      </w:rPr>
      <w:instrText xml:space="preserve"> PAGE  \* MERGEFORMAT </w:instrText>
    </w:r>
    <w:r w:rsidRPr="009417B7">
      <w:rPr>
        <w:b/>
        <w:sz w:val="18"/>
      </w:rPr>
      <w:fldChar w:fldCharType="separate"/>
    </w:r>
    <w:r w:rsidRPr="009417B7">
      <w:rPr>
        <w:b/>
        <w:noProof/>
        <w:sz w:val="18"/>
      </w:rPr>
      <w:t>2</w:t>
    </w:r>
    <w:r w:rsidRPr="009417B7">
      <w:rPr>
        <w:b/>
        <w:sz w:val="18"/>
      </w:rPr>
      <w:fldChar w:fldCharType="end"/>
    </w:r>
    <w:r>
      <w:rPr>
        <w:b/>
        <w:sz w:val="18"/>
      </w:rPr>
      <w:tab/>
    </w:r>
    <w:r>
      <w:t>GE.23-09531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0F56" w14:textId="22203242" w:rsidR="009417B7" w:rsidRPr="009417B7" w:rsidRDefault="009417B7" w:rsidP="009417B7">
    <w:pPr>
      <w:pStyle w:val="a8"/>
      <w:tabs>
        <w:tab w:val="clear" w:pos="9639"/>
        <w:tab w:val="right" w:pos="9638"/>
      </w:tabs>
      <w:rPr>
        <w:b/>
        <w:sz w:val="18"/>
      </w:rPr>
    </w:pPr>
    <w:r>
      <w:t>GE.23-09531</w:t>
    </w:r>
    <w:r>
      <w:tab/>
    </w:r>
    <w:r w:rsidRPr="009417B7">
      <w:rPr>
        <w:b/>
        <w:sz w:val="18"/>
      </w:rPr>
      <w:fldChar w:fldCharType="begin"/>
    </w:r>
    <w:r w:rsidRPr="009417B7">
      <w:rPr>
        <w:b/>
        <w:sz w:val="18"/>
      </w:rPr>
      <w:instrText xml:space="preserve"> PAGE  \* MERGEFORMAT </w:instrText>
    </w:r>
    <w:r w:rsidRPr="009417B7">
      <w:rPr>
        <w:b/>
        <w:sz w:val="18"/>
      </w:rPr>
      <w:fldChar w:fldCharType="separate"/>
    </w:r>
    <w:r w:rsidRPr="009417B7">
      <w:rPr>
        <w:b/>
        <w:noProof/>
        <w:sz w:val="18"/>
      </w:rPr>
      <w:t>3</w:t>
    </w:r>
    <w:r w:rsidRPr="009417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9CBF" w14:textId="25120AA1" w:rsidR="00042B72" w:rsidRPr="00D55F24" w:rsidRDefault="009417B7" w:rsidP="009417B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7B34C85" wp14:editId="4985E06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09531  (</w:t>
    </w:r>
    <w:proofErr w:type="gramEnd"/>
    <w:r>
      <w:t>R)</w:t>
    </w:r>
    <w:r>
      <w:rPr>
        <w:noProof/>
      </w:rPr>
      <w:drawing>
        <wp:anchor distT="0" distB="0" distL="114300" distR="114300" simplePos="0" relativeHeight="251659264" behindDoc="0" locked="0" layoutInCell="1" allowOverlap="1" wp14:anchorId="650E2155" wp14:editId="6815401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24">
      <w:rPr>
        <w:lang w:val="en-US"/>
      </w:rPr>
      <w:t xml:space="preserve">  060623  090623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0AC2" w14:textId="77777777" w:rsidR="009E3286" w:rsidRPr="001075E9" w:rsidRDefault="009E3286" w:rsidP="001075E9">
      <w:pPr>
        <w:tabs>
          <w:tab w:val="right" w:pos="2155"/>
        </w:tabs>
        <w:spacing w:after="80" w:line="240" w:lineRule="auto"/>
        <w:ind w:left="680"/>
        <w:rPr>
          <w:u w:val="single"/>
        </w:rPr>
      </w:pPr>
      <w:r>
        <w:rPr>
          <w:u w:val="single"/>
        </w:rPr>
        <w:tab/>
      </w:r>
    </w:p>
  </w:footnote>
  <w:footnote w:type="continuationSeparator" w:id="0">
    <w:p w14:paraId="07BEAC52" w14:textId="77777777" w:rsidR="009E3286" w:rsidRDefault="009E3286" w:rsidP="00407B78">
      <w:pPr>
        <w:tabs>
          <w:tab w:val="right" w:pos="2155"/>
        </w:tabs>
        <w:spacing w:after="80"/>
        <w:ind w:left="680"/>
        <w:rPr>
          <w:u w:val="single"/>
        </w:rPr>
      </w:pPr>
      <w:r>
        <w:rPr>
          <w:u w:val="single"/>
        </w:rPr>
        <w:tab/>
      </w:r>
    </w:p>
  </w:footnote>
  <w:footnote w:id="1">
    <w:p w14:paraId="35764620" w14:textId="3B727909" w:rsidR="009417B7" w:rsidRPr="00A372AA" w:rsidRDefault="009417B7" w:rsidP="009417B7">
      <w:pPr>
        <w:pStyle w:val="ad"/>
        <w:rPr>
          <w:sz w:val="16"/>
          <w:szCs w:val="16"/>
        </w:rPr>
      </w:pPr>
      <w:r>
        <w:tab/>
      </w:r>
      <w:r w:rsidRPr="00D55F24">
        <w:rPr>
          <w:sz w:val="20"/>
        </w:rPr>
        <w:t>*</w:t>
      </w:r>
      <w:r>
        <w:tab/>
        <w:t>Распространено на немецком языке Центральной комиссией судоходства по Рейну под</w:t>
      </w:r>
      <w:r w:rsidR="00E342D8">
        <w:t> </w:t>
      </w:r>
      <w:r>
        <w:t>условным обозначением CCNR-ZKR/ADN/WP.15/AC.2/2023/31.</w:t>
      </w:r>
    </w:p>
  </w:footnote>
  <w:footnote w:id="2">
    <w:p w14:paraId="156D0C80" w14:textId="77777777" w:rsidR="009417B7" w:rsidRPr="005B465E" w:rsidRDefault="009417B7" w:rsidP="009417B7">
      <w:pPr>
        <w:pStyle w:val="ad"/>
        <w:rPr>
          <w:sz w:val="16"/>
          <w:szCs w:val="16"/>
        </w:rPr>
      </w:pPr>
      <w:r>
        <w:tab/>
      </w:r>
      <w:r w:rsidRPr="00D55F24">
        <w:rPr>
          <w:sz w:val="20"/>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DBFA" w14:textId="5FF295C8" w:rsidR="009417B7" w:rsidRPr="009417B7" w:rsidRDefault="009417B7">
    <w:pPr>
      <w:pStyle w:val="a5"/>
    </w:pPr>
    <w:fldSimple w:instr=" TITLE  \* MERGEFORMAT ">
      <w:r w:rsidR="00957376">
        <w:t>ECE/TRANS/WP.15/AC.2/2023/31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6160" w14:textId="70296016" w:rsidR="009417B7" w:rsidRPr="009417B7" w:rsidRDefault="009417B7" w:rsidP="009417B7">
    <w:pPr>
      <w:pStyle w:val="a5"/>
      <w:jc w:val="right"/>
    </w:pPr>
    <w:fldSimple w:instr=" TITLE  \* MERGEFORMAT ">
      <w:r w:rsidR="00957376">
        <w:t>ECE/TRANS/WP.15/AC.2/2023/31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B69F" w14:textId="77777777" w:rsidR="00D55F24" w:rsidRDefault="00D55F24" w:rsidP="00D55F2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57329519">
    <w:abstractNumId w:val="16"/>
  </w:num>
  <w:num w:numId="2" w16cid:durableId="307973899">
    <w:abstractNumId w:val="11"/>
  </w:num>
  <w:num w:numId="3" w16cid:durableId="44918873">
    <w:abstractNumId w:val="10"/>
  </w:num>
  <w:num w:numId="4" w16cid:durableId="797576559">
    <w:abstractNumId w:val="17"/>
  </w:num>
  <w:num w:numId="5" w16cid:durableId="81415711">
    <w:abstractNumId w:val="13"/>
  </w:num>
  <w:num w:numId="6" w16cid:durableId="444428788">
    <w:abstractNumId w:val="8"/>
  </w:num>
  <w:num w:numId="7" w16cid:durableId="1165705195">
    <w:abstractNumId w:val="3"/>
  </w:num>
  <w:num w:numId="8" w16cid:durableId="625431075">
    <w:abstractNumId w:val="2"/>
  </w:num>
  <w:num w:numId="9" w16cid:durableId="398793939">
    <w:abstractNumId w:val="1"/>
  </w:num>
  <w:num w:numId="10" w16cid:durableId="1836726108">
    <w:abstractNumId w:val="0"/>
  </w:num>
  <w:num w:numId="11" w16cid:durableId="1605071523">
    <w:abstractNumId w:val="9"/>
  </w:num>
  <w:num w:numId="12" w16cid:durableId="395934601">
    <w:abstractNumId w:val="7"/>
  </w:num>
  <w:num w:numId="13" w16cid:durableId="719786099">
    <w:abstractNumId w:val="6"/>
  </w:num>
  <w:num w:numId="14" w16cid:durableId="1030649192">
    <w:abstractNumId w:val="5"/>
  </w:num>
  <w:num w:numId="15" w16cid:durableId="2052217808">
    <w:abstractNumId w:val="4"/>
  </w:num>
  <w:num w:numId="16" w16cid:durableId="55665916">
    <w:abstractNumId w:val="15"/>
  </w:num>
  <w:num w:numId="17" w16cid:durableId="406927847">
    <w:abstractNumId w:val="12"/>
  </w:num>
  <w:num w:numId="18" w16cid:durableId="8261761">
    <w:abstractNumId w:val="14"/>
  </w:num>
  <w:num w:numId="19" w16cid:durableId="1626352255">
    <w:abstractNumId w:val="15"/>
  </w:num>
  <w:num w:numId="20" w16cid:durableId="599803532">
    <w:abstractNumId w:val="12"/>
  </w:num>
  <w:num w:numId="21" w16cid:durableId="87800680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8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51F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6FA5"/>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2144"/>
    <w:rsid w:val="008A37C8"/>
    <w:rsid w:val="008B6909"/>
    <w:rsid w:val="008D53B6"/>
    <w:rsid w:val="008F7609"/>
    <w:rsid w:val="00906890"/>
    <w:rsid w:val="00911BE4"/>
    <w:rsid w:val="00940261"/>
    <w:rsid w:val="009417B7"/>
    <w:rsid w:val="00951972"/>
    <w:rsid w:val="00957376"/>
    <w:rsid w:val="009608F3"/>
    <w:rsid w:val="0098274E"/>
    <w:rsid w:val="009A24AC"/>
    <w:rsid w:val="009C59D7"/>
    <w:rsid w:val="009C6FE6"/>
    <w:rsid w:val="009D7E7D"/>
    <w:rsid w:val="009E3286"/>
    <w:rsid w:val="00A12AD0"/>
    <w:rsid w:val="00A14DA8"/>
    <w:rsid w:val="00A312BC"/>
    <w:rsid w:val="00A60606"/>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55F24"/>
    <w:rsid w:val="00D873A8"/>
    <w:rsid w:val="00D90028"/>
    <w:rsid w:val="00D90138"/>
    <w:rsid w:val="00D9145B"/>
    <w:rsid w:val="00DD78D1"/>
    <w:rsid w:val="00DE32CD"/>
    <w:rsid w:val="00DF0A4C"/>
    <w:rsid w:val="00DF5767"/>
    <w:rsid w:val="00DF71B9"/>
    <w:rsid w:val="00E12C5F"/>
    <w:rsid w:val="00E342D8"/>
    <w:rsid w:val="00E73F76"/>
    <w:rsid w:val="00EA2C9F"/>
    <w:rsid w:val="00EA420E"/>
    <w:rsid w:val="00EC29D6"/>
    <w:rsid w:val="00ED0BDA"/>
    <w:rsid w:val="00ED1288"/>
    <w:rsid w:val="00EE142A"/>
    <w:rsid w:val="00EF1360"/>
    <w:rsid w:val="00EF3220"/>
    <w:rsid w:val="00F2523A"/>
    <w:rsid w:val="00F43903"/>
    <w:rsid w:val="00F744D1"/>
    <w:rsid w:val="00F94155"/>
    <w:rsid w:val="00F9783F"/>
    <w:rsid w:val="00FD0C1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BC2B6"/>
  <w15:docId w15:val="{5EE7F745-B9BF-4879-9B2C-71D8E2D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9417B7"/>
    <w:rPr>
      <w:lang w:val="ru-RU" w:eastAsia="en-US"/>
    </w:rPr>
  </w:style>
  <w:style w:type="character" w:customStyle="1" w:styleId="HChGChar">
    <w:name w:val="_ H _Ch_G Char"/>
    <w:link w:val="HChG"/>
    <w:rsid w:val="009417B7"/>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516</Words>
  <Characters>3487</Characters>
  <Application>Microsoft Office Word</Application>
  <DocSecurity>0</DocSecurity>
  <Lines>81</Lines>
  <Paragraphs>37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ECE/TRANS/WP.15/AC.2/2023/31</dc:title>
  <dc:subject/>
  <dc:creator>Shuvalova NATALIA</dc:creator>
  <cp:keywords/>
  <cp:lastModifiedBy>Natalia Shuvalova</cp:lastModifiedBy>
  <cp:revision>2</cp:revision>
  <cp:lastPrinted>2008-01-15T07:58:00Z</cp:lastPrinted>
  <dcterms:created xsi:type="dcterms:W3CDTF">2023-06-09T07:23:00Z</dcterms:created>
  <dcterms:modified xsi:type="dcterms:W3CDTF">2023-06-09T07:23:00Z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