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433FD" w:rsidRPr="00DB58B5" w14:paraId="56B68041" w14:textId="77777777" w:rsidTr="005316B0">
        <w:trPr>
          <w:trHeight w:hRule="exact" w:val="851"/>
        </w:trPr>
        <w:tc>
          <w:tcPr>
            <w:tcW w:w="1276" w:type="dxa"/>
            <w:tcBorders>
              <w:bottom w:val="single" w:sz="4" w:space="0" w:color="auto"/>
            </w:tcBorders>
          </w:tcPr>
          <w:p w14:paraId="5AEC869B" w14:textId="77777777" w:rsidR="001433FD" w:rsidRPr="00DB58B5" w:rsidRDefault="001433FD" w:rsidP="0001207F"/>
        </w:tc>
        <w:tc>
          <w:tcPr>
            <w:tcW w:w="2268" w:type="dxa"/>
            <w:tcBorders>
              <w:bottom w:val="single" w:sz="4" w:space="0" w:color="auto"/>
            </w:tcBorders>
            <w:vAlign w:val="bottom"/>
          </w:tcPr>
          <w:p w14:paraId="3EF4BCFA" w14:textId="77777777" w:rsidR="001433FD" w:rsidRPr="00DB58B5" w:rsidRDefault="001433FD" w:rsidP="00B472A5">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E02A666" w14:textId="77777777" w:rsidR="001433FD" w:rsidRPr="00DB58B5" w:rsidRDefault="00621B1F" w:rsidP="00621B1F">
            <w:pPr>
              <w:jc w:val="right"/>
            </w:pPr>
            <w:r w:rsidRPr="00621B1F">
              <w:rPr>
                <w:sz w:val="40"/>
              </w:rPr>
              <w:t>ECE</w:t>
            </w:r>
            <w:r>
              <w:t>/TRANS/WP.15/AC.1/2023/36</w:t>
            </w:r>
          </w:p>
        </w:tc>
      </w:tr>
      <w:tr w:rsidR="001433FD" w:rsidRPr="00DB58B5" w14:paraId="7ECB9493" w14:textId="77777777" w:rsidTr="00B472A5">
        <w:trPr>
          <w:trHeight w:hRule="exact" w:val="2835"/>
        </w:trPr>
        <w:tc>
          <w:tcPr>
            <w:tcW w:w="1276" w:type="dxa"/>
            <w:tcBorders>
              <w:top w:val="single" w:sz="4" w:space="0" w:color="auto"/>
              <w:bottom w:val="single" w:sz="12" w:space="0" w:color="auto"/>
            </w:tcBorders>
          </w:tcPr>
          <w:p w14:paraId="3263185A" w14:textId="77777777" w:rsidR="001433FD" w:rsidRPr="00DB58B5" w:rsidRDefault="001433FD" w:rsidP="00B472A5">
            <w:pPr>
              <w:spacing w:before="120"/>
              <w:jc w:val="center"/>
            </w:pPr>
            <w:r>
              <w:rPr>
                <w:noProof/>
                <w:lang w:eastAsia="fr-CH"/>
              </w:rPr>
              <w:drawing>
                <wp:inline distT="0" distB="0" distL="0" distR="0" wp14:anchorId="6E61FDE1" wp14:editId="40559E2B">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EAA0D43" w14:textId="77777777" w:rsidR="001433FD" w:rsidRPr="00740562" w:rsidRDefault="001433FD" w:rsidP="00B472A5">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7CCB91A3" w14:textId="77777777" w:rsidR="0001207F" w:rsidRDefault="00621B1F" w:rsidP="00621B1F">
            <w:pPr>
              <w:spacing w:before="240" w:line="240" w:lineRule="exact"/>
            </w:pPr>
            <w:proofErr w:type="spellStart"/>
            <w:r>
              <w:t>Distr</w:t>
            </w:r>
            <w:proofErr w:type="spellEnd"/>
            <w:r>
              <w:t xml:space="preserve">. </w:t>
            </w:r>
            <w:proofErr w:type="gramStart"/>
            <w:r>
              <w:t>générale</w:t>
            </w:r>
            <w:proofErr w:type="gramEnd"/>
          </w:p>
          <w:p w14:paraId="289F134D" w14:textId="77777777" w:rsidR="00621B1F" w:rsidRDefault="00621B1F" w:rsidP="00621B1F">
            <w:pPr>
              <w:spacing w:line="240" w:lineRule="exact"/>
            </w:pPr>
            <w:r>
              <w:t>28 juin 2023</w:t>
            </w:r>
          </w:p>
          <w:p w14:paraId="79B438D3" w14:textId="77777777" w:rsidR="00621B1F" w:rsidRDefault="00621B1F" w:rsidP="00621B1F">
            <w:pPr>
              <w:spacing w:line="240" w:lineRule="exact"/>
            </w:pPr>
          </w:p>
          <w:p w14:paraId="11F4FE47" w14:textId="77777777" w:rsidR="00621B1F" w:rsidRPr="00DB58B5" w:rsidRDefault="00621B1F" w:rsidP="00621B1F">
            <w:pPr>
              <w:spacing w:line="240" w:lineRule="exact"/>
            </w:pPr>
            <w:r>
              <w:t>Original : français</w:t>
            </w:r>
          </w:p>
        </w:tc>
      </w:tr>
    </w:tbl>
    <w:p w14:paraId="3ACCA891" w14:textId="77777777" w:rsidR="00C1378D" w:rsidRDefault="00C1378D" w:rsidP="00FD1581">
      <w:pPr>
        <w:spacing w:before="120"/>
        <w:rPr>
          <w:b/>
          <w:sz w:val="28"/>
          <w:szCs w:val="28"/>
        </w:rPr>
      </w:pPr>
      <w:r w:rsidRPr="00883605">
        <w:rPr>
          <w:b/>
          <w:sz w:val="28"/>
          <w:szCs w:val="28"/>
        </w:rPr>
        <w:t>Commission économique pour l’Europe</w:t>
      </w:r>
    </w:p>
    <w:p w14:paraId="586B95D8" w14:textId="77777777" w:rsidR="00C1378D" w:rsidRPr="008A7BD0" w:rsidRDefault="00C1378D" w:rsidP="00FD1581">
      <w:pPr>
        <w:spacing w:before="120"/>
        <w:rPr>
          <w:sz w:val="28"/>
          <w:szCs w:val="28"/>
          <w:lang w:val="fr-CA"/>
        </w:rPr>
      </w:pPr>
      <w:r w:rsidRPr="008A7BD0">
        <w:rPr>
          <w:sz w:val="28"/>
          <w:szCs w:val="28"/>
          <w:lang w:val="fr-CA"/>
        </w:rPr>
        <w:t>Comité des transports intérieurs</w:t>
      </w:r>
    </w:p>
    <w:p w14:paraId="32607123" w14:textId="77777777" w:rsidR="00C1378D" w:rsidRPr="008A7BD0" w:rsidRDefault="00C1378D" w:rsidP="00FD1581">
      <w:pPr>
        <w:spacing w:before="120"/>
        <w:rPr>
          <w:b/>
          <w:sz w:val="24"/>
          <w:szCs w:val="24"/>
          <w:lang w:val="fr-CA"/>
        </w:rPr>
      </w:pPr>
      <w:r w:rsidRPr="008A7BD0">
        <w:rPr>
          <w:b/>
          <w:bCs/>
          <w:sz w:val="24"/>
          <w:szCs w:val="24"/>
          <w:lang w:val="fr-FR"/>
        </w:rPr>
        <w:t xml:space="preserve">Groupe de travail des transports </w:t>
      </w:r>
      <w:r w:rsidRPr="008A7BD0">
        <w:rPr>
          <w:b/>
          <w:bCs/>
          <w:sz w:val="24"/>
          <w:szCs w:val="24"/>
          <w:lang w:val="fr-FR"/>
        </w:rPr>
        <w:br/>
        <w:t>de marchandises dangereuses</w:t>
      </w:r>
    </w:p>
    <w:p w14:paraId="38E1143F" w14:textId="77777777" w:rsidR="00C1378D" w:rsidRPr="008A7BD0" w:rsidRDefault="00C1378D" w:rsidP="00FD1581">
      <w:pPr>
        <w:spacing w:before="120"/>
        <w:rPr>
          <w:b/>
          <w:lang w:val="fr-FR"/>
        </w:rPr>
      </w:pPr>
      <w:r w:rsidRPr="008A7BD0">
        <w:rPr>
          <w:b/>
          <w:lang w:val="fr-FR"/>
        </w:rPr>
        <w:t xml:space="preserve">Réunion commune de la Commission d’experts du RID </w:t>
      </w:r>
      <w:r w:rsidRPr="008A7BD0">
        <w:rPr>
          <w:b/>
          <w:lang w:val="fr-FR"/>
        </w:rPr>
        <w:br/>
        <w:t xml:space="preserve">et du Groupe de travail des transports </w:t>
      </w:r>
      <w:r w:rsidRPr="008A7BD0">
        <w:rPr>
          <w:b/>
          <w:lang w:val="fr-FR"/>
        </w:rPr>
        <w:br/>
        <w:t>de marchandises dangereuses</w:t>
      </w:r>
    </w:p>
    <w:p w14:paraId="5EFEB152" w14:textId="77777777" w:rsidR="00593356" w:rsidRPr="003B02B7" w:rsidRDefault="00593356" w:rsidP="00593356">
      <w:pPr>
        <w:rPr>
          <w:rFonts w:eastAsiaTheme="minorHAnsi"/>
          <w:lang w:val="fr-FR" w:eastAsia="en-US"/>
        </w:rPr>
      </w:pPr>
      <w:r w:rsidRPr="003B02B7">
        <w:rPr>
          <w:rFonts w:eastAsiaTheme="minorHAnsi"/>
          <w:lang w:val="fr-FR" w:eastAsia="en-US"/>
        </w:rPr>
        <w:t>Genève, 19-29 septembre 2023</w:t>
      </w:r>
    </w:p>
    <w:p w14:paraId="00BD52A1" w14:textId="5EE27CF3" w:rsidR="00C1378D" w:rsidRPr="003B02B7" w:rsidRDefault="00C1378D" w:rsidP="00FD1581">
      <w:pPr>
        <w:rPr>
          <w:lang w:val="fr-FR"/>
        </w:rPr>
      </w:pPr>
      <w:r w:rsidRPr="00F55ED9">
        <w:rPr>
          <w:lang w:val="fr-FR"/>
        </w:rPr>
        <w:t xml:space="preserve">Point </w:t>
      </w:r>
      <w:r w:rsidR="00451225" w:rsidRPr="00F55ED9">
        <w:rPr>
          <w:lang w:val="fr-FR"/>
        </w:rPr>
        <w:t>5</w:t>
      </w:r>
      <w:r w:rsidR="008F3895" w:rsidRPr="00F55ED9">
        <w:rPr>
          <w:lang w:val="fr-FR"/>
        </w:rPr>
        <w:t xml:space="preserve"> b)</w:t>
      </w:r>
      <w:r w:rsidRPr="003B02B7">
        <w:rPr>
          <w:lang w:val="fr-FR"/>
        </w:rPr>
        <w:t xml:space="preserve"> de l’ordre du jour provisoire</w:t>
      </w:r>
    </w:p>
    <w:p w14:paraId="31D950BB" w14:textId="31E05A88" w:rsidR="0023029C" w:rsidRPr="00F55ED9" w:rsidRDefault="0023029C" w:rsidP="0023029C">
      <w:pPr>
        <w:rPr>
          <w:b/>
          <w:bCs/>
          <w:lang w:val="fr-FR"/>
        </w:rPr>
      </w:pPr>
      <w:r w:rsidRPr="00F55ED9">
        <w:rPr>
          <w:b/>
          <w:bCs/>
          <w:lang w:val="fr-FR"/>
        </w:rPr>
        <w:t>Propositions pour amendements du RID/ADR/ADN</w:t>
      </w:r>
      <w:r w:rsidR="00295980" w:rsidRPr="00F55ED9">
        <w:rPr>
          <w:b/>
          <w:bCs/>
          <w:lang w:val="fr-FR"/>
        </w:rPr>
        <w:t xml:space="preserve"> </w:t>
      </w:r>
      <w:r w:rsidRPr="00F55ED9">
        <w:rPr>
          <w:b/>
          <w:bCs/>
          <w:lang w:val="fr-FR"/>
        </w:rPr>
        <w:t>:</w:t>
      </w:r>
    </w:p>
    <w:p w14:paraId="78FAF564" w14:textId="77777777" w:rsidR="0023029C" w:rsidRPr="00CA2991" w:rsidRDefault="0023029C" w:rsidP="0023029C">
      <w:pPr>
        <w:rPr>
          <w:b/>
          <w:bCs/>
          <w:lang w:val="fr-BE"/>
        </w:rPr>
      </w:pPr>
      <w:r w:rsidRPr="00F55ED9">
        <w:rPr>
          <w:rStyle w:val="markedcontent"/>
          <w:b/>
          <w:bCs/>
          <w:lang w:val="fr-FR"/>
        </w:rPr>
        <w:t>Nouvelles propositions</w:t>
      </w:r>
    </w:p>
    <w:p w14:paraId="54AAB0FE" w14:textId="3BA707E8" w:rsidR="00DF38FC" w:rsidRPr="00CA2991" w:rsidRDefault="00A81D6C" w:rsidP="00DF38FC">
      <w:pPr>
        <w:pStyle w:val="HChG"/>
        <w:rPr>
          <w:lang w:val="fr-BE"/>
        </w:rPr>
      </w:pPr>
      <w:r>
        <w:rPr>
          <w:lang w:val="fr-BE"/>
        </w:rPr>
        <w:tab/>
      </w:r>
      <w:r>
        <w:rPr>
          <w:lang w:val="fr-BE"/>
        </w:rPr>
        <w:tab/>
      </w:r>
      <w:r w:rsidR="00DF38FC" w:rsidRPr="00CA2991">
        <w:rPr>
          <w:lang w:val="fr-BE"/>
        </w:rPr>
        <w:t>Définition de la contenance maximale</w:t>
      </w:r>
    </w:p>
    <w:p w14:paraId="3354E222" w14:textId="145E00BC" w:rsidR="00DF38FC" w:rsidRPr="00CA2991" w:rsidRDefault="00DF38FC" w:rsidP="00DF38FC">
      <w:pPr>
        <w:pStyle w:val="H1G"/>
        <w:rPr>
          <w:lang w:val="fr-BE"/>
        </w:rPr>
      </w:pPr>
      <w:r w:rsidRPr="00CA2991">
        <w:rPr>
          <w:lang w:val="fr-BE"/>
        </w:rPr>
        <w:tab/>
      </w:r>
      <w:r w:rsidRPr="00CA2991">
        <w:rPr>
          <w:lang w:val="fr-BE"/>
        </w:rPr>
        <w:tab/>
        <w:t xml:space="preserve">Transmis par le gouvernement </w:t>
      </w:r>
      <w:r>
        <w:rPr>
          <w:lang w:val="fr-BE"/>
        </w:rPr>
        <w:t xml:space="preserve">de la </w:t>
      </w:r>
      <w:r w:rsidRPr="00CA2991">
        <w:rPr>
          <w:lang w:val="fr-BE"/>
        </w:rPr>
        <w:t>Belg</w:t>
      </w:r>
      <w:r>
        <w:rPr>
          <w:lang w:val="fr-BE"/>
        </w:rPr>
        <w:t>iqu</w:t>
      </w:r>
      <w:r w:rsidRPr="00CA2991">
        <w:rPr>
          <w:lang w:val="fr-BE"/>
        </w:rPr>
        <w:t>e</w:t>
      </w:r>
      <w:r w:rsidR="005A1FF7" w:rsidRPr="00CE2861">
        <w:rPr>
          <w:rFonts w:eastAsia="Calibri"/>
          <w:bCs/>
          <w:spacing w:val="4"/>
          <w:w w:val="103"/>
          <w:kern w:val="14"/>
          <w:vertAlign w:val="superscript"/>
          <w:lang w:val="fr-FR" w:eastAsia="en-US"/>
        </w:rPr>
        <w:footnoteReference w:customMarkFollows="1" w:id="2"/>
        <w:t xml:space="preserve">*, </w:t>
      </w:r>
      <w:r w:rsidR="005A1FF7" w:rsidRPr="00CE2861">
        <w:rPr>
          <w:rFonts w:eastAsia="Calibri"/>
          <w:bCs/>
          <w:spacing w:val="4"/>
          <w:w w:val="103"/>
          <w:kern w:val="14"/>
          <w:vertAlign w:val="superscript"/>
          <w:lang w:val="fr-FR" w:eastAsia="en-US"/>
        </w:rPr>
        <w:footnoteReference w:customMarkFollows="1" w:id="3"/>
        <w:t>**</w:t>
      </w:r>
    </w:p>
    <w:p w14:paraId="5A73EE5E" w14:textId="77777777" w:rsidR="00DF38FC" w:rsidRPr="00CA2991" w:rsidRDefault="00DF38FC" w:rsidP="00DF38FC">
      <w:pPr>
        <w:pStyle w:val="HChG"/>
        <w:rPr>
          <w:lang w:val="fr-BE"/>
        </w:rPr>
      </w:pPr>
      <w:r w:rsidRPr="00CA2991">
        <w:rPr>
          <w:lang w:val="fr-BE"/>
        </w:rPr>
        <w:tab/>
      </w:r>
      <w:r w:rsidRPr="00CA2991">
        <w:rPr>
          <w:lang w:val="fr-BE"/>
        </w:rPr>
        <w:tab/>
        <w:t>Introduction</w:t>
      </w:r>
    </w:p>
    <w:p w14:paraId="2C8C78F2" w14:textId="2A51A5C8" w:rsidR="00DF38FC" w:rsidRPr="00CA2991" w:rsidRDefault="00DF38FC" w:rsidP="00DF38FC">
      <w:pPr>
        <w:pStyle w:val="SingleTxtG"/>
        <w:rPr>
          <w:lang w:val="fr-BE"/>
        </w:rPr>
      </w:pPr>
      <w:r w:rsidRPr="00CA2991">
        <w:rPr>
          <w:lang w:val="fr-BE"/>
        </w:rPr>
        <w:t>1.</w:t>
      </w:r>
      <w:r w:rsidRPr="00CA2991">
        <w:rPr>
          <w:lang w:val="fr-BE"/>
        </w:rPr>
        <w:tab/>
      </w:r>
      <w:r>
        <w:rPr>
          <w:lang w:val="fr-BE"/>
        </w:rPr>
        <w:t>Le 1.2.1 du</w:t>
      </w:r>
      <w:r w:rsidRPr="00CA2991">
        <w:rPr>
          <w:lang w:val="fr-BE"/>
        </w:rPr>
        <w:t xml:space="preserve"> RID/ADR/AD</w:t>
      </w:r>
      <w:r w:rsidR="007F18B0">
        <w:rPr>
          <w:lang w:val="fr-BE"/>
        </w:rPr>
        <w:t>N</w:t>
      </w:r>
      <w:r w:rsidRPr="00CA2991">
        <w:rPr>
          <w:lang w:val="fr-BE"/>
        </w:rPr>
        <w:t xml:space="preserve"> définit </w:t>
      </w:r>
      <w:proofErr w:type="gramStart"/>
      <w:r w:rsidRPr="00CA2991">
        <w:rPr>
          <w:lang w:val="fr-BE"/>
        </w:rPr>
        <w:t xml:space="preserve">la </w:t>
      </w:r>
      <w:r w:rsidR="00F03D60">
        <w:rPr>
          <w:lang w:val="fr-BE"/>
        </w:rPr>
        <w:t> «</w:t>
      </w:r>
      <w:proofErr w:type="gramEnd"/>
      <w:r w:rsidR="00F03D60">
        <w:rPr>
          <w:lang w:val="fr-BE"/>
        </w:rPr>
        <w:t> </w:t>
      </w:r>
      <w:r w:rsidRPr="00CA2991">
        <w:rPr>
          <w:lang w:val="fr-BE"/>
        </w:rPr>
        <w:t>contenance maximale</w:t>
      </w:r>
      <w:r w:rsidR="00F03D60">
        <w:rPr>
          <w:lang w:val="fr-BE"/>
        </w:rPr>
        <w:t> »</w:t>
      </w:r>
      <w:r w:rsidRPr="00CA2991">
        <w:rPr>
          <w:lang w:val="fr-BE"/>
        </w:rPr>
        <w:t xml:space="preserve"> comme </w:t>
      </w:r>
      <w:r w:rsidR="005A6AF5">
        <w:rPr>
          <w:lang w:val="fr-BE"/>
        </w:rPr>
        <w:t>« </w:t>
      </w:r>
      <w:r w:rsidRPr="00CA2991">
        <w:rPr>
          <w:lang w:val="fr-BE"/>
        </w:rPr>
        <w:t>le volume intérieur maximum des récipients ou des emballages y compris des grands emballages et des grands récipients pour vrac (GRV), exprimé en mètres cubes ou litres »</w:t>
      </w:r>
      <w:r>
        <w:rPr>
          <w:lang w:val="fr-BE"/>
        </w:rPr>
        <w:t>.</w:t>
      </w:r>
    </w:p>
    <w:p w14:paraId="2408ABDD" w14:textId="1951BD0E" w:rsidR="00DF38FC" w:rsidRDefault="00DF38FC" w:rsidP="00DF38FC">
      <w:pPr>
        <w:pStyle w:val="SingleTxtG"/>
        <w:rPr>
          <w:lang w:val="fr-BE"/>
        </w:rPr>
      </w:pPr>
      <w:r w:rsidRPr="00CA2991">
        <w:rPr>
          <w:lang w:val="fr-BE"/>
        </w:rPr>
        <w:t>2.</w:t>
      </w:r>
      <w:r w:rsidRPr="00CA2991">
        <w:rPr>
          <w:lang w:val="fr-BE"/>
        </w:rPr>
        <w:tab/>
      </w:r>
      <w:r>
        <w:rPr>
          <w:lang w:val="fr-BE"/>
        </w:rPr>
        <w:t>« Contenance maximale » apparaît une quarantaine de fois dans le texte, mais « contenance » apparaît aussi à plus de 170 reprises, sans compter deux occurrences de « contenance maximum ». Une quinzaine de ces occurrences sont liées aux citernes, pas aux emballages.</w:t>
      </w:r>
    </w:p>
    <w:p w14:paraId="128B24D8" w14:textId="19A2C0F2" w:rsidR="00DF38FC" w:rsidRDefault="00DF38FC" w:rsidP="00AE57EE">
      <w:pPr>
        <w:pStyle w:val="SingleTxtG"/>
        <w:rPr>
          <w:lang w:val="fr-BE"/>
        </w:rPr>
      </w:pPr>
      <w:r w:rsidRPr="00CA2991">
        <w:rPr>
          <w:lang w:val="fr-BE"/>
        </w:rPr>
        <w:t>3.</w:t>
      </w:r>
      <w:r w:rsidRPr="00CA2991">
        <w:rPr>
          <w:lang w:val="fr-BE"/>
        </w:rPr>
        <w:tab/>
      </w:r>
      <w:r>
        <w:rPr>
          <w:lang w:val="fr-BE"/>
        </w:rPr>
        <w:t xml:space="preserve">De manière générale, « contenance maximale » est utilisé dans les dispositions spéciales et les instructions d’emballage pour définir les limites de contenance d’un emballage utilisé en fonction du tableau A. « Contenance maximale » est aussi utilisé dans les prescriptions relatives aux emballages de la </w:t>
      </w:r>
      <w:r w:rsidR="003B02B7">
        <w:rPr>
          <w:lang w:val="fr-BE"/>
        </w:rPr>
        <w:t xml:space="preserve">partie </w:t>
      </w:r>
      <w:r>
        <w:rPr>
          <w:lang w:val="fr-BE"/>
        </w:rPr>
        <w:t>6 pour définir de manière générale une limite de capacité pour tel ou tel type d’emballage.</w:t>
      </w:r>
    </w:p>
    <w:p w14:paraId="7F1135AD" w14:textId="13D0B96A" w:rsidR="00DF38FC" w:rsidRPr="00CA2991" w:rsidRDefault="00DF38FC" w:rsidP="00DF38FC">
      <w:pPr>
        <w:pStyle w:val="SingleTxtG"/>
        <w:rPr>
          <w:lang w:val="fr-BE"/>
        </w:rPr>
      </w:pPr>
      <w:r w:rsidRPr="00CA2991">
        <w:rPr>
          <w:lang w:val="fr-BE"/>
        </w:rPr>
        <w:t>4.</w:t>
      </w:r>
      <w:r w:rsidR="00D15D18">
        <w:rPr>
          <w:lang w:val="fr-BE"/>
        </w:rPr>
        <w:tab/>
      </w:r>
      <w:r>
        <w:rPr>
          <w:lang w:val="fr-BE"/>
        </w:rPr>
        <w:t>« Contenance » est aussi fréquemment utilisé dans ce contexte, mais presque toujours dans une tournure de phrase ayant le même sens (« la contenance ne doit pas dépasser », …)</w:t>
      </w:r>
      <w:r w:rsidRPr="00CA2991">
        <w:rPr>
          <w:lang w:val="fr-BE"/>
        </w:rPr>
        <w:t>.</w:t>
      </w:r>
    </w:p>
    <w:p w14:paraId="52452B6D" w14:textId="78F9FA4C" w:rsidR="00DF38FC" w:rsidRPr="00CA2991" w:rsidRDefault="00DF38FC" w:rsidP="00DF38FC">
      <w:pPr>
        <w:pStyle w:val="SingleTxtG"/>
        <w:rPr>
          <w:lang w:val="fr-BE"/>
        </w:rPr>
      </w:pPr>
      <w:r>
        <w:rPr>
          <w:lang w:val="fr-BE"/>
        </w:rPr>
        <w:t>5</w:t>
      </w:r>
      <w:r w:rsidRPr="00CA2991">
        <w:rPr>
          <w:lang w:val="fr-BE"/>
        </w:rPr>
        <w:t>.</w:t>
      </w:r>
      <w:r w:rsidRPr="00CA2991">
        <w:rPr>
          <w:lang w:val="fr-BE"/>
        </w:rPr>
        <w:tab/>
      </w:r>
      <w:r>
        <w:rPr>
          <w:lang w:val="fr-BE"/>
        </w:rPr>
        <w:t xml:space="preserve">« Contenance maximale » est enfin utilisé dans les prescriptions relatives aux épreuves et au marquage pour les emballages de la </w:t>
      </w:r>
      <w:r w:rsidR="003B02B7">
        <w:rPr>
          <w:lang w:val="fr-BE"/>
        </w:rPr>
        <w:t xml:space="preserve">partie </w:t>
      </w:r>
      <w:r>
        <w:rPr>
          <w:lang w:val="fr-BE"/>
        </w:rPr>
        <w:t xml:space="preserve">6. Dans ce cas, elle se réfère à un </w:t>
      </w:r>
      <w:r>
        <w:rPr>
          <w:lang w:val="fr-BE"/>
        </w:rPr>
        <w:lastRenderedPageBreak/>
        <w:t>modèle type particulier d’emballage. L’usage alternatif de « contenance » est aussi fréquent dans ce cas.</w:t>
      </w:r>
    </w:p>
    <w:p w14:paraId="0A37D3E9" w14:textId="6379C127" w:rsidR="00DF38FC" w:rsidRPr="00CA2991" w:rsidRDefault="00DF38FC" w:rsidP="005C3D56">
      <w:pPr>
        <w:pStyle w:val="SingleTxtG"/>
        <w:rPr>
          <w:lang w:val="fr-BE"/>
        </w:rPr>
      </w:pPr>
      <w:r>
        <w:rPr>
          <w:lang w:val="fr-BE"/>
        </w:rPr>
        <w:t>6</w:t>
      </w:r>
      <w:r w:rsidRPr="00CA2991">
        <w:rPr>
          <w:lang w:val="fr-BE"/>
        </w:rPr>
        <w:t>.</w:t>
      </w:r>
      <w:r w:rsidRPr="00CA2991">
        <w:rPr>
          <w:lang w:val="fr-BE"/>
        </w:rPr>
        <w:tab/>
      </w:r>
      <w:r>
        <w:rPr>
          <w:lang w:val="fr-BE"/>
        </w:rPr>
        <w:t>Dans les cas relatifs à une prescription générale ou à un emballage en particulier (</w:t>
      </w:r>
      <w:proofErr w:type="spellStart"/>
      <w:r>
        <w:rPr>
          <w:lang w:val="fr-BE"/>
        </w:rPr>
        <w:t>p.e</w:t>
      </w:r>
      <w:proofErr w:type="spellEnd"/>
      <w:r>
        <w:rPr>
          <w:lang w:val="fr-BE"/>
        </w:rPr>
        <w:t>. quand on définit le taux de remplissage), « Contenance » est généralement utilisée seule</w:t>
      </w:r>
      <w:r w:rsidRPr="00CA2991">
        <w:rPr>
          <w:lang w:val="fr-BE"/>
        </w:rPr>
        <w:t>.</w:t>
      </w:r>
      <w:r w:rsidR="005C3D56">
        <w:rPr>
          <w:lang w:val="fr-BE"/>
        </w:rPr>
        <w:t xml:space="preserve"> </w:t>
      </w:r>
      <w:r>
        <w:rPr>
          <w:lang w:val="fr-BE"/>
        </w:rPr>
        <w:t>Or, le terme « contenance » n’est pas défini. Cela prête à confusion.</w:t>
      </w:r>
    </w:p>
    <w:p w14:paraId="1AC952C3" w14:textId="77777777" w:rsidR="00DF38FC" w:rsidRPr="00CA2991" w:rsidRDefault="00DF38FC" w:rsidP="00DF38FC">
      <w:pPr>
        <w:pStyle w:val="HChG"/>
        <w:rPr>
          <w:lang w:val="fr-BE"/>
        </w:rPr>
      </w:pPr>
      <w:r w:rsidRPr="00CA2991">
        <w:rPr>
          <w:lang w:val="fr-BE"/>
        </w:rPr>
        <w:tab/>
      </w:r>
      <w:r w:rsidRPr="00CA2991">
        <w:rPr>
          <w:lang w:val="fr-BE"/>
        </w:rPr>
        <w:tab/>
        <w:t>Propos</w:t>
      </w:r>
      <w:r>
        <w:rPr>
          <w:lang w:val="fr-BE"/>
        </w:rPr>
        <w:t>itions</w:t>
      </w:r>
    </w:p>
    <w:p w14:paraId="3878B066" w14:textId="50F3D048" w:rsidR="00DF38FC" w:rsidRPr="00CA2991" w:rsidRDefault="00DF38FC" w:rsidP="00DF38FC">
      <w:pPr>
        <w:pStyle w:val="SingleTxtG"/>
        <w:rPr>
          <w:lang w:val="fr-BE"/>
        </w:rPr>
      </w:pPr>
      <w:r>
        <w:rPr>
          <w:lang w:val="fr-BE"/>
        </w:rPr>
        <w:t>7</w:t>
      </w:r>
      <w:r w:rsidRPr="00CA2991">
        <w:rPr>
          <w:lang w:val="fr-BE"/>
        </w:rPr>
        <w:t>.</w:t>
      </w:r>
      <w:r w:rsidRPr="00CA2991">
        <w:rPr>
          <w:lang w:val="fr-BE"/>
        </w:rPr>
        <w:tab/>
      </w:r>
      <w:r w:rsidR="00BD38BE">
        <w:rPr>
          <w:lang w:val="fr-BE"/>
        </w:rPr>
        <w:t>Au 1.2.1, a</w:t>
      </w:r>
      <w:r w:rsidRPr="00CA2991">
        <w:rPr>
          <w:lang w:val="fr-BE"/>
        </w:rPr>
        <w:t>mend</w:t>
      </w:r>
      <w:r>
        <w:rPr>
          <w:lang w:val="fr-BE"/>
        </w:rPr>
        <w:t>er la définition de « Contenance maximale » comme suit</w:t>
      </w:r>
      <w:r w:rsidR="003D38B9">
        <w:rPr>
          <w:lang w:val="fr-BE"/>
        </w:rPr>
        <w:t xml:space="preserve"> (texte supprimé est barré)</w:t>
      </w:r>
      <w:r>
        <w:rPr>
          <w:lang w:val="fr-BE"/>
        </w:rPr>
        <w:t> :</w:t>
      </w:r>
    </w:p>
    <w:p w14:paraId="0913FD51" w14:textId="77777777" w:rsidR="00DF38FC" w:rsidRDefault="00DF38FC" w:rsidP="00DF38FC">
      <w:pPr>
        <w:pStyle w:val="SingleTxtG"/>
        <w:rPr>
          <w:lang w:val="fr-BE"/>
        </w:rPr>
      </w:pPr>
      <w:r w:rsidRPr="00BA4447">
        <w:rPr>
          <w:lang w:val="fr-BE"/>
        </w:rPr>
        <w:t>« Contenance</w:t>
      </w:r>
      <w:r>
        <w:rPr>
          <w:lang w:val="fr-BE"/>
        </w:rPr>
        <w:t xml:space="preserve"> </w:t>
      </w:r>
      <w:r w:rsidRPr="00705646">
        <w:rPr>
          <w:strike/>
          <w:lang w:val="fr-BE"/>
        </w:rPr>
        <w:t>maximale</w:t>
      </w:r>
      <w:r w:rsidRPr="00BA4447">
        <w:rPr>
          <w:lang w:val="fr-BE"/>
        </w:rPr>
        <w:t xml:space="preserve"> », le volume intérieur maximum des récipients ou des emballages y compris des grands emballages et des grands récipients pour vrac (GRV), exprimé en mètres cubes ou litres ;</w:t>
      </w:r>
    </w:p>
    <w:p w14:paraId="5EE9D21C" w14:textId="34419796" w:rsidR="00DF38FC" w:rsidRDefault="00DF38FC" w:rsidP="00DF38FC">
      <w:pPr>
        <w:pStyle w:val="SingleTxtG"/>
        <w:rPr>
          <w:lang w:val="fr-BE"/>
        </w:rPr>
      </w:pPr>
      <w:r>
        <w:rPr>
          <w:lang w:val="fr-BE"/>
        </w:rPr>
        <w:t>8.</w:t>
      </w:r>
      <w:r>
        <w:rPr>
          <w:lang w:val="fr-BE"/>
        </w:rPr>
        <w:tab/>
      </w:r>
      <w:r w:rsidR="0027784D">
        <w:rPr>
          <w:lang w:val="fr-BE"/>
        </w:rPr>
        <w:t>Au 4.1.4.1, d</w:t>
      </w:r>
      <w:r>
        <w:rPr>
          <w:lang w:val="fr-BE"/>
        </w:rPr>
        <w:t>ans le 1</w:t>
      </w:r>
      <w:r w:rsidRPr="007614D9">
        <w:rPr>
          <w:vertAlign w:val="superscript"/>
          <w:lang w:val="fr-BE"/>
        </w:rPr>
        <w:t>er</w:t>
      </w:r>
      <w:r>
        <w:rPr>
          <w:lang w:val="fr-BE"/>
        </w:rPr>
        <w:t xml:space="preserve"> tableau de l</w:t>
      </w:r>
      <w:r w:rsidR="00C12C18">
        <w:rPr>
          <w:lang w:val="fr-BE"/>
        </w:rPr>
        <w:t>'instruction d'emballe</w:t>
      </w:r>
      <w:r>
        <w:rPr>
          <w:lang w:val="fr-BE"/>
        </w:rPr>
        <w:t xml:space="preserve"> P501 (Emballages combinés), aligner le texte sur les autres instructions d’emballage :</w:t>
      </w:r>
    </w:p>
    <w:p w14:paraId="4B2E532A" w14:textId="794F1D29" w:rsidR="00DF38FC" w:rsidRPr="00BA4447" w:rsidRDefault="00DF38FC" w:rsidP="00DF38FC">
      <w:pPr>
        <w:pStyle w:val="SingleTxtG"/>
        <w:rPr>
          <w:lang w:val="fr-BE"/>
        </w:rPr>
      </w:pPr>
      <w:r>
        <w:rPr>
          <w:lang w:val="fr-BE"/>
        </w:rPr>
        <w:t xml:space="preserve">« Contenance </w:t>
      </w:r>
      <w:r w:rsidRPr="00BA4447">
        <w:rPr>
          <w:i/>
          <w:iCs/>
          <w:u w:val="single"/>
          <w:lang w:val="fr-BE"/>
        </w:rPr>
        <w:t>maximale</w:t>
      </w:r>
      <w:r>
        <w:rPr>
          <w:lang w:val="fr-BE"/>
        </w:rPr>
        <w:t xml:space="preserve"> des emballages intérieurs »</w:t>
      </w:r>
    </w:p>
    <w:p w14:paraId="4B3947AD" w14:textId="53612A16" w:rsidR="00DF38FC" w:rsidRDefault="00DF38FC" w:rsidP="00DF38FC">
      <w:pPr>
        <w:pStyle w:val="SingleTxtG"/>
        <w:rPr>
          <w:lang w:val="fr-BE"/>
        </w:rPr>
      </w:pPr>
      <w:r>
        <w:rPr>
          <w:lang w:val="fr-BE"/>
        </w:rPr>
        <w:t>9.</w:t>
      </w:r>
      <w:r w:rsidR="0086663A">
        <w:rPr>
          <w:lang w:val="fr-BE"/>
        </w:rPr>
        <w:tab/>
      </w:r>
      <w:r>
        <w:rPr>
          <w:lang w:val="fr-BE"/>
        </w:rPr>
        <w:t xml:space="preserve">Aligner le 6.1.5.2.1 sur les 6.2.2.7.3, 6.2.6.3.1.1, 6.2.6.3.2.3.1, 6.3.5.2.1, </w:t>
      </w:r>
      <w:r w:rsidRPr="00343644">
        <w:rPr>
          <w:lang w:val="fr-BE"/>
        </w:rPr>
        <w:t>6.5.6.10.2</w:t>
      </w:r>
      <w:r>
        <w:rPr>
          <w:lang w:val="fr-BE"/>
        </w:rPr>
        <w:t xml:space="preserve">, </w:t>
      </w:r>
      <w:r w:rsidRPr="00343644">
        <w:rPr>
          <w:lang w:val="fr-BE"/>
        </w:rPr>
        <w:t>6.5.6.1</w:t>
      </w:r>
      <w:r>
        <w:rPr>
          <w:lang w:val="fr-BE"/>
        </w:rPr>
        <w:t>1</w:t>
      </w:r>
      <w:r w:rsidRPr="00343644">
        <w:rPr>
          <w:lang w:val="fr-BE"/>
        </w:rPr>
        <w:t>.2</w:t>
      </w:r>
      <w:r>
        <w:rPr>
          <w:lang w:val="fr-BE"/>
        </w:rPr>
        <w:t xml:space="preserve"> et </w:t>
      </w:r>
      <w:r w:rsidRPr="00343644">
        <w:rPr>
          <w:lang w:val="fr-BE"/>
        </w:rPr>
        <w:t>6.5.6.1</w:t>
      </w:r>
      <w:r>
        <w:rPr>
          <w:lang w:val="fr-BE"/>
        </w:rPr>
        <w:t>2</w:t>
      </w:r>
      <w:r w:rsidRPr="00343644">
        <w:rPr>
          <w:lang w:val="fr-BE"/>
        </w:rPr>
        <w:t>.2</w:t>
      </w:r>
      <w:r>
        <w:rPr>
          <w:lang w:val="fr-BE"/>
        </w:rPr>
        <w:t xml:space="preserve"> en remplaçant « contenance maximale » par « contenance » :</w:t>
      </w:r>
    </w:p>
    <w:p w14:paraId="6F7F9462" w14:textId="77777777" w:rsidR="00DF38FC" w:rsidRDefault="00DF38FC" w:rsidP="005753DD">
      <w:pPr>
        <w:pStyle w:val="SingleTxtG"/>
        <w:ind w:left="1701"/>
        <w:rPr>
          <w:lang w:val="fr-BE"/>
        </w:rPr>
      </w:pPr>
      <w:r>
        <w:rPr>
          <w:lang w:val="fr-BE"/>
        </w:rPr>
        <w:t>« </w:t>
      </w:r>
      <w:r w:rsidRPr="007614D9">
        <w:rPr>
          <w:lang w:val="fr-BE"/>
        </w:rPr>
        <w:t xml:space="preserve">6.1.5.2.1 Les épreuves doivent être exécutées sur des emballages prêts pour le transport, y compris en ce qui concerne les emballages combinés, les emballages intérieurs utilisés. Les récipients ou emballages intérieurs ou simples autres que des sacs doivent être remplis au moins à 98 % de leur contenance </w:t>
      </w:r>
      <w:r w:rsidRPr="007614D9">
        <w:rPr>
          <w:strike/>
          <w:lang w:val="fr-BE"/>
        </w:rPr>
        <w:t>maximale</w:t>
      </w:r>
      <w:r w:rsidRPr="007614D9">
        <w:rPr>
          <w:lang w:val="fr-BE"/>
        </w:rPr>
        <w:t xml:space="preserve"> pour les liquides et 95 % pour les solides. Les sacs doivent être remplis jusqu'à la masse maximale à laquelle ils peuvent être utilisés. Pour les emballages combinés dans lesquels l'emballage intérieur est destiné à contenir des matières solides ou liquides, des épreuves distinctes sont exigées pour le contenu liquide et pour le contenu solide. Les matières ou objets à transporter dans les emballages peuvent être remplacés par d'autres matières ou objets, sauf si cela est de nature à fausser les résultats des épreuves. Pour les matières solides, si une autre matière est utilisée, elle doit avoir les mêmes caractéristiques physiques (masse, granulométrie, etc.) que la matière à transporter. Il est permis d'utiliser des charges additionnelles, telles que des sacs de grenaille de plomb, pour obtenir la masse totale requise du colis, à condition qu'elles soient placées de manière à ne pas fausser les résultats de l'épreuve.</w:t>
      </w:r>
      <w:r>
        <w:rPr>
          <w:lang w:val="fr-BE"/>
        </w:rPr>
        <w:t> »</w:t>
      </w:r>
    </w:p>
    <w:p w14:paraId="0C6C59F5" w14:textId="51986A9A" w:rsidR="00DF38FC" w:rsidRPr="00E30E14" w:rsidRDefault="00DF38FC" w:rsidP="00DF38FC">
      <w:pPr>
        <w:pStyle w:val="SingleTxtG"/>
        <w:rPr>
          <w:lang w:val="fr-BE"/>
        </w:rPr>
      </w:pPr>
      <w:r w:rsidRPr="00E30E14">
        <w:rPr>
          <w:lang w:val="fr-BE"/>
        </w:rPr>
        <w:t>10.</w:t>
      </w:r>
      <w:r w:rsidR="0086663A">
        <w:rPr>
          <w:lang w:val="fr-BE"/>
        </w:rPr>
        <w:tab/>
      </w:r>
      <w:r w:rsidRPr="00E30E14">
        <w:rPr>
          <w:lang w:val="fr-BE"/>
        </w:rPr>
        <w:t>Aligner le 6.1.5.8.1 sur les 6.2.3.9.3, 6.2.3.11.4 et 6.4.21.8 en modifiant le point 7</w:t>
      </w:r>
      <w:r w:rsidR="00CA0E86">
        <w:rPr>
          <w:lang w:val="fr-BE"/>
        </w:rPr>
        <w:t xml:space="preserve"> (texte supprimé est barré)</w:t>
      </w:r>
      <w:r w:rsidRPr="00E30E14">
        <w:rPr>
          <w:lang w:val="fr-BE"/>
        </w:rPr>
        <w:t> :</w:t>
      </w:r>
    </w:p>
    <w:p w14:paraId="784D9B13" w14:textId="77777777" w:rsidR="00DF38FC" w:rsidRPr="00E30E14" w:rsidRDefault="00DF38FC" w:rsidP="00DF38FC">
      <w:pPr>
        <w:pStyle w:val="SingleTxtG"/>
        <w:rPr>
          <w:lang w:val="fr-BE"/>
        </w:rPr>
      </w:pPr>
      <w:r w:rsidRPr="00E30E14">
        <w:rPr>
          <w:lang w:val="fr-BE"/>
        </w:rPr>
        <w:t xml:space="preserve">« 7. Contenance </w:t>
      </w:r>
      <w:r w:rsidRPr="00705646">
        <w:rPr>
          <w:strike/>
          <w:lang w:val="fr-BE"/>
        </w:rPr>
        <w:t>maximale</w:t>
      </w:r>
      <w:r w:rsidRPr="00E30E14">
        <w:rPr>
          <w:lang w:val="fr-BE"/>
        </w:rPr>
        <w:t xml:space="preserve"> ; »</w:t>
      </w:r>
    </w:p>
    <w:p w14:paraId="300D1E0E" w14:textId="5F3E8344" w:rsidR="00DF38FC" w:rsidRPr="00E30E14" w:rsidRDefault="00DF38FC" w:rsidP="00DF38FC">
      <w:pPr>
        <w:pStyle w:val="SingleTxtG"/>
        <w:rPr>
          <w:lang w:val="fr-BE"/>
        </w:rPr>
      </w:pPr>
      <w:r w:rsidRPr="00E30E14">
        <w:rPr>
          <w:lang w:val="fr-BE"/>
        </w:rPr>
        <w:t>11.</w:t>
      </w:r>
      <w:r w:rsidR="006F699A">
        <w:rPr>
          <w:lang w:val="fr-BE"/>
        </w:rPr>
        <w:tab/>
      </w:r>
      <w:r w:rsidRPr="00E30E14">
        <w:rPr>
          <w:lang w:val="fr-BE"/>
        </w:rPr>
        <w:t>Aligner le 6.3.5.5.1 sur les 6.2.3.9.3, 6.2.3.11.4 et 6.4.21.8 en modifiant le point 7</w:t>
      </w:r>
      <w:r w:rsidR="00461382">
        <w:rPr>
          <w:lang w:val="fr-BE"/>
        </w:rPr>
        <w:t xml:space="preserve"> </w:t>
      </w:r>
      <w:r w:rsidR="00CA0E86">
        <w:rPr>
          <w:lang w:val="fr-BE"/>
        </w:rPr>
        <w:t>(texte supprimé est barré)</w:t>
      </w:r>
      <w:r w:rsidRPr="00E30E14">
        <w:rPr>
          <w:lang w:val="fr-BE"/>
        </w:rPr>
        <w:t> :</w:t>
      </w:r>
    </w:p>
    <w:p w14:paraId="72A3B1C7" w14:textId="77777777" w:rsidR="00DF38FC" w:rsidRPr="00E30E14" w:rsidRDefault="00DF38FC" w:rsidP="00DF38FC">
      <w:pPr>
        <w:pStyle w:val="SingleTxtG"/>
        <w:rPr>
          <w:lang w:val="fr-BE"/>
        </w:rPr>
      </w:pPr>
      <w:r w:rsidRPr="00E30E14">
        <w:rPr>
          <w:lang w:val="fr-BE"/>
        </w:rPr>
        <w:t xml:space="preserve">« 7. Contenance </w:t>
      </w:r>
      <w:r w:rsidRPr="00705646">
        <w:rPr>
          <w:strike/>
          <w:lang w:val="fr-BE"/>
        </w:rPr>
        <w:t>maximale</w:t>
      </w:r>
      <w:r w:rsidRPr="00E30E14">
        <w:rPr>
          <w:lang w:val="fr-BE"/>
        </w:rPr>
        <w:t xml:space="preserve"> ; »</w:t>
      </w:r>
    </w:p>
    <w:p w14:paraId="3C220106" w14:textId="7C3EA210" w:rsidR="00DF38FC" w:rsidRDefault="00DF38FC" w:rsidP="00DF38FC">
      <w:pPr>
        <w:pStyle w:val="SingleTxtG"/>
        <w:rPr>
          <w:lang w:val="fr-BE"/>
        </w:rPr>
      </w:pPr>
      <w:r w:rsidRPr="00343644">
        <w:rPr>
          <w:lang w:val="fr-BE"/>
        </w:rPr>
        <w:t>12.</w:t>
      </w:r>
      <w:r w:rsidR="006F699A">
        <w:rPr>
          <w:lang w:val="fr-BE"/>
        </w:rPr>
        <w:tab/>
      </w:r>
      <w:r>
        <w:rPr>
          <w:lang w:val="fr-BE"/>
        </w:rPr>
        <w:t xml:space="preserve">Aligner le 6.5.6.9.2 sur les 6.2.2.7.3, 6.2.6.3.1.1, 6.2.6.3.2.3.1, 6.3.5.2.1, </w:t>
      </w:r>
      <w:r w:rsidRPr="00343644">
        <w:rPr>
          <w:lang w:val="fr-BE"/>
        </w:rPr>
        <w:t>6.5.6.10.2</w:t>
      </w:r>
      <w:r>
        <w:rPr>
          <w:lang w:val="fr-BE"/>
        </w:rPr>
        <w:t xml:space="preserve">, </w:t>
      </w:r>
      <w:r w:rsidRPr="00343644">
        <w:rPr>
          <w:lang w:val="fr-BE"/>
        </w:rPr>
        <w:t>6.5.6.1</w:t>
      </w:r>
      <w:r>
        <w:rPr>
          <w:lang w:val="fr-BE"/>
        </w:rPr>
        <w:t>1</w:t>
      </w:r>
      <w:r w:rsidRPr="00343644">
        <w:rPr>
          <w:lang w:val="fr-BE"/>
        </w:rPr>
        <w:t>.2</w:t>
      </w:r>
      <w:r>
        <w:rPr>
          <w:lang w:val="fr-BE"/>
        </w:rPr>
        <w:t xml:space="preserve"> et </w:t>
      </w:r>
      <w:r w:rsidRPr="00343644">
        <w:rPr>
          <w:lang w:val="fr-BE"/>
        </w:rPr>
        <w:t>6.5.6.1</w:t>
      </w:r>
      <w:r>
        <w:rPr>
          <w:lang w:val="fr-BE"/>
        </w:rPr>
        <w:t>2</w:t>
      </w:r>
      <w:r w:rsidRPr="00343644">
        <w:rPr>
          <w:lang w:val="fr-BE"/>
        </w:rPr>
        <w:t>.2</w:t>
      </w:r>
      <w:r>
        <w:rPr>
          <w:lang w:val="fr-BE"/>
        </w:rPr>
        <w:t xml:space="preserve"> en remplaçant « contenance maximale » par « contenance »</w:t>
      </w:r>
      <w:r w:rsidR="00461382">
        <w:rPr>
          <w:lang w:val="fr-BE"/>
        </w:rPr>
        <w:t xml:space="preserve"> (texte supprimé est barré)</w:t>
      </w:r>
      <w:r>
        <w:rPr>
          <w:lang w:val="fr-BE"/>
        </w:rPr>
        <w:t> :</w:t>
      </w:r>
    </w:p>
    <w:p w14:paraId="06AC20A5" w14:textId="77777777" w:rsidR="00DF38FC" w:rsidRPr="009C1799" w:rsidRDefault="00DF38FC" w:rsidP="0097481F">
      <w:pPr>
        <w:pStyle w:val="SingleTxtG"/>
        <w:ind w:left="1701"/>
        <w:rPr>
          <w:lang w:val="fr-BE"/>
        </w:rPr>
      </w:pPr>
      <w:r>
        <w:rPr>
          <w:lang w:val="fr-BE"/>
        </w:rPr>
        <w:t>« </w:t>
      </w:r>
      <w:proofErr w:type="gramStart"/>
      <w:r w:rsidRPr="009C1799">
        <w:rPr>
          <w:lang w:val="fr-BE"/>
        </w:rPr>
        <w:t>a</w:t>
      </w:r>
      <w:proofErr w:type="gramEnd"/>
      <w:r w:rsidRPr="009C1799">
        <w:rPr>
          <w:lang w:val="fr-BE"/>
        </w:rPr>
        <w:t xml:space="preserve">) GRV métalliques : le GRV doit être rempli à au moins 95 % de sa contenance </w:t>
      </w:r>
      <w:r w:rsidRPr="00341C82">
        <w:rPr>
          <w:strike/>
          <w:lang w:val="fr-BE"/>
        </w:rPr>
        <w:t xml:space="preserve">maximale </w:t>
      </w:r>
      <w:r w:rsidRPr="009C1799">
        <w:rPr>
          <w:lang w:val="fr-BE"/>
        </w:rPr>
        <w:t xml:space="preserve">pour les matières solides, ou à au moins 98 % de sa contenance </w:t>
      </w:r>
      <w:r w:rsidRPr="00341C82">
        <w:rPr>
          <w:strike/>
          <w:lang w:val="fr-BE"/>
        </w:rPr>
        <w:t>maximale</w:t>
      </w:r>
      <w:r w:rsidRPr="009C1799">
        <w:rPr>
          <w:lang w:val="fr-BE"/>
        </w:rPr>
        <w:t xml:space="preserve"> pour les liquides.</w:t>
      </w:r>
      <w:r w:rsidRPr="00E30E14">
        <w:rPr>
          <w:lang w:val="fr-BE"/>
        </w:rPr>
        <w:t xml:space="preserve"> </w:t>
      </w:r>
      <w:r w:rsidRPr="009C1799">
        <w:rPr>
          <w:lang w:val="fr-BE"/>
        </w:rPr>
        <w:t>Les dispositifs de décompression doivent être déposés et leurs orifices de montage obturés, ou ils doivent être rendus inopérants ;</w:t>
      </w:r>
    </w:p>
    <w:p w14:paraId="146D0122" w14:textId="77777777" w:rsidR="00DF38FC" w:rsidRPr="009C1799" w:rsidRDefault="00DF38FC" w:rsidP="0097481F">
      <w:pPr>
        <w:pStyle w:val="SingleTxtG"/>
        <w:ind w:left="1701"/>
        <w:rPr>
          <w:lang w:val="fr-BE"/>
        </w:rPr>
      </w:pPr>
      <w:r w:rsidRPr="009C1799">
        <w:rPr>
          <w:lang w:val="fr-BE"/>
        </w:rPr>
        <w:t>b) GRV souples : le GRV doit être rempli à sa masse brute maximale admissible, le contenu devant être uniformément réparti ;</w:t>
      </w:r>
    </w:p>
    <w:p w14:paraId="34D128C1" w14:textId="77777777" w:rsidR="00DF38FC" w:rsidRPr="009C1799" w:rsidRDefault="00DF38FC" w:rsidP="0097481F">
      <w:pPr>
        <w:pStyle w:val="SingleTxtG"/>
        <w:ind w:left="1701"/>
        <w:rPr>
          <w:lang w:val="fr-BE"/>
        </w:rPr>
      </w:pPr>
      <w:r w:rsidRPr="009C1799">
        <w:rPr>
          <w:lang w:val="fr-BE"/>
        </w:rPr>
        <w:t xml:space="preserve">c) GRV en plastique rigide et GRV composites : le GRV doit être rempli à au moins 95 % de sa contenance </w:t>
      </w:r>
      <w:r w:rsidRPr="00341C82">
        <w:rPr>
          <w:strike/>
          <w:lang w:val="fr-BE"/>
        </w:rPr>
        <w:t>maximal</w:t>
      </w:r>
      <w:r w:rsidRPr="00E30E14">
        <w:rPr>
          <w:lang w:val="fr-BE"/>
        </w:rPr>
        <w:t>e</w:t>
      </w:r>
      <w:r w:rsidRPr="009C1799">
        <w:rPr>
          <w:lang w:val="fr-BE"/>
        </w:rPr>
        <w:t xml:space="preserve"> pour les matières solides, ou à au moins 98 % de sa contenance </w:t>
      </w:r>
      <w:r w:rsidRPr="00341C82">
        <w:rPr>
          <w:strike/>
          <w:lang w:val="fr-BE"/>
        </w:rPr>
        <w:t>maximale</w:t>
      </w:r>
      <w:r w:rsidRPr="009C1799">
        <w:rPr>
          <w:lang w:val="fr-BE"/>
        </w:rPr>
        <w:t xml:space="preserve"> pour les liquides. Les dispositifs de décompression peuvent être </w:t>
      </w:r>
      <w:r w:rsidRPr="009C1799">
        <w:rPr>
          <w:lang w:val="fr-BE"/>
        </w:rPr>
        <w:lastRenderedPageBreak/>
        <w:t xml:space="preserve">déposés et leurs orifices de montage obturés, ou ils peuvent être rendus inopérants. L'épreuve sur les GRV est exécutée une fois la température de l'échantillon et de </w:t>
      </w:r>
      <w:proofErr w:type="gramStart"/>
      <w:r w:rsidRPr="009C1799">
        <w:rPr>
          <w:lang w:val="fr-BE"/>
        </w:rPr>
        <w:t>son contenu abaissée</w:t>
      </w:r>
      <w:proofErr w:type="gramEnd"/>
      <w:r w:rsidRPr="009C1799">
        <w:rPr>
          <w:lang w:val="fr-BE"/>
        </w:rPr>
        <w:t xml:space="preserve"> à une valeur ne dépassant pas -18 °C. Lorsque les échantillons d'épreuve de GRV composites sont préparés ainsi, il n'est pas nécessaire de les soumettre au conditionnement prescrit au 6.5.6.3.1.</w:t>
      </w:r>
    </w:p>
    <w:p w14:paraId="57153ED1" w14:textId="77777777" w:rsidR="00DF38FC" w:rsidRPr="009C1799" w:rsidRDefault="00DF38FC" w:rsidP="0097481F">
      <w:pPr>
        <w:pStyle w:val="SingleTxtG"/>
        <w:ind w:left="1701"/>
        <w:rPr>
          <w:lang w:val="fr-BE"/>
        </w:rPr>
      </w:pPr>
      <w:r w:rsidRPr="009C1799">
        <w:rPr>
          <w:lang w:val="fr-BE"/>
        </w:rPr>
        <w:t>Les liquides utilisés pour l'épreuve doivent être maintenus à l'état liquide, si nécessaire par addition d'antigel. Ce conditionnement n'est pas nécessaire si les matériaux du GRV gardent une ductilité et une résistance à la traction suffisantes aux basses températures ;</w:t>
      </w:r>
    </w:p>
    <w:p w14:paraId="6517B56F" w14:textId="501A3DA0" w:rsidR="00DF38FC" w:rsidRDefault="00DF38FC" w:rsidP="0097481F">
      <w:pPr>
        <w:pStyle w:val="SingleTxtG"/>
        <w:ind w:left="1701"/>
        <w:rPr>
          <w:lang w:val="fr-BE"/>
        </w:rPr>
      </w:pPr>
      <w:r w:rsidRPr="009C1799">
        <w:rPr>
          <w:lang w:val="fr-BE"/>
        </w:rPr>
        <w:t>d) GRV en carton et GRV en bois : le GRV doit être rempli à au moins 95 % de sa contenance.</w:t>
      </w:r>
      <w:r w:rsidR="0097481F">
        <w:rPr>
          <w:lang w:val="fr-BE"/>
        </w:rPr>
        <w:t> »</w:t>
      </w:r>
    </w:p>
    <w:p w14:paraId="44631868" w14:textId="09DC4244" w:rsidR="00DF38FC" w:rsidRPr="00E30E14" w:rsidRDefault="00DF38FC" w:rsidP="00DF38FC">
      <w:pPr>
        <w:pStyle w:val="SingleTxtG"/>
        <w:rPr>
          <w:lang w:val="fr-BE"/>
        </w:rPr>
      </w:pPr>
      <w:r w:rsidRPr="00E30E14">
        <w:rPr>
          <w:lang w:val="fr-BE"/>
        </w:rPr>
        <w:t>13.</w:t>
      </w:r>
      <w:r w:rsidR="00982811">
        <w:rPr>
          <w:lang w:val="fr-BE"/>
        </w:rPr>
        <w:tab/>
      </w:r>
      <w:r w:rsidRPr="00E30E14">
        <w:rPr>
          <w:lang w:val="fr-BE"/>
        </w:rPr>
        <w:t>Aligner le 6.5.6.14.1 sur les 6.2.3.9.3, 6.2.3.11.4 et 6.4.21.8 en modifiant le point 7</w:t>
      </w:r>
      <w:r w:rsidR="00A61002">
        <w:rPr>
          <w:lang w:val="fr-BE"/>
        </w:rPr>
        <w:t xml:space="preserve"> (texte supprimé est barré)</w:t>
      </w:r>
      <w:r w:rsidRPr="00E30E14">
        <w:rPr>
          <w:lang w:val="fr-BE"/>
        </w:rPr>
        <w:t> :</w:t>
      </w:r>
    </w:p>
    <w:p w14:paraId="707B84CB" w14:textId="77777777" w:rsidR="00DF38FC" w:rsidRPr="00E30E14" w:rsidRDefault="00DF38FC" w:rsidP="00350A71">
      <w:pPr>
        <w:pStyle w:val="SingleTxtG"/>
        <w:ind w:left="1701"/>
        <w:rPr>
          <w:lang w:val="fr-BE"/>
        </w:rPr>
      </w:pPr>
      <w:r w:rsidRPr="00E30E14">
        <w:rPr>
          <w:lang w:val="fr-BE"/>
        </w:rPr>
        <w:t xml:space="preserve">« 7. Contenance </w:t>
      </w:r>
      <w:r w:rsidRPr="00341C82">
        <w:rPr>
          <w:strike/>
          <w:lang w:val="fr-BE"/>
        </w:rPr>
        <w:t>maximale</w:t>
      </w:r>
      <w:r w:rsidRPr="00E30E14">
        <w:rPr>
          <w:lang w:val="fr-BE"/>
        </w:rPr>
        <w:t xml:space="preserve"> ; »</w:t>
      </w:r>
    </w:p>
    <w:p w14:paraId="655F6C07" w14:textId="5E016BA7" w:rsidR="00DF38FC" w:rsidRDefault="00DF38FC" w:rsidP="00DF38FC">
      <w:pPr>
        <w:pStyle w:val="SingleTxtG"/>
        <w:rPr>
          <w:lang w:val="fr-BE"/>
        </w:rPr>
      </w:pPr>
      <w:r w:rsidRPr="00E30E14">
        <w:rPr>
          <w:lang w:val="fr-BE"/>
        </w:rPr>
        <w:t>14.</w:t>
      </w:r>
      <w:r w:rsidR="00982811">
        <w:rPr>
          <w:lang w:val="fr-BE"/>
        </w:rPr>
        <w:tab/>
      </w:r>
      <w:r>
        <w:rPr>
          <w:lang w:val="fr-BE"/>
        </w:rPr>
        <w:t>Aligner le 6.6.</w:t>
      </w:r>
      <w:r w:rsidR="00FA6538">
        <w:rPr>
          <w:lang w:val="fr-BE"/>
        </w:rPr>
        <w:t>5.1.</w:t>
      </w:r>
      <w:r>
        <w:rPr>
          <w:lang w:val="fr-BE"/>
        </w:rPr>
        <w:t xml:space="preserve">9 a) sur les 6.2.2.7.3, 6.2.6.3.1.1, 6.2.6.3.2.3.1, 6.3.5.2.1, </w:t>
      </w:r>
      <w:r w:rsidRPr="00343644">
        <w:rPr>
          <w:lang w:val="fr-BE"/>
        </w:rPr>
        <w:t>6.5.6.10.2</w:t>
      </w:r>
      <w:r>
        <w:rPr>
          <w:lang w:val="fr-BE"/>
        </w:rPr>
        <w:t xml:space="preserve">, </w:t>
      </w:r>
      <w:r w:rsidRPr="00343644">
        <w:rPr>
          <w:lang w:val="fr-BE"/>
        </w:rPr>
        <w:t>6.5.6.1</w:t>
      </w:r>
      <w:r>
        <w:rPr>
          <w:lang w:val="fr-BE"/>
        </w:rPr>
        <w:t>1</w:t>
      </w:r>
      <w:r w:rsidRPr="00343644">
        <w:rPr>
          <w:lang w:val="fr-BE"/>
        </w:rPr>
        <w:t>.2</w:t>
      </w:r>
      <w:r>
        <w:rPr>
          <w:lang w:val="fr-BE"/>
        </w:rPr>
        <w:t xml:space="preserve"> et </w:t>
      </w:r>
      <w:r w:rsidRPr="00343644">
        <w:rPr>
          <w:lang w:val="fr-BE"/>
        </w:rPr>
        <w:t>6.5.6.1</w:t>
      </w:r>
      <w:r>
        <w:rPr>
          <w:lang w:val="fr-BE"/>
        </w:rPr>
        <w:t>2</w:t>
      </w:r>
      <w:r w:rsidRPr="00343644">
        <w:rPr>
          <w:lang w:val="fr-BE"/>
        </w:rPr>
        <w:t>.2</w:t>
      </w:r>
      <w:r>
        <w:rPr>
          <w:lang w:val="fr-BE"/>
        </w:rPr>
        <w:t xml:space="preserve"> en remplaçant « contenance maximale » par « contenance »</w:t>
      </w:r>
      <w:r w:rsidR="00FA6538">
        <w:rPr>
          <w:lang w:val="fr-BE"/>
        </w:rPr>
        <w:t xml:space="preserve"> (texte supprimé est barré)</w:t>
      </w:r>
      <w:r>
        <w:rPr>
          <w:lang w:val="fr-BE"/>
        </w:rPr>
        <w:t> :</w:t>
      </w:r>
    </w:p>
    <w:p w14:paraId="212156AD" w14:textId="77777777" w:rsidR="00DF38FC" w:rsidRPr="008026DD" w:rsidRDefault="00DF38FC" w:rsidP="00760ADD">
      <w:pPr>
        <w:pStyle w:val="SingleTxtG"/>
        <w:ind w:left="1701"/>
        <w:rPr>
          <w:lang w:val="fr-BE"/>
        </w:rPr>
      </w:pPr>
      <w:r>
        <w:rPr>
          <w:lang w:val="fr-BE"/>
        </w:rPr>
        <w:t>« </w:t>
      </w:r>
      <w:proofErr w:type="gramStart"/>
      <w:r w:rsidRPr="008026DD">
        <w:rPr>
          <w:lang w:val="fr-BE"/>
        </w:rPr>
        <w:t>a</w:t>
      </w:r>
      <w:proofErr w:type="gramEnd"/>
      <w:r w:rsidRPr="008026DD">
        <w:rPr>
          <w:lang w:val="fr-BE"/>
        </w:rPr>
        <w:t>) La matière utilisée pour exécuter les épreuves doit être de l’eau, et les grands emballages de secours doivent être remplis à au moins 98 % de leur contenance</w:t>
      </w:r>
      <w:r w:rsidRPr="008026DD">
        <w:rPr>
          <w:strike/>
          <w:lang w:val="fr-BE"/>
        </w:rPr>
        <w:t xml:space="preserve"> maximum</w:t>
      </w:r>
      <w:r w:rsidRPr="008026DD">
        <w:rPr>
          <w:lang w:val="fr-BE"/>
        </w:rPr>
        <w:t>. On peut ajouter par exemple des sacs de grenaille de plomb, afin d’obtenir la masse totale de colis requise, pour autant qu’ils soient placés de manière à ne pas influer sur les résultats de l’épreuve. On peut aussi, dans l’épreuve de chute, faire varier la hauteur de chute conformément au paragraphe 6.6.5.3.4.4.2 b) ;</w:t>
      </w:r>
      <w:r>
        <w:rPr>
          <w:lang w:val="fr-BE"/>
        </w:rPr>
        <w:t> »</w:t>
      </w:r>
    </w:p>
    <w:p w14:paraId="00ED20E7" w14:textId="778BBB4F" w:rsidR="00DF38FC" w:rsidRDefault="00DF38FC" w:rsidP="00DF38FC">
      <w:pPr>
        <w:pStyle w:val="SingleTxtG"/>
        <w:rPr>
          <w:lang w:val="fr-BE"/>
        </w:rPr>
      </w:pPr>
      <w:r w:rsidRPr="00E30E14">
        <w:rPr>
          <w:lang w:val="fr-BE"/>
        </w:rPr>
        <w:t>15.</w:t>
      </w:r>
      <w:r w:rsidR="00760ADD">
        <w:rPr>
          <w:lang w:val="fr-BE"/>
        </w:rPr>
        <w:tab/>
      </w:r>
      <w:r>
        <w:rPr>
          <w:lang w:val="fr-BE"/>
        </w:rPr>
        <w:t xml:space="preserve">Aligner le 6.6.5.2.1 sur les 6.2.2.7.3, 6.2.6.3.1.1, 6.2.6.3.2.3.1, 6.3.5.2.1, </w:t>
      </w:r>
      <w:r w:rsidRPr="00343644">
        <w:rPr>
          <w:lang w:val="fr-BE"/>
        </w:rPr>
        <w:t>6.5.6.10.2</w:t>
      </w:r>
      <w:r>
        <w:rPr>
          <w:lang w:val="fr-BE"/>
        </w:rPr>
        <w:t xml:space="preserve">, </w:t>
      </w:r>
      <w:r w:rsidRPr="00343644">
        <w:rPr>
          <w:lang w:val="fr-BE"/>
        </w:rPr>
        <w:t>6.5.6.1</w:t>
      </w:r>
      <w:r>
        <w:rPr>
          <w:lang w:val="fr-BE"/>
        </w:rPr>
        <w:t>1</w:t>
      </w:r>
      <w:r w:rsidRPr="00343644">
        <w:rPr>
          <w:lang w:val="fr-BE"/>
        </w:rPr>
        <w:t>.2</w:t>
      </w:r>
      <w:r>
        <w:rPr>
          <w:lang w:val="fr-BE"/>
        </w:rPr>
        <w:t xml:space="preserve"> et </w:t>
      </w:r>
      <w:r w:rsidRPr="00343644">
        <w:rPr>
          <w:lang w:val="fr-BE"/>
        </w:rPr>
        <w:t>6.5.6.1</w:t>
      </w:r>
      <w:r>
        <w:rPr>
          <w:lang w:val="fr-BE"/>
        </w:rPr>
        <w:t>2</w:t>
      </w:r>
      <w:r w:rsidRPr="00343644">
        <w:rPr>
          <w:lang w:val="fr-BE"/>
        </w:rPr>
        <w:t>.2</w:t>
      </w:r>
      <w:r>
        <w:rPr>
          <w:lang w:val="fr-BE"/>
        </w:rPr>
        <w:t xml:space="preserve"> en remplaçant « contenance maximale » par « contenance »</w:t>
      </w:r>
      <w:r w:rsidR="00FA6538">
        <w:rPr>
          <w:lang w:val="fr-BE"/>
        </w:rPr>
        <w:t xml:space="preserve"> (texte supprimé est barré)</w:t>
      </w:r>
      <w:r>
        <w:rPr>
          <w:lang w:val="fr-BE"/>
        </w:rPr>
        <w:t> :</w:t>
      </w:r>
    </w:p>
    <w:p w14:paraId="2A23B842" w14:textId="77777777" w:rsidR="00DF38FC" w:rsidRPr="009C1799" w:rsidRDefault="00DF38FC" w:rsidP="00760ADD">
      <w:pPr>
        <w:pStyle w:val="SingleTxtG"/>
        <w:ind w:left="1701"/>
        <w:rPr>
          <w:lang w:val="fr-BE"/>
        </w:rPr>
      </w:pPr>
      <w:r w:rsidRPr="009C1799">
        <w:rPr>
          <w:lang w:val="fr-BE"/>
        </w:rPr>
        <w:t xml:space="preserve">« Les épreuves doivent être exécutées sur de grands emballages prêts pour le transport y compris les emballages intérieurs ou objets à transporter. Les emballages intérieurs doivent être remplis au moins à 98 % de leur contenance </w:t>
      </w:r>
      <w:r w:rsidRPr="009C1799">
        <w:rPr>
          <w:strike/>
          <w:lang w:val="fr-BE"/>
        </w:rPr>
        <w:t>maximale</w:t>
      </w:r>
      <w:r w:rsidRPr="009C1799">
        <w:rPr>
          <w:lang w:val="fr-BE"/>
        </w:rPr>
        <w:t xml:space="preserve"> pour les liquides et 95 % pour les solides. Pour les grands emballages dans lesquels les emballages intérieurs sont destinés à contenir des matières solides ou liquides, des épreuves distinctes sont prescrites pour le contenu liquide et pour le contenu solide. Les matières contenues dans les emballages intérieurs ou les objets à transporter contenus dans les grands emballages peuvent être remplacés par d'autres matériaux ou objets, sauf si cela risque de fausser les résultats des épreuves. Si d'autres emballages intérieurs ou objets sont utilisés, ils doivent avoir les mêmes caractéristiques physiques (masse, etc.) que les emballages intérieurs ou les objets à transporter. Il est permis d'utiliser des charges additionnelles, telles que sacs de grenaille de plomb, pour obtenir la masse totale requise du colis, à condition qu'elles soient placées de manière à ne pas fausser les résultats de l'épreuve. »</w:t>
      </w:r>
    </w:p>
    <w:p w14:paraId="0B5CA2D6" w14:textId="469DB724" w:rsidR="00DF38FC" w:rsidRDefault="00DF38FC" w:rsidP="00760ADD">
      <w:pPr>
        <w:pStyle w:val="SingleTxtG"/>
        <w:rPr>
          <w:rFonts w:eastAsiaTheme="minorHAnsi"/>
          <w:lang w:val="fr-FR" w:eastAsia="en-US"/>
        </w:rPr>
      </w:pPr>
      <w:r>
        <w:rPr>
          <w:rFonts w:ascii="TimesNewRomanPSMT" w:hAnsi="TimesNewRomanPSMT" w:cs="TimesNewRomanPSMT"/>
          <w:lang w:val="fr-BE"/>
        </w:rPr>
        <w:t>16.</w:t>
      </w:r>
      <w:r w:rsidR="00760ADD">
        <w:rPr>
          <w:rFonts w:ascii="TimesNewRomanPSMT" w:hAnsi="TimesNewRomanPSMT" w:cs="TimesNewRomanPSMT"/>
          <w:lang w:val="fr-BE"/>
        </w:rPr>
        <w:tab/>
      </w:r>
      <w:r>
        <w:rPr>
          <w:rFonts w:eastAsiaTheme="minorHAnsi"/>
          <w:lang w:val="fr-FR" w:eastAsia="en-US"/>
        </w:rPr>
        <w:t>Aligner le 6.6.5.4.2 sur les 6.2.3.9.3, 6.2.3.11.4 et 6.4.21.8 en modifiant le point 7</w:t>
      </w:r>
      <w:r w:rsidR="00FA6538">
        <w:rPr>
          <w:rFonts w:eastAsiaTheme="minorHAnsi"/>
          <w:lang w:val="fr-FR" w:eastAsia="en-US"/>
        </w:rPr>
        <w:t xml:space="preserve"> </w:t>
      </w:r>
      <w:r w:rsidR="00FA6538">
        <w:rPr>
          <w:lang w:val="fr-BE"/>
        </w:rPr>
        <w:t>(texte supprimé est barré)</w:t>
      </w:r>
      <w:r>
        <w:rPr>
          <w:rFonts w:eastAsiaTheme="minorHAnsi"/>
          <w:lang w:val="fr-FR" w:eastAsia="en-US"/>
        </w:rPr>
        <w:t> :</w:t>
      </w:r>
    </w:p>
    <w:p w14:paraId="4C4DE021" w14:textId="77777777" w:rsidR="00DF38FC" w:rsidRDefault="00DF38FC" w:rsidP="00F55ED9">
      <w:pPr>
        <w:pStyle w:val="SingleTxtG"/>
        <w:ind w:left="1701"/>
        <w:rPr>
          <w:lang w:val="fr-BE"/>
        </w:rPr>
      </w:pPr>
      <w:r>
        <w:rPr>
          <w:lang w:val="fr-BE"/>
        </w:rPr>
        <w:t xml:space="preserve">« 7. Contenance </w:t>
      </w:r>
      <w:r w:rsidRPr="009C1799">
        <w:rPr>
          <w:strike/>
          <w:lang w:val="fr-BE"/>
        </w:rPr>
        <w:t>maximale</w:t>
      </w:r>
      <w:r w:rsidRPr="008026DD">
        <w:rPr>
          <w:lang w:val="fr-BE"/>
        </w:rPr>
        <w:t>/ma</w:t>
      </w:r>
      <w:r>
        <w:rPr>
          <w:lang w:val="fr-BE"/>
        </w:rPr>
        <w:t>sse brute maximale autorisée ; »</w:t>
      </w:r>
    </w:p>
    <w:p w14:paraId="1BB4BC6A" w14:textId="77777777" w:rsidR="00DF38FC" w:rsidRDefault="00DF38FC" w:rsidP="00DF38FC">
      <w:pPr>
        <w:pStyle w:val="HChG"/>
        <w:rPr>
          <w:lang w:val="fr-BE"/>
        </w:rPr>
      </w:pPr>
      <w:r>
        <w:rPr>
          <w:lang w:val="fr-BE"/>
        </w:rPr>
        <w:tab/>
      </w:r>
      <w:r>
        <w:rPr>
          <w:lang w:val="fr-BE"/>
        </w:rPr>
        <w:tab/>
        <w:t>Justifications</w:t>
      </w:r>
    </w:p>
    <w:p w14:paraId="630FC0BD" w14:textId="10FFBD87" w:rsidR="00C1626B" w:rsidRDefault="00760ADD" w:rsidP="00DF38FC">
      <w:pPr>
        <w:pStyle w:val="SingleTxtG"/>
        <w:rPr>
          <w:lang w:val="fr-BE"/>
        </w:rPr>
      </w:pPr>
      <w:r>
        <w:rPr>
          <w:lang w:val="fr-BE"/>
        </w:rPr>
        <w:t>17</w:t>
      </w:r>
      <w:r w:rsidR="00DF38FC" w:rsidRPr="00F430F5">
        <w:rPr>
          <w:lang w:val="fr-BE"/>
        </w:rPr>
        <w:t>.</w:t>
      </w:r>
      <w:r w:rsidR="00A81D6C">
        <w:rPr>
          <w:lang w:val="fr-BE"/>
        </w:rPr>
        <w:tab/>
      </w:r>
      <w:r w:rsidR="00DF38FC" w:rsidRPr="00F430F5">
        <w:rPr>
          <w:lang w:val="fr-BE"/>
        </w:rPr>
        <w:t>La définition de « contenance » précise explicitement qu’il s’agit du « volume intérieur maximum ».</w:t>
      </w:r>
      <w:r w:rsidR="00DF38FC">
        <w:rPr>
          <w:lang w:val="fr-BE"/>
        </w:rPr>
        <w:t xml:space="preserve"> Il n’y a donc pas à attendre de problème d’interprétation. </w:t>
      </w:r>
      <w:proofErr w:type="gramStart"/>
      <w:r w:rsidR="00DF38FC">
        <w:rPr>
          <w:lang w:val="fr-BE"/>
        </w:rPr>
        <w:t>Par contre</w:t>
      </w:r>
      <w:proofErr w:type="gramEnd"/>
      <w:r w:rsidR="00DF38FC">
        <w:rPr>
          <w:lang w:val="fr-BE"/>
        </w:rPr>
        <w:t>, les amendements proposés permettent d’uniformiser les usages et de faire clairement la différence entre d’une part des limites générales liées à l’usage du tableau A et d’autre part des prescriptions générale ou la contenance d’un emballage particulier.</w:t>
      </w:r>
    </w:p>
    <w:p w14:paraId="4403D293" w14:textId="61B22CAA" w:rsidR="00760ADD" w:rsidRPr="00760ADD" w:rsidRDefault="00760ADD" w:rsidP="00760ADD">
      <w:pPr>
        <w:spacing w:before="240"/>
        <w:jc w:val="center"/>
        <w:rPr>
          <w:u w:val="single"/>
        </w:rPr>
      </w:pPr>
      <w:r>
        <w:rPr>
          <w:u w:val="single"/>
        </w:rPr>
        <w:tab/>
      </w:r>
      <w:r>
        <w:rPr>
          <w:u w:val="single"/>
        </w:rPr>
        <w:tab/>
      </w:r>
      <w:r>
        <w:rPr>
          <w:u w:val="single"/>
        </w:rPr>
        <w:tab/>
      </w:r>
    </w:p>
    <w:sectPr w:rsidR="00760ADD" w:rsidRPr="00760ADD" w:rsidSect="00621B1F">
      <w:headerReference w:type="even" r:id="rId11"/>
      <w:headerReference w:type="default" r:id="rId12"/>
      <w:footerReference w:type="even" r:id="rId13"/>
      <w:footerReference w:type="default" r:id="rId14"/>
      <w:footerReference w:type="first" r:id="rId15"/>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E485" w14:textId="77777777" w:rsidR="00085921" w:rsidRDefault="00085921" w:rsidP="00F95C08">
      <w:pPr>
        <w:spacing w:line="240" w:lineRule="auto"/>
      </w:pPr>
    </w:p>
  </w:endnote>
  <w:endnote w:type="continuationSeparator" w:id="0">
    <w:p w14:paraId="086ACACF" w14:textId="77777777" w:rsidR="00085921" w:rsidRPr="00AC3823" w:rsidRDefault="00085921" w:rsidP="00AC3823">
      <w:pPr>
        <w:pStyle w:val="Footer"/>
      </w:pPr>
    </w:p>
  </w:endnote>
  <w:endnote w:type="continuationNotice" w:id="1">
    <w:p w14:paraId="20B7CBFF" w14:textId="77777777" w:rsidR="00085921" w:rsidRDefault="000859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00000003"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BA0E" w14:textId="77777777" w:rsidR="00621B1F" w:rsidRPr="00621B1F" w:rsidRDefault="00621B1F" w:rsidP="00621B1F">
    <w:pPr>
      <w:pStyle w:val="Footer"/>
      <w:tabs>
        <w:tab w:val="right" w:pos="9638"/>
      </w:tabs>
      <w:rPr>
        <w:sz w:val="18"/>
      </w:rPr>
    </w:pPr>
    <w:r w:rsidRPr="00621B1F">
      <w:rPr>
        <w:b/>
        <w:sz w:val="18"/>
      </w:rPr>
      <w:fldChar w:fldCharType="begin"/>
    </w:r>
    <w:r w:rsidRPr="00621B1F">
      <w:rPr>
        <w:b/>
        <w:sz w:val="18"/>
      </w:rPr>
      <w:instrText xml:space="preserve"> PAGE  \* MERGEFORMAT </w:instrText>
    </w:r>
    <w:r w:rsidRPr="00621B1F">
      <w:rPr>
        <w:b/>
        <w:sz w:val="18"/>
      </w:rPr>
      <w:fldChar w:fldCharType="separate"/>
    </w:r>
    <w:r w:rsidRPr="00621B1F">
      <w:rPr>
        <w:b/>
        <w:noProof/>
        <w:sz w:val="18"/>
      </w:rPr>
      <w:t>2</w:t>
    </w:r>
    <w:r w:rsidRPr="00621B1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17F1" w14:textId="77777777" w:rsidR="00621B1F" w:rsidRPr="00621B1F" w:rsidRDefault="00621B1F" w:rsidP="00621B1F">
    <w:pPr>
      <w:pStyle w:val="Footer"/>
      <w:tabs>
        <w:tab w:val="right" w:pos="9638"/>
      </w:tabs>
      <w:rPr>
        <w:b/>
        <w:sz w:val="18"/>
      </w:rPr>
    </w:pPr>
    <w:r>
      <w:tab/>
    </w:r>
    <w:r w:rsidRPr="00621B1F">
      <w:rPr>
        <w:b/>
        <w:sz w:val="18"/>
      </w:rPr>
      <w:fldChar w:fldCharType="begin"/>
    </w:r>
    <w:r w:rsidRPr="00621B1F">
      <w:rPr>
        <w:b/>
        <w:sz w:val="18"/>
      </w:rPr>
      <w:instrText xml:space="preserve"> PAGE  \* MERGEFORMAT </w:instrText>
    </w:r>
    <w:r w:rsidRPr="00621B1F">
      <w:rPr>
        <w:b/>
        <w:sz w:val="18"/>
      </w:rPr>
      <w:fldChar w:fldCharType="separate"/>
    </w:r>
    <w:r w:rsidRPr="00621B1F">
      <w:rPr>
        <w:b/>
        <w:noProof/>
        <w:sz w:val="18"/>
      </w:rPr>
      <w:t>3</w:t>
    </w:r>
    <w:r w:rsidRPr="00621B1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23D7" w14:textId="77777777" w:rsidR="000D3EE9" w:rsidRPr="00621B1F" w:rsidRDefault="000942EE" w:rsidP="0001207F">
    <w:pPr>
      <w:pStyle w:val="Footer"/>
      <w:spacing w:before="120"/>
      <w:rPr>
        <w:sz w:val="20"/>
      </w:rPr>
    </w:pPr>
    <w:r w:rsidRPr="000942EE">
      <w:rPr>
        <w:noProof/>
        <w:lang w:eastAsia="fr-CH"/>
      </w:rPr>
      <w:drawing>
        <wp:anchor distT="0" distB="0" distL="114300" distR="114300" simplePos="0" relativeHeight="251658240" behindDoc="0" locked="0" layoutInCell="1" allowOverlap="0" wp14:anchorId="418ABA1C" wp14:editId="0212ACC7">
          <wp:simplePos x="0" y="0"/>
          <wp:positionH relativeFrom="margin">
            <wp:posOffset>5004435</wp:posOffset>
          </wp:positionH>
          <wp:positionV relativeFrom="margin">
            <wp:posOffset>9324975</wp:posOffset>
          </wp:positionV>
          <wp:extent cx="1105200" cy="234000"/>
          <wp:effectExtent l="0" t="0" r="0" b="0"/>
          <wp:wrapNone/>
          <wp:docPr id="1" name="Image 1"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8D282" w14:textId="77777777" w:rsidR="00085921" w:rsidRPr="00AC3823" w:rsidRDefault="00085921" w:rsidP="00AC3823">
      <w:pPr>
        <w:pStyle w:val="Footer"/>
        <w:tabs>
          <w:tab w:val="right" w:pos="2155"/>
        </w:tabs>
        <w:spacing w:after="80" w:line="240" w:lineRule="atLeast"/>
        <w:ind w:left="680"/>
        <w:rPr>
          <w:u w:val="single"/>
        </w:rPr>
      </w:pPr>
      <w:r>
        <w:rPr>
          <w:u w:val="single"/>
        </w:rPr>
        <w:tab/>
      </w:r>
    </w:p>
  </w:footnote>
  <w:footnote w:type="continuationSeparator" w:id="0">
    <w:p w14:paraId="38CA9631" w14:textId="77777777" w:rsidR="00085921" w:rsidRPr="00AC3823" w:rsidRDefault="00085921" w:rsidP="00AC3823">
      <w:pPr>
        <w:pStyle w:val="Footer"/>
        <w:tabs>
          <w:tab w:val="right" w:pos="2155"/>
        </w:tabs>
        <w:spacing w:after="80" w:line="240" w:lineRule="atLeast"/>
        <w:ind w:left="680"/>
        <w:rPr>
          <w:u w:val="single"/>
        </w:rPr>
      </w:pPr>
      <w:r>
        <w:rPr>
          <w:u w:val="single"/>
        </w:rPr>
        <w:tab/>
      </w:r>
    </w:p>
  </w:footnote>
  <w:footnote w:type="continuationNotice" w:id="1">
    <w:p w14:paraId="016125D5" w14:textId="77777777" w:rsidR="00085921" w:rsidRPr="00AC3823" w:rsidRDefault="00085921">
      <w:pPr>
        <w:spacing w:line="240" w:lineRule="auto"/>
        <w:rPr>
          <w:sz w:val="2"/>
          <w:szCs w:val="2"/>
        </w:rPr>
      </w:pPr>
    </w:p>
  </w:footnote>
  <w:footnote w:id="2">
    <w:p w14:paraId="754EDDF9" w14:textId="272B29B1" w:rsidR="005A1FF7" w:rsidRPr="00017C07" w:rsidRDefault="005A1FF7" w:rsidP="005A1FF7">
      <w:pPr>
        <w:pStyle w:val="FootnoteText"/>
      </w:pPr>
      <w:r w:rsidRPr="00BB5C27">
        <w:rPr>
          <w:rStyle w:val="FootnoteReference"/>
          <w:sz w:val="20"/>
        </w:rPr>
        <w:tab/>
        <w:t>*</w:t>
      </w:r>
      <w:r>
        <w:rPr>
          <w:rStyle w:val="FootnoteReference"/>
        </w:rPr>
        <w:tab/>
      </w:r>
      <w:r w:rsidRPr="0083055C">
        <w:t>A/77/6 (Sect. 20), table</w:t>
      </w:r>
      <w:r>
        <w:t>au</w:t>
      </w:r>
      <w:r w:rsidRPr="0083055C">
        <w:t xml:space="preserve"> 20.6</w:t>
      </w:r>
      <w:r>
        <w:t>.</w:t>
      </w:r>
    </w:p>
  </w:footnote>
  <w:footnote w:id="3">
    <w:p w14:paraId="6DA683B4" w14:textId="29B6984F" w:rsidR="005A1FF7" w:rsidRPr="00017C07" w:rsidRDefault="005A1FF7" w:rsidP="005A1FF7">
      <w:pPr>
        <w:pStyle w:val="FootnoteText"/>
      </w:pPr>
      <w:r>
        <w:rPr>
          <w:rStyle w:val="FootnoteReference"/>
        </w:rPr>
        <w:tab/>
      </w:r>
      <w:r w:rsidRPr="00BB5C27">
        <w:rPr>
          <w:rStyle w:val="FootnoteReference"/>
          <w:sz w:val="20"/>
        </w:rPr>
        <w:t>**</w:t>
      </w:r>
      <w:r>
        <w:rPr>
          <w:rStyle w:val="FootnoteReference"/>
        </w:rPr>
        <w:tab/>
      </w:r>
      <w:r w:rsidRPr="00FE2AF4">
        <w:t>Diffusée par l’Organisation inter</w:t>
      </w:r>
      <w:r w:rsidR="00D15D18">
        <w:t>-</w:t>
      </w:r>
      <w:r w:rsidRPr="00FE2AF4">
        <w:t xml:space="preserve">gouvernementale pour les transports internationaux ferroviaires (OTIF) sous la cote </w:t>
      </w:r>
      <w:r w:rsidRPr="009566B0">
        <w:t>OTIF/RID/RC/</w:t>
      </w:r>
      <w:r>
        <w:t>2023</w:t>
      </w:r>
      <w:r w:rsidRPr="009566B0">
        <w:t>/</w:t>
      </w:r>
      <w:r>
        <w:t>36</w:t>
      </w:r>
      <w:r w:rsidRPr="009566B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3A24" w14:textId="62C5C8F6" w:rsidR="00621B1F" w:rsidRPr="00621B1F" w:rsidRDefault="00000000">
    <w:pPr>
      <w:pStyle w:val="Header"/>
    </w:pPr>
    <w:fldSimple w:instr=" TITLE  \* MERGEFORMAT ">
      <w:r w:rsidR="00855A94">
        <w:t>ECE/TRANS/WP.15/AC.1/2023/36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2373" w14:textId="29C428F5" w:rsidR="00621B1F" w:rsidRPr="00621B1F" w:rsidRDefault="00000000" w:rsidP="00621B1F">
    <w:pPr>
      <w:pStyle w:val="Header"/>
      <w:jc w:val="right"/>
    </w:pPr>
    <w:fldSimple w:instr=" TITLE  \* MERGEFORMAT ">
      <w:r w:rsidR="00855A94">
        <w:t>ECE/TRANS/WP.15/AC.1/2023/36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480123650">
    <w:abstractNumId w:val="12"/>
  </w:num>
  <w:num w:numId="2" w16cid:durableId="848103892">
    <w:abstractNumId w:val="11"/>
  </w:num>
  <w:num w:numId="3" w16cid:durableId="675612935">
    <w:abstractNumId w:val="10"/>
  </w:num>
  <w:num w:numId="4" w16cid:durableId="903224427">
    <w:abstractNumId w:val="8"/>
  </w:num>
  <w:num w:numId="5" w16cid:durableId="1623879640">
    <w:abstractNumId w:val="3"/>
  </w:num>
  <w:num w:numId="6" w16cid:durableId="1581939055">
    <w:abstractNumId w:val="2"/>
  </w:num>
  <w:num w:numId="7" w16cid:durableId="1126046026">
    <w:abstractNumId w:val="1"/>
  </w:num>
  <w:num w:numId="8" w16cid:durableId="1602689813">
    <w:abstractNumId w:val="0"/>
  </w:num>
  <w:num w:numId="9" w16cid:durableId="820928047">
    <w:abstractNumId w:val="9"/>
  </w:num>
  <w:num w:numId="10" w16cid:durableId="1568031578">
    <w:abstractNumId w:val="7"/>
  </w:num>
  <w:num w:numId="11" w16cid:durableId="87235565">
    <w:abstractNumId w:val="6"/>
  </w:num>
  <w:num w:numId="12" w16cid:durableId="1289582836">
    <w:abstractNumId w:val="5"/>
  </w:num>
  <w:num w:numId="13" w16cid:durableId="1968849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2324AE-7E1B-46E0-BE39-6171A5137F5D}"/>
    <w:docVar w:name="dgnword-eventsink" w:val="646185176"/>
  </w:docVars>
  <w:rsids>
    <w:rsidRoot w:val="00621B1F"/>
    <w:rsid w:val="0001207F"/>
    <w:rsid w:val="00017F94"/>
    <w:rsid w:val="00023842"/>
    <w:rsid w:val="000334F9"/>
    <w:rsid w:val="0004639C"/>
    <w:rsid w:val="0007796D"/>
    <w:rsid w:val="00085921"/>
    <w:rsid w:val="000942EE"/>
    <w:rsid w:val="000A52BF"/>
    <w:rsid w:val="000B7790"/>
    <w:rsid w:val="000D3EE9"/>
    <w:rsid w:val="000D62F3"/>
    <w:rsid w:val="00111F2F"/>
    <w:rsid w:val="001433FD"/>
    <w:rsid w:val="0014365E"/>
    <w:rsid w:val="001541D3"/>
    <w:rsid w:val="00156B77"/>
    <w:rsid w:val="00176178"/>
    <w:rsid w:val="00177140"/>
    <w:rsid w:val="001B094F"/>
    <w:rsid w:val="001D400F"/>
    <w:rsid w:val="001F525A"/>
    <w:rsid w:val="00223272"/>
    <w:rsid w:val="0023029C"/>
    <w:rsid w:val="00240333"/>
    <w:rsid w:val="0024779E"/>
    <w:rsid w:val="0027784D"/>
    <w:rsid w:val="002832AC"/>
    <w:rsid w:val="00295980"/>
    <w:rsid w:val="002B0A85"/>
    <w:rsid w:val="002D7C93"/>
    <w:rsid w:val="00350A71"/>
    <w:rsid w:val="0037241C"/>
    <w:rsid w:val="003819FF"/>
    <w:rsid w:val="003A4D64"/>
    <w:rsid w:val="003B02B7"/>
    <w:rsid w:val="003D38B9"/>
    <w:rsid w:val="00441C3B"/>
    <w:rsid w:val="00446B0A"/>
    <w:rsid w:val="00446FE5"/>
    <w:rsid w:val="00451225"/>
    <w:rsid w:val="00452396"/>
    <w:rsid w:val="00461382"/>
    <w:rsid w:val="00471288"/>
    <w:rsid w:val="0049687C"/>
    <w:rsid w:val="004E468C"/>
    <w:rsid w:val="005316B0"/>
    <w:rsid w:val="00541769"/>
    <w:rsid w:val="005505B7"/>
    <w:rsid w:val="00573BE5"/>
    <w:rsid w:val="005753DD"/>
    <w:rsid w:val="00586ED3"/>
    <w:rsid w:val="00593356"/>
    <w:rsid w:val="00596AA9"/>
    <w:rsid w:val="005A1FF7"/>
    <w:rsid w:val="005A5A25"/>
    <w:rsid w:val="005A6AF5"/>
    <w:rsid w:val="005B4D0F"/>
    <w:rsid w:val="005C3D56"/>
    <w:rsid w:val="00621B1F"/>
    <w:rsid w:val="00625B95"/>
    <w:rsid w:val="006703E7"/>
    <w:rsid w:val="00674E68"/>
    <w:rsid w:val="006F699A"/>
    <w:rsid w:val="00703D0F"/>
    <w:rsid w:val="00706363"/>
    <w:rsid w:val="007158BB"/>
    <w:rsid w:val="0071601D"/>
    <w:rsid w:val="0075410D"/>
    <w:rsid w:val="00760ADD"/>
    <w:rsid w:val="00793BED"/>
    <w:rsid w:val="007A62E6"/>
    <w:rsid w:val="007F18B0"/>
    <w:rsid w:val="0080684C"/>
    <w:rsid w:val="008204DA"/>
    <w:rsid w:val="008535AD"/>
    <w:rsid w:val="00855A94"/>
    <w:rsid w:val="0086663A"/>
    <w:rsid w:val="00871C75"/>
    <w:rsid w:val="00874CEB"/>
    <w:rsid w:val="008767E8"/>
    <w:rsid w:val="008776DC"/>
    <w:rsid w:val="00883605"/>
    <w:rsid w:val="008E6043"/>
    <w:rsid w:val="008F3895"/>
    <w:rsid w:val="00914361"/>
    <w:rsid w:val="00961E7B"/>
    <w:rsid w:val="009705C8"/>
    <w:rsid w:val="0097481F"/>
    <w:rsid w:val="00982811"/>
    <w:rsid w:val="009C1CF4"/>
    <w:rsid w:val="009F02C9"/>
    <w:rsid w:val="009F54D5"/>
    <w:rsid w:val="00A2022D"/>
    <w:rsid w:val="00A30353"/>
    <w:rsid w:val="00A61002"/>
    <w:rsid w:val="00A62D91"/>
    <w:rsid w:val="00A81D6C"/>
    <w:rsid w:val="00A90D54"/>
    <w:rsid w:val="00AA113A"/>
    <w:rsid w:val="00AC3823"/>
    <w:rsid w:val="00AE323C"/>
    <w:rsid w:val="00AE57EE"/>
    <w:rsid w:val="00AF774C"/>
    <w:rsid w:val="00B00181"/>
    <w:rsid w:val="00B00B0D"/>
    <w:rsid w:val="00B40927"/>
    <w:rsid w:val="00B472A5"/>
    <w:rsid w:val="00B50E25"/>
    <w:rsid w:val="00B64918"/>
    <w:rsid w:val="00B765F7"/>
    <w:rsid w:val="00BA0CA9"/>
    <w:rsid w:val="00BD38BE"/>
    <w:rsid w:val="00C02897"/>
    <w:rsid w:val="00C12C18"/>
    <w:rsid w:val="00C1378D"/>
    <w:rsid w:val="00C1626B"/>
    <w:rsid w:val="00C33CF4"/>
    <w:rsid w:val="00C66A47"/>
    <w:rsid w:val="00C7616F"/>
    <w:rsid w:val="00CA0E86"/>
    <w:rsid w:val="00CB16B5"/>
    <w:rsid w:val="00CE0608"/>
    <w:rsid w:val="00D15D18"/>
    <w:rsid w:val="00D3439C"/>
    <w:rsid w:val="00D44CF3"/>
    <w:rsid w:val="00D46C8C"/>
    <w:rsid w:val="00DB1831"/>
    <w:rsid w:val="00DD3BFD"/>
    <w:rsid w:val="00DE239D"/>
    <w:rsid w:val="00DF38FC"/>
    <w:rsid w:val="00DF431C"/>
    <w:rsid w:val="00DF6678"/>
    <w:rsid w:val="00E04A9D"/>
    <w:rsid w:val="00E428C8"/>
    <w:rsid w:val="00E44AF2"/>
    <w:rsid w:val="00E92F7F"/>
    <w:rsid w:val="00E96687"/>
    <w:rsid w:val="00EF2E22"/>
    <w:rsid w:val="00F03D60"/>
    <w:rsid w:val="00F0592C"/>
    <w:rsid w:val="00F06ED4"/>
    <w:rsid w:val="00F43289"/>
    <w:rsid w:val="00F55ED9"/>
    <w:rsid w:val="00F660DF"/>
    <w:rsid w:val="00F95C08"/>
    <w:rsid w:val="00FA6538"/>
    <w:rsid w:val="00FD158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AF149"/>
  <w15:docId w15:val="{A44432DE-202F-4837-8FCE-0C6164E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25"/>
    <w:pPr>
      <w:suppressAutoHyphens/>
      <w:kinsoku w:val="0"/>
      <w:overflowPunct w:val="0"/>
      <w:autoSpaceDE w:val="0"/>
      <w:autoSpaceDN w:val="0"/>
      <w:adjustRightInd w:val="0"/>
      <w:snapToGrid w:val="0"/>
      <w:spacing w:after="0" w:line="240" w:lineRule="atLeast"/>
    </w:pPr>
  </w:style>
  <w:style w:type="paragraph" w:styleId="Heading1">
    <w:name w:val="heading 1"/>
    <w:aliases w:val="Table_G"/>
    <w:basedOn w:val="SingleTxtG"/>
    <w:next w:val="SingleTxtG"/>
    <w:link w:val="Heading1Char"/>
    <w:qFormat/>
    <w:rsid w:val="0080684C"/>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8068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eastAsia="en-US"/>
    </w:rPr>
  </w:style>
  <w:style w:type="paragraph" w:styleId="Footer">
    <w:name w:val="footer"/>
    <w:aliases w:val="3_G"/>
    <w:basedOn w:val="Normal"/>
    <w:next w:val="Normal"/>
    <w:link w:val="FooterChar"/>
    <w:qFormat/>
    <w:rsid w:val="0080684C"/>
    <w:pPr>
      <w:spacing w:line="240" w:lineRule="auto"/>
    </w:pPr>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Normal"/>
    <w:qFormat/>
    <w:rsid w:val="00DF6678"/>
    <w:pPr>
      <w:numPr>
        <w:numId w:val="3"/>
      </w:numPr>
      <w:tabs>
        <w:tab w:val="clear" w:pos="1701"/>
      </w:tabs>
      <w:spacing w:after="120"/>
      <w:ind w:right="1134"/>
      <w:jc w:val="both"/>
    </w:pPr>
  </w:style>
  <w:style w:type="character" w:styleId="FootnoteReference">
    <w:name w:val="footnote reference"/>
    <w:aliases w:val="4_G,Footnote Reference/"/>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023842"/>
    <w:pPr>
      <w:suppressAutoHyphens/>
      <w:spacing w:after="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706363"/>
    <w:rPr>
      <w:color w:val="0000FF"/>
      <w:u w:val="none"/>
    </w:rPr>
  </w:style>
  <w:style w:type="character" w:styleId="FollowedHyperlink">
    <w:name w:val="FollowedHyperlink"/>
    <w:basedOn w:val="DefaultParagraphFont"/>
    <w:unhideWhenUsed/>
    <w:rsid w:val="00706363"/>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1433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3FD"/>
    <w:rPr>
      <w:rFonts w:ascii="Tahoma" w:hAnsi="Tahoma" w:cs="Tahoma"/>
      <w:sz w:val="16"/>
      <w:szCs w:val="16"/>
      <w:lang w:eastAsia="en-US"/>
    </w:rPr>
  </w:style>
  <w:style w:type="character" w:customStyle="1" w:styleId="SingleTxtGChar">
    <w:name w:val="_ Single Txt_G Char"/>
    <w:link w:val="SingleTxtG"/>
    <w:qFormat/>
    <w:rsid w:val="0001207F"/>
    <w:rPr>
      <w:rFonts w:ascii="Times New Roman" w:hAnsi="Times New Roman" w:cs="Times New Roman"/>
      <w:sz w:val="20"/>
      <w:szCs w:val="20"/>
      <w:lang w:eastAsia="en-US"/>
    </w:rPr>
  </w:style>
  <w:style w:type="character" w:customStyle="1" w:styleId="HChGChar">
    <w:name w:val="_ H _Ch_G Char"/>
    <w:link w:val="HChG"/>
    <w:rsid w:val="0001207F"/>
    <w:rPr>
      <w:rFonts w:ascii="Times New Roman" w:hAnsi="Times New Roman" w:cs="Times New Roman"/>
      <w:b/>
      <w:sz w:val="28"/>
      <w:szCs w:val="20"/>
      <w:lang w:eastAsia="en-US"/>
    </w:rPr>
  </w:style>
  <w:style w:type="character" w:customStyle="1" w:styleId="markedcontent">
    <w:name w:val="markedcontent"/>
    <w:basedOn w:val="DefaultParagraphFont"/>
    <w:rsid w:val="0023029C"/>
  </w:style>
  <w:style w:type="paragraph" w:styleId="Revision">
    <w:name w:val="Revision"/>
    <w:hidden/>
    <w:uiPriority w:val="99"/>
    <w:semiHidden/>
    <w:rsid w:val="001B09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WP1_24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Romain Hubert</DisplayName>
        <AccountId>40</AccountId>
        <AccountType/>
      </UserInfo>
    </SharedWithUsers>
  </documentManagement>
</p:properties>
</file>

<file path=customXml/itemProps1.xml><?xml version="1.0" encoding="utf-8"?>
<ds:datastoreItem xmlns:ds="http://schemas.openxmlformats.org/officeDocument/2006/customXml" ds:itemID="{D9D1A178-6626-439B-AB32-ABF85F1E0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97D39-297F-4042-B2B1-AB71F3DE9B23}">
  <ds:schemaRefs>
    <ds:schemaRef ds:uri="http://schemas.microsoft.com/sharepoint/v3/contenttype/forms"/>
  </ds:schemaRefs>
</ds:datastoreItem>
</file>

<file path=customXml/itemProps3.xml><?xml version="1.0" encoding="utf-8"?>
<ds:datastoreItem xmlns:ds="http://schemas.openxmlformats.org/officeDocument/2006/customXml" ds:itemID="{99ACC0D4-2D97-48D7-B369-8AD963710ECC}">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docProps/app.xml><?xml version="1.0" encoding="utf-8"?>
<Properties xmlns="http://schemas.openxmlformats.org/officeDocument/2006/extended-properties" xmlns:vt="http://schemas.openxmlformats.org/officeDocument/2006/docPropsVTypes">
  <Template>TRANS_WP1_24_F.dotm</Template>
  <TotalTime>58</TotalTime>
  <Pages>3</Pages>
  <Words>1340</Words>
  <Characters>7644</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ECE/EX/22</vt:lpstr>
      <vt:lpstr>ECE/EX/22</vt:lpstr>
    </vt:vector>
  </TitlesOfParts>
  <Company>DCM</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ECE/TRANS/WP.15/AC.1/2023/36</dc:title>
  <dc:subject>FINAL</dc:subject>
  <dc:creator>Nadiya Dzyubynska</dc:creator>
  <cp:keywords/>
  <dc:description/>
  <cp:lastModifiedBy>Nadiya Dzyubynska</cp:lastModifiedBy>
  <cp:revision>49</cp:revision>
  <cp:lastPrinted>2023-06-29T20:13:00Z</cp:lastPrinted>
  <dcterms:created xsi:type="dcterms:W3CDTF">2023-06-27T05:57:00Z</dcterms:created>
  <dcterms:modified xsi:type="dcterms:W3CDTF">2023-06-29T20:13:00Z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