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01BBE15F" w14:textId="77777777" w:rsidTr="00B20551">
        <w:trPr>
          <w:cantSplit/>
          <w:trHeight w:hRule="exact" w:val="851"/>
        </w:trPr>
        <w:tc>
          <w:tcPr>
            <w:tcW w:w="1276" w:type="dxa"/>
            <w:tcBorders>
              <w:bottom w:val="single" w:sz="4" w:space="0" w:color="auto"/>
            </w:tcBorders>
            <w:vAlign w:val="bottom"/>
          </w:tcPr>
          <w:p w14:paraId="79C6A601" w14:textId="77777777" w:rsidR="009E6CB7" w:rsidRDefault="009E6CB7" w:rsidP="00B20551">
            <w:pPr>
              <w:spacing w:after="80"/>
            </w:pPr>
          </w:p>
        </w:tc>
        <w:tc>
          <w:tcPr>
            <w:tcW w:w="2268" w:type="dxa"/>
            <w:tcBorders>
              <w:bottom w:val="single" w:sz="4" w:space="0" w:color="auto"/>
            </w:tcBorders>
            <w:vAlign w:val="bottom"/>
          </w:tcPr>
          <w:p w14:paraId="54DB6B20"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0A980B9" w14:textId="2AE25AC0" w:rsidR="009E6CB7" w:rsidRPr="00D47EEA" w:rsidRDefault="00BB35BA" w:rsidP="00BB35BA">
            <w:pPr>
              <w:jc w:val="right"/>
            </w:pPr>
            <w:r w:rsidRPr="00BB35BA">
              <w:rPr>
                <w:sz w:val="40"/>
              </w:rPr>
              <w:t>ECE</w:t>
            </w:r>
            <w:r>
              <w:t>/TRANS/WP.15/AC.1/2023/33</w:t>
            </w:r>
          </w:p>
        </w:tc>
      </w:tr>
      <w:tr w:rsidR="009E6CB7" w14:paraId="2F41EFBC" w14:textId="77777777" w:rsidTr="00B20551">
        <w:trPr>
          <w:cantSplit/>
          <w:trHeight w:hRule="exact" w:val="2835"/>
        </w:trPr>
        <w:tc>
          <w:tcPr>
            <w:tcW w:w="1276" w:type="dxa"/>
            <w:tcBorders>
              <w:top w:val="single" w:sz="4" w:space="0" w:color="auto"/>
              <w:bottom w:val="single" w:sz="12" w:space="0" w:color="auto"/>
            </w:tcBorders>
          </w:tcPr>
          <w:p w14:paraId="1FC1BAC7" w14:textId="77777777" w:rsidR="009E6CB7" w:rsidRDefault="00686A48" w:rsidP="00B20551">
            <w:pPr>
              <w:spacing w:before="120"/>
            </w:pPr>
            <w:r>
              <w:rPr>
                <w:noProof/>
                <w:lang w:val="fr-CH" w:eastAsia="fr-CH"/>
              </w:rPr>
              <w:drawing>
                <wp:inline distT="0" distB="0" distL="0" distR="0" wp14:anchorId="26F2BDF6" wp14:editId="496E492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6272B48"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61874C8" w14:textId="77777777" w:rsidR="009E6CB7" w:rsidRDefault="00BB35BA" w:rsidP="00BB35BA">
            <w:pPr>
              <w:spacing w:before="240" w:line="240" w:lineRule="exact"/>
            </w:pPr>
            <w:r>
              <w:t>Distr.: General</w:t>
            </w:r>
          </w:p>
          <w:p w14:paraId="635523FA" w14:textId="70944527" w:rsidR="00BB35BA" w:rsidRDefault="00234A1A" w:rsidP="00BB35BA">
            <w:pPr>
              <w:spacing w:line="240" w:lineRule="exact"/>
            </w:pPr>
            <w:r>
              <w:t>30</w:t>
            </w:r>
            <w:r w:rsidR="00BB35BA">
              <w:t xml:space="preserve"> June 2023</w:t>
            </w:r>
          </w:p>
          <w:p w14:paraId="6DC22899" w14:textId="77777777" w:rsidR="00BB35BA" w:rsidRDefault="00BB35BA" w:rsidP="00BB35BA">
            <w:pPr>
              <w:spacing w:line="240" w:lineRule="exact"/>
            </w:pPr>
          </w:p>
          <w:p w14:paraId="07B4698D" w14:textId="4C9C6FA4" w:rsidR="00BB35BA" w:rsidRDefault="00BB35BA" w:rsidP="00BB35BA">
            <w:pPr>
              <w:spacing w:line="240" w:lineRule="exact"/>
            </w:pPr>
            <w:r>
              <w:t>Original: English</w:t>
            </w:r>
          </w:p>
        </w:tc>
      </w:tr>
    </w:tbl>
    <w:p w14:paraId="094FD55C" w14:textId="77777777" w:rsidR="00BB35BA" w:rsidRPr="00960236" w:rsidRDefault="00BB35BA" w:rsidP="00C411EB">
      <w:pPr>
        <w:spacing w:before="120"/>
        <w:rPr>
          <w:b/>
          <w:sz w:val="28"/>
          <w:szCs w:val="28"/>
        </w:rPr>
      </w:pPr>
      <w:r w:rsidRPr="00960236">
        <w:rPr>
          <w:b/>
          <w:sz w:val="28"/>
          <w:szCs w:val="28"/>
        </w:rPr>
        <w:t>Economic Commission for Europe</w:t>
      </w:r>
    </w:p>
    <w:p w14:paraId="56B8EF21" w14:textId="77777777" w:rsidR="00BB35BA" w:rsidRPr="00960236" w:rsidRDefault="00BB35BA" w:rsidP="00C411EB">
      <w:pPr>
        <w:spacing w:before="120"/>
        <w:rPr>
          <w:sz w:val="28"/>
          <w:szCs w:val="28"/>
        </w:rPr>
      </w:pPr>
      <w:r w:rsidRPr="00960236">
        <w:rPr>
          <w:sz w:val="28"/>
          <w:szCs w:val="28"/>
        </w:rPr>
        <w:t>Inland Transport Committee</w:t>
      </w:r>
    </w:p>
    <w:p w14:paraId="0FBAB47C" w14:textId="77777777" w:rsidR="00BB35BA" w:rsidRPr="00960236" w:rsidRDefault="00BB35BA" w:rsidP="00C411EB">
      <w:pPr>
        <w:spacing w:before="120"/>
        <w:rPr>
          <w:b/>
          <w:sz w:val="24"/>
          <w:szCs w:val="24"/>
        </w:rPr>
      </w:pPr>
      <w:r w:rsidRPr="00960236">
        <w:rPr>
          <w:b/>
          <w:sz w:val="24"/>
          <w:szCs w:val="24"/>
        </w:rPr>
        <w:t>Working Party on the Transport of Dangerous Goods</w:t>
      </w:r>
    </w:p>
    <w:p w14:paraId="08AAB751" w14:textId="77777777" w:rsidR="00BB35BA" w:rsidRPr="00960236" w:rsidRDefault="00BB35BA" w:rsidP="00C411EB">
      <w:pPr>
        <w:spacing w:before="120"/>
        <w:rPr>
          <w:b/>
        </w:rPr>
      </w:pPr>
      <w:r w:rsidRPr="00960236">
        <w:rPr>
          <w:b/>
        </w:rPr>
        <w:t>Joint Meeting of the RID Committee of Experts and the</w:t>
      </w:r>
      <w:r>
        <w:rPr>
          <w:b/>
        </w:rPr>
        <w:br/>
      </w:r>
      <w:r w:rsidRPr="00960236">
        <w:rPr>
          <w:b/>
        </w:rPr>
        <w:t>Working Party on the Transport of Dangerous Goods</w:t>
      </w:r>
    </w:p>
    <w:p w14:paraId="18474FBB" w14:textId="47CFB03E" w:rsidR="00BB35BA" w:rsidRDefault="00C76407" w:rsidP="00C411EB">
      <w:r>
        <w:t>Geneva</w:t>
      </w:r>
      <w:r w:rsidRPr="008D0719">
        <w:t xml:space="preserve">, </w:t>
      </w:r>
      <w:r>
        <w:t>19</w:t>
      </w:r>
      <w:r w:rsidRPr="008D0719">
        <w:t>-</w:t>
      </w:r>
      <w:r>
        <w:t>29</w:t>
      </w:r>
      <w:r w:rsidRPr="008D0719">
        <w:t xml:space="preserve"> </w:t>
      </w:r>
      <w:r>
        <w:t>September</w:t>
      </w:r>
      <w:r w:rsidRPr="008D0719">
        <w:t xml:space="preserve"> 2023</w:t>
      </w:r>
    </w:p>
    <w:p w14:paraId="02CA8058" w14:textId="6594C3BF" w:rsidR="00BB35BA" w:rsidRDefault="00BB35BA" w:rsidP="00C411EB">
      <w:r>
        <w:t>Item</w:t>
      </w:r>
      <w:r w:rsidR="00EA4AE5">
        <w:t>s</w:t>
      </w:r>
      <w:r>
        <w:t xml:space="preserve"> </w:t>
      </w:r>
      <w:r w:rsidR="00EA4AE5">
        <w:t>2 and 3</w:t>
      </w:r>
      <w:r w:rsidR="00C76407">
        <w:t xml:space="preserve"> </w:t>
      </w:r>
      <w:r>
        <w:t>of the provisional agenda</w:t>
      </w:r>
    </w:p>
    <w:p w14:paraId="63E131E5" w14:textId="4BE32655" w:rsidR="001C6663" w:rsidRDefault="00EA4AE5" w:rsidP="00C411EB">
      <w:pPr>
        <w:rPr>
          <w:b/>
        </w:rPr>
      </w:pPr>
      <w:r>
        <w:rPr>
          <w:b/>
        </w:rPr>
        <w:t>Tanks</w:t>
      </w:r>
      <w:r w:rsidR="001D439A">
        <w:rPr>
          <w:b/>
        </w:rPr>
        <w:t>, and Standards</w:t>
      </w:r>
    </w:p>
    <w:p w14:paraId="593EA9E2" w14:textId="64426EFB" w:rsidR="00B04B14" w:rsidRPr="008D0719" w:rsidRDefault="00B04B14" w:rsidP="00B04B14">
      <w:pPr>
        <w:pStyle w:val="HChG"/>
      </w:pPr>
      <w:r w:rsidRPr="008D0719">
        <w:tab/>
      </w:r>
      <w:r w:rsidRPr="008D0719">
        <w:tab/>
        <w:t>RID/ADR 6.</w:t>
      </w:r>
      <w:r>
        <w:t>8</w:t>
      </w:r>
      <w:r w:rsidRPr="008D0719">
        <w:t>.3</w:t>
      </w:r>
      <w:r>
        <w:t>.6</w:t>
      </w:r>
      <w:r w:rsidRPr="008D0719">
        <w:t xml:space="preserve"> – </w:t>
      </w:r>
      <w:r>
        <w:t xml:space="preserve">Requirements for </w:t>
      </w:r>
      <w:r w:rsidR="00BD15F2">
        <w:t>battery-wagons/</w:t>
      </w:r>
      <w:r w:rsidR="00D17D8D">
        <w:t xml:space="preserve"> </w:t>
      </w:r>
      <w:r>
        <w:t xml:space="preserve">battery-vehicles and </w:t>
      </w:r>
      <w:r w:rsidR="00AE5882">
        <w:t>m</w:t>
      </w:r>
      <w:r w:rsidR="00AE5882" w:rsidRPr="00AE5882">
        <w:t>ultiple-element gas container</w:t>
      </w:r>
      <w:r w:rsidR="00AE5882">
        <w:t>s</w:t>
      </w:r>
      <w:r>
        <w:t xml:space="preserve"> which are designed, constructed, inspected and tested according to referenced standards</w:t>
      </w:r>
    </w:p>
    <w:p w14:paraId="540830B9" w14:textId="2A690AE6" w:rsidR="00B04B14" w:rsidRPr="008D0719" w:rsidRDefault="00B04B14" w:rsidP="00B04B14">
      <w:pPr>
        <w:pStyle w:val="H1G"/>
        <w:rPr>
          <w:vertAlign w:val="superscript"/>
        </w:rPr>
      </w:pPr>
      <w:r w:rsidRPr="008D0719">
        <w:tab/>
      </w:r>
      <w:r w:rsidRPr="008D0719">
        <w:tab/>
        <w:t xml:space="preserve">Transmitted by </w:t>
      </w:r>
      <w:r w:rsidR="00623A19">
        <w:t xml:space="preserve">the </w:t>
      </w:r>
      <w:r w:rsidR="001A10C3">
        <w:t>European Industrial Gases Association</w:t>
      </w:r>
      <w:r w:rsidR="00623A19">
        <w:t xml:space="preserve"> (</w:t>
      </w:r>
      <w:r>
        <w:t>EIGA</w:t>
      </w:r>
      <w:r w:rsidR="00623A19">
        <w:t>)</w:t>
      </w:r>
      <w:r>
        <w:t xml:space="preserve"> </w:t>
      </w:r>
      <w:r w:rsidRPr="0055160C">
        <w:t xml:space="preserve">and </w:t>
      </w:r>
      <w:r w:rsidR="009B438F" w:rsidRPr="009B438F">
        <w:t>European Cylinder Makers’Association</w:t>
      </w:r>
      <w:r w:rsidR="009B438F">
        <w:t xml:space="preserve"> (</w:t>
      </w:r>
      <w:r w:rsidRPr="0055160C">
        <w:t>ECMA</w:t>
      </w:r>
      <w:r w:rsidR="009B438F">
        <w:t>)</w:t>
      </w:r>
      <w:r w:rsidR="00036424" w:rsidRPr="00B5021D">
        <w:rPr>
          <w:rStyle w:val="FootnoteReference"/>
          <w:sz w:val="20"/>
        </w:rPr>
        <w:footnoteReference w:customMarkFollows="1" w:id="2"/>
        <w:t>*</w:t>
      </w:r>
      <w:r w:rsidR="00884A42" w:rsidRPr="00B5021D">
        <w:rPr>
          <w:sz w:val="20"/>
          <w:vertAlign w:val="superscript"/>
        </w:rPr>
        <w:t>,</w:t>
      </w:r>
      <w:r w:rsidR="00B5021D" w:rsidRPr="00B5021D">
        <w:rPr>
          <w:rStyle w:val="FootnoteReference"/>
          <w:sz w:val="20"/>
        </w:rPr>
        <w:footnoteReference w:customMarkFollows="1" w:id="3"/>
        <w: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B04B14" w:rsidRPr="008D0719" w14:paraId="52FD663B" w14:textId="77777777" w:rsidTr="00FA031C">
        <w:trPr>
          <w:jc w:val="center"/>
        </w:trPr>
        <w:tc>
          <w:tcPr>
            <w:tcW w:w="9637" w:type="dxa"/>
            <w:shd w:val="clear" w:color="auto" w:fill="auto"/>
          </w:tcPr>
          <w:p w14:paraId="5941F914" w14:textId="77777777" w:rsidR="00B04B14" w:rsidRPr="008D0719" w:rsidRDefault="00B04B14" w:rsidP="00FA031C">
            <w:pPr>
              <w:spacing w:before="240" w:after="120"/>
              <w:ind w:left="255"/>
              <w:rPr>
                <w:i/>
                <w:sz w:val="24"/>
              </w:rPr>
            </w:pPr>
            <w:r w:rsidRPr="008D0719">
              <w:rPr>
                <w:i/>
                <w:sz w:val="24"/>
              </w:rPr>
              <w:t>Summary</w:t>
            </w:r>
          </w:p>
        </w:tc>
      </w:tr>
      <w:tr w:rsidR="00B04B14" w:rsidRPr="008D0719" w14:paraId="393356E1" w14:textId="77777777" w:rsidTr="00FA031C">
        <w:trPr>
          <w:jc w:val="center"/>
        </w:trPr>
        <w:tc>
          <w:tcPr>
            <w:tcW w:w="9637" w:type="dxa"/>
            <w:shd w:val="clear" w:color="auto" w:fill="auto"/>
          </w:tcPr>
          <w:p w14:paraId="5E47C9D6" w14:textId="2C31B63D" w:rsidR="00B04B14" w:rsidRPr="00A30C36" w:rsidRDefault="00B04B14" w:rsidP="00A30C36">
            <w:pPr>
              <w:pStyle w:val="SingleTxtG"/>
              <w:ind w:left="3394" w:hanging="2268"/>
              <w:rPr>
                <w:iCs/>
              </w:rPr>
            </w:pPr>
            <w:r w:rsidRPr="00A30C36">
              <w:rPr>
                <w:b/>
                <w:iCs/>
                <w:snapToGrid w:val="0"/>
              </w:rPr>
              <w:t>Explanatory summary:</w:t>
            </w:r>
            <w:r w:rsidRPr="00A30C36">
              <w:rPr>
                <w:iCs/>
                <w:snapToGrid w:val="0"/>
              </w:rPr>
              <w:tab/>
              <w:t xml:space="preserve">With </w:t>
            </w:r>
            <w:r w:rsidR="00477D40">
              <w:rPr>
                <w:iCs/>
                <w:snapToGrid w:val="0"/>
              </w:rPr>
              <w:t xml:space="preserve">standard </w:t>
            </w:r>
            <w:r w:rsidRPr="00A30C36">
              <w:rPr>
                <w:iCs/>
              </w:rPr>
              <w:t xml:space="preserve">EN ISO 23826:2021 published and referenced in RID/ADR (especially </w:t>
            </w:r>
            <w:r w:rsidR="00477D40">
              <w:rPr>
                <w:iCs/>
              </w:rPr>
              <w:t xml:space="preserve">in </w:t>
            </w:r>
            <w:r w:rsidRPr="00A30C36">
              <w:rPr>
                <w:iCs/>
              </w:rPr>
              <w:t xml:space="preserve">6.8.3.6), the use of ball valves for battery vehicles/battery wagons and </w:t>
            </w:r>
            <w:r w:rsidR="00815FB0" w:rsidRPr="00815FB0">
              <w:rPr>
                <w:iCs/>
              </w:rPr>
              <w:t>Multiple-</w:t>
            </w:r>
            <w:r w:rsidR="00EF46B7">
              <w:rPr>
                <w:iCs/>
              </w:rPr>
              <w:t>E</w:t>
            </w:r>
            <w:r w:rsidR="00815FB0" w:rsidRPr="00815FB0">
              <w:rPr>
                <w:iCs/>
              </w:rPr>
              <w:t xml:space="preserve">lement </w:t>
            </w:r>
            <w:r w:rsidR="00AE5882">
              <w:rPr>
                <w:iCs/>
              </w:rPr>
              <w:t>G</w:t>
            </w:r>
            <w:r w:rsidR="00815FB0" w:rsidRPr="00815FB0">
              <w:rPr>
                <w:iCs/>
              </w:rPr>
              <w:t xml:space="preserve">as </w:t>
            </w:r>
            <w:r w:rsidR="00AE5882">
              <w:rPr>
                <w:iCs/>
              </w:rPr>
              <w:t>C</w:t>
            </w:r>
            <w:r w:rsidR="00815FB0" w:rsidRPr="00815FB0">
              <w:rPr>
                <w:iCs/>
              </w:rPr>
              <w:t>ontainer</w:t>
            </w:r>
            <w:r w:rsidR="00480EC1">
              <w:rPr>
                <w:iCs/>
              </w:rPr>
              <w:t>s</w:t>
            </w:r>
            <w:r w:rsidR="00815FB0" w:rsidRPr="00815FB0">
              <w:rPr>
                <w:iCs/>
              </w:rPr>
              <w:t xml:space="preserve"> </w:t>
            </w:r>
            <w:r w:rsidR="00AE5882">
              <w:rPr>
                <w:iCs/>
              </w:rPr>
              <w:t>(</w:t>
            </w:r>
            <w:r w:rsidRPr="00A30C36">
              <w:rPr>
                <w:iCs/>
              </w:rPr>
              <w:t>MEGC</w:t>
            </w:r>
            <w:r w:rsidR="00AE5882">
              <w:rPr>
                <w:iCs/>
              </w:rPr>
              <w:t>s)</w:t>
            </w:r>
            <w:r w:rsidRPr="00A30C36">
              <w:rPr>
                <w:iCs/>
              </w:rPr>
              <w:t xml:space="preserve"> is intended and permitted. However, </w:t>
            </w:r>
            <w:r w:rsidR="00CA1B06">
              <w:rPr>
                <w:iCs/>
              </w:rPr>
              <w:t xml:space="preserve">standard </w:t>
            </w:r>
            <w:r w:rsidRPr="00A30C36">
              <w:rPr>
                <w:iCs/>
              </w:rPr>
              <w:t xml:space="preserve">EN ISO 23826:2021 is not explicitly referenced in EN 13807:2017. For clarity a reference is needed in </w:t>
            </w:r>
            <w:r w:rsidR="00D17D8D">
              <w:rPr>
                <w:iCs/>
              </w:rPr>
              <w:t>RID/</w:t>
            </w:r>
            <w:r w:rsidRPr="00A30C36">
              <w:rPr>
                <w:iCs/>
              </w:rPr>
              <w:t>ADR to explicitly allow the use of ball valves for battery</w:t>
            </w:r>
            <w:r w:rsidR="00516406">
              <w:rPr>
                <w:iCs/>
              </w:rPr>
              <w:t>-</w:t>
            </w:r>
            <w:r w:rsidRPr="00A30C36">
              <w:rPr>
                <w:iCs/>
              </w:rPr>
              <w:t>vehicles/</w:t>
            </w:r>
            <w:r w:rsidR="00516406">
              <w:rPr>
                <w:iCs/>
              </w:rPr>
              <w:t xml:space="preserve"> </w:t>
            </w:r>
            <w:r w:rsidRPr="00A30C36">
              <w:rPr>
                <w:iCs/>
              </w:rPr>
              <w:t>battery</w:t>
            </w:r>
            <w:r w:rsidR="00516406">
              <w:rPr>
                <w:iCs/>
              </w:rPr>
              <w:t>-</w:t>
            </w:r>
            <w:r w:rsidRPr="00A30C36">
              <w:rPr>
                <w:iCs/>
              </w:rPr>
              <w:t>wagons and MEGC</w:t>
            </w:r>
            <w:r w:rsidR="001D622D">
              <w:rPr>
                <w:iCs/>
              </w:rPr>
              <w:t>s</w:t>
            </w:r>
            <w:r w:rsidRPr="00A30C36">
              <w:rPr>
                <w:iCs/>
              </w:rPr>
              <w:t>.</w:t>
            </w:r>
          </w:p>
          <w:p w14:paraId="2462BB6C" w14:textId="3C5C1428" w:rsidR="00B04B14" w:rsidRPr="00A30C36" w:rsidRDefault="00B04B14" w:rsidP="00FA031C">
            <w:pPr>
              <w:pStyle w:val="SingleTxtG"/>
              <w:ind w:left="3402" w:hanging="2268"/>
              <w:rPr>
                <w:iCs/>
              </w:rPr>
            </w:pPr>
            <w:r w:rsidRPr="00A30C36">
              <w:rPr>
                <w:b/>
                <w:iCs/>
                <w:snapToGrid w:val="0"/>
              </w:rPr>
              <w:t>Decision to be taken:</w:t>
            </w:r>
            <w:r w:rsidRPr="00A30C36">
              <w:rPr>
                <w:iCs/>
                <w:snapToGrid w:val="0"/>
              </w:rPr>
              <w:tab/>
              <w:t xml:space="preserve">To add a clarification note to the table in </w:t>
            </w:r>
            <w:r w:rsidR="00D17D8D">
              <w:rPr>
                <w:iCs/>
                <w:snapToGrid w:val="0"/>
              </w:rPr>
              <w:t>RID/</w:t>
            </w:r>
            <w:r w:rsidRPr="00A30C36">
              <w:rPr>
                <w:iCs/>
                <w:snapToGrid w:val="0"/>
              </w:rPr>
              <w:t xml:space="preserve">ADR 6.8.3.6. under </w:t>
            </w:r>
            <w:r w:rsidR="00D96BB0">
              <w:rPr>
                <w:iCs/>
                <w:snapToGrid w:val="0"/>
              </w:rPr>
              <w:t xml:space="preserve">standards </w:t>
            </w:r>
            <w:r w:rsidRPr="00A30C36">
              <w:rPr>
                <w:iCs/>
                <w:snapToGrid w:val="0"/>
              </w:rPr>
              <w:t xml:space="preserve">EN 13807:2017 referencing the use of </w:t>
            </w:r>
            <w:r w:rsidRPr="00A30C36">
              <w:rPr>
                <w:iCs/>
              </w:rPr>
              <w:t xml:space="preserve">ball valves in accordance with </w:t>
            </w:r>
            <w:r w:rsidR="00D17D8D">
              <w:rPr>
                <w:iCs/>
              </w:rPr>
              <w:t xml:space="preserve">standard </w:t>
            </w:r>
            <w:r w:rsidRPr="00A30C36">
              <w:rPr>
                <w:iCs/>
              </w:rPr>
              <w:t>EN ISO 23826:2021</w:t>
            </w:r>
            <w:r w:rsidR="00477D40">
              <w:rPr>
                <w:iCs/>
              </w:rPr>
              <w:t>.</w:t>
            </w:r>
          </w:p>
          <w:p w14:paraId="7ABCD48E" w14:textId="77777777" w:rsidR="00B04B14" w:rsidRPr="008D0719" w:rsidRDefault="00B04B14" w:rsidP="00FA031C">
            <w:pPr>
              <w:pStyle w:val="SingleTxtG"/>
              <w:ind w:left="3402" w:hanging="2268"/>
            </w:pPr>
            <w:r w:rsidRPr="00A30C36">
              <w:rPr>
                <w:b/>
                <w:iCs/>
                <w:snapToGrid w:val="0"/>
              </w:rPr>
              <w:t>Related document:</w:t>
            </w:r>
            <w:r w:rsidRPr="00A30C36">
              <w:rPr>
                <w:iCs/>
                <w:snapToGrid w:val="0"/>
              </w:rPr>
              <w:tab/>
              <w:t>-</w:t>
            </w:r>
          </w:p>
        </w:tc>
      </w:tr>
      <w:tr w:rsidR="00B04B14" w:rsidRPr="008D0719" w14:paraId="5C7D482A" w14:textId="77777777" w:rsidTr="00FA031C">
        <w:trPr>
          <w:jc w:val="center"/>
        </w:trPr>
        <w:tc>
          <w:tcPr>
            <w:tcW w:w="9637" w:type="dxa"/>
            <w:shd w:val="clear" w:color="auto" w:fill="auto"/>
          </w:tcPr>
          <w:p w14:paraId="0198C2FE" w14:textId="77777777" w:rsidR="00B04B14" w:rsidRPr="008D0719" w:rsidRDefault="00B04B14" w:rsidP="00FA031C"/>
        </w:tc>
      </w:tr>
      <w:tr w:rsidR="00B04B14" w:rsidRPr="008D0719" w14:paraId="1D3C52E4" w14:textId="77777777" w:rsidTr="00FA031C">
        <w:trPr>
          <w:jc w:val="center"/>
        </w:trPr>
        <w:tc>
          <w:tcPr>
            <w:tcW w:w="9637" w:type="dxa"/>
            <w:shd w:val="clear" w:color="auto" w:fill="auto"/>
          </w:tcPr>
          <w:p w14:paraId="4D464E72" w14:textId="77777777" w:rsidR="00B04B14" w:rsidRPr="008D0719" w:rsidRDefault="00B04B14" w:rsidP="00FA031C"/>
        </w:tc>
      </w:tr>
    </w:tbl>
    <w:p w14:paraId="2E44C8C0" w14:textId="77777777" w:rsidR="00B04B14" w:rsidRPr="008D0719" w:rsidRDefault="00B04B14" w:rsidP="00B04B14">
      <w:pPr>
        <w:pStyle w:val="HChG"/>
      </w:pPr>
      <w:r w:rsidRPr="008D0719">
        <w:lastRenderedPageBreak/>
        <w:tab/>
      </w:r>
      <w:r w:rsidRPr="008D0719">
        <w:tab/>
        <w:t>Introduction</w:t>
      </w:r>
    </w:p>
    <w:p w14:paraId="1FD63203" w14:textId="77777777" w:rsidR="00B04B14" w:rsidRPr="008D0719" w:rsidRDefault="00B04B14" w:rsidP="00B04B14">
      <w:pPr>
        <w:pStyle w:val="SingleTxtG"/>
      </w:pPr>
      <w:r w:rsidRPr="008D0719">
        <w:t>1.</w:t>
      </w:r>
      <w:r w:rsidRPr="008D0719">
        <w:tab/>
      </w:r>
      <w:r>
        <w:t>The main standard for cylinder valves for pressure receptacles EN ISO 10297 (referenced in 6.2.4.1) was revised in 2014. During that revision, specific valves designs (i.e. quick-release valves, self-closing valves and ball valves) were excluded from the scope of the standard with the aim to publish separate standards for these designs which take their specific configurations and applications into account.</w:t>
      </w:r>
    </w:p>
    <w:p w14:paraId="774962C5" w14:textId="66187E30" w:rsidR="00B04B14" w:rsidRDefault="00B04B14" w:rsidP="00B04B14">
      <w:pPr>
        <w:pStyle w:val="SingleTxtG"/>
      </w:pPr>
      <w:r w:rsidRPr="008D0719">
        <w:t>2.</w:t>
      </w:r>
      <w:r w:rsidRPr="008D0719">
        <w:tab/>
      </w:r>
      <w:r>
        <w:t xml:space="preserve">As result of the exclusion of specific designs in </w:t>
      </w:r>
      <w:r w:rsidR="00D17D8D">
        <w:t xml:space="preserve">standard </w:t>
      </w:r>
      <w:r>
        <w:t xml:space="preserve">EN ISO 10297, amongst other standards and mainly because </w:t>
      </w:r>
      <w:r w:rsidRPr="0064406A">
        <w:t xml:space="preserve">necessity of the application highlighted by the </w:t>
      </w:r>
      <w:r>
        <w:t xml:space="preserve">gas </w:t>
      </w:r>
      <w:r w:rsidRPr="0064406A">
        <w:t>industry</w:t>
      </w:r>
      <w:r>
        <w:t xml:space="preserve">, </w:t>
      </w:r>
      <w:r w:rsidR="004D07D9">
        <w:t xml:space="preserve">standard </w:t>
      </w:r>
      <w:r>
        <w:t xml:space="preserve">EN ISO 23826 was published as a new standard for ball valves with the main application for </w:t>
      </w:r>
      <w:r w:rsidR="00CC51A5">
        <w:t>"</w:t>
      </w:r>
      <w:r>
        <w:t>cargo transport units</w:t>
      </w:r>
      <w:r w:rsidR="00CC51A5">
        <w:t>"</w:t>
      </w:r>
      <w:r>
        <w:t xml:space="preserve"> (e.g. battery</w:t>
      </w:r>
      <w:r w:rsidR="001327CD">
        <w:t>-</w:t>
      </w:r>
      <w:r>
        <w:t>vehicles, battery</w:t>
      </w:r>
      <w:r w:rsidR="00516406">
        <w:t>-</w:t>
      </w:r>
      <w:r>
        <w:t>wagons and MEGC</w:t>
      </w:r>
      <w:r w:rsidR="002A4BF4">
        <w:t>s</w:t>
      </w:r>
      <w:r>
        <w:t>).</w:t>
      </w:r>
    </w:p>
    <w:p w14:paraId="555F1CEC" w14:textId="2DA986CA" w:rsidR="00B04B14" w:rsidRPr="008D0719" w:rsidRDefault="00B04B14" w:rsidP="00B04B14">
      <w:pPr>
        <w:pStyle w:val="SingleTxtG"/>
      </w:pPr>
      <w:r>
        <w:t>3</w:t>
      </w:r>
      <w:r w:rsidRPr="008D0719">
        <w:t>.</w:t>
      </w:r>
      <w:r w:rsidRPr="008D0719">
        <w:tab/>
      </w:r>
      <w:r w:rsidR="002A4BF4">
        <w:t xml:space="preserve">Standard </w:t>
      </w:r>
      <w:r>
        <w:t xml:space="preserve">EN ISO 23826:2021 is for the first time referenced in RID/ADR 2023 in 6.2.4.1 (for pressure receptacles), </w:t>
      </w:r>
      <w:r w:rsidRPr="00CE18CB">
        <w:t>6.8.2.6.1</w:t>
      </w:r>
      <w:r>
        <w:t xml:space="preserve"> (for tanks) and 6.8.3.6 (for battery</w:t>
      </w:r>
      <w:r w:rsidR="00516406">
        <w:t>-</w:t>
      </w:r>
      <w:r>
        <w:t>vehicles/battery</w:t>
      </w:r>
      <w:r w:rsidR="00516406">
        <w:t>-</w:t>
      </w:r>
      <w:r>
        <w:t>wagons and MEGC</w:t>
      </w:r>
      <w:r w:rsidR="002A4BF4">
        <w:t>s</w:t>
      </w:r>
      <w:r>
        <w:t>) with a transition period of 2 years.</w:t>
      </w:r>
    </w:p>
    <w:p w14:paraId="3CE55F3A" w14:textId="77777777" w:rsidR="00B04B14" w:rsidRPr="008D0719" w:rsidRDefault="00B04B14" w:rsidP="00B04B14">
      <w:pPr>
        <w:pStyle w:val="HChG"/>
      </w:pPr>
      <w:r w:rsidRPr="008D0719">
        <w:tab/>
      </w:r>
      <w:r w:rsidRPr="008D0719">
        <w:tab/>
        <w:t>Current situation</w:t>
      </w:r>
    </w:p>
    <w:p w14:paraId="46831793" w14:textId="3043C3A1" w:rsidR="00B04B14" w:rsidRPr="008D0719" w:rsidRDefault="00B04B14" w:rsidP="00B04B14">
      <w:pPr>
        <w:pStyle w:val="SingleTxtG"/>
      </w:pPr>
      <w:r>
        <w:t>4</w:t>
      </w:r>
      <w:r w:rsidRPr="008D0719">
        <w:t>.</w:t>
      </w:r>
      <w:r w:rsidRPr="008D0719">
        <w:tab/>
      </w:r>
      <w:r>
        <w:t xml:space="preserve">According to the </w:t>
      </w:r>
      <w:r w:rsidR="00FA7DB8">
        <w:t>t</w:t>
      </w:r>
      <w:r>
        <w:t>able in 6.8.3.6, for battery</w:t>
      </w:r>
      <w:r w:rsidR="00594DDE">
        <w:t>-</w:t>
      </w:r>
      <w:r>
        <w:t>vehicles/battery</w:t>
      </w:r>
      <w:r w:rsidR="00594DDE">
        <w:t>-</w:t>
      </w:r>
      <w:r>
        <w:t>wagons and MEGC</w:t>
      </w:r>
      <w:r w:rsidR="006317CB">
        <w:t>s</w:t>
      </w:r>
      <w:r>
        <w:t>, EN</w:t>
      </w:r>
      <w:r w:rsidR="00CC51A5">
        <w:t> </w:t>
      </w:r>
      <w:r>
        <w:t>13807:2017 is mandatory to be applied for new type approvals or renewals of type approvals</w:t>
      </w:r>
      <w:r w:rsidRPr="008D0719">
        <w:t>.</w:t>
      </w:r>
    </w:p>
    <w:p w14:paraId="2E2C44A2" w14:textId="7AE37215" w:rsidR="00B04B14" w:rsidRPr="008D0719" w:rsidRDefault="00B04B14" w:rsidP="00B04B14">
      <w:pPr>
        <w:pStyle w:val="SingleTxtG"/>
      </w:pPr>
      <w:r>
        <w:t>5</w:t>
      </w:r>
      <w:r w:rsidRPr="008D0719">
        <w:t>.</w:t>
      </w:r>
      <w:r w:rsidRPr="008D0719">
        <w:tab/>
      </w:r>
      <w:r w:rsidR="00D515BC">
        <w:t xml:space="preserve">Standard </w:t>
      </w:r>
      <w:r>
        <w:t xml:space="preserve">EN 13807:2017 requires valves to meet </w:t>
      </w:r>
      <w:r w:rsidR="00D515BC">
        <w:t xml:space="preserve">standard </w:t>
      </w:r>
      <w:r>
        <w:t>EN ISO 10297 (current edition) if used as closures of the single pressure receptacles in a battery</w:t>
      </w:r>
      <w:r w:rsidR="00007CB5">
        <w:t>-</w:t>
      </w:r>
      <w:r>
        <w:t>vehicle/battery</w:t>
      </w:r>
      <w:r w:rsidR="00007CB5">
        <w:t>-</w:t>
      </w:r>
      <w:r>
        <w:t>wagon or MEGC. In addition, the main valve (valve fitted to the manifold isolating it from the main connection(s)) of a battery</w:t>
      </w:r>
      <w:r w:rsidR="00516406">
        <w:t>-</w:t>
      </w:r>
      <w:r>
        <w:t>vehicle/battery</w:t>
      </w:r>
      <w:r w:rsidR="00516406">
        <w:t>-</w:t>
      </w:r>
      <w:r>
        <w:t xml:space="preserve">wagon or MEGC shall also meet </w:t>
      </w:r>
      <w:r w:rsidR="00C40DC0">
        <w:t xml:space="preserve">standard </w:t>
      </w:r>
      <w:r>
        <w:t>EN ISO 10297 (current edition).</w:t>
      </w:r>
    </w:p>
    <w:p w14:paraId="7351D9B5" w14:textId="5D5D3B97" w:rsidR="00B04B14" w:rsidRPr="008D0719" w:rsidRDefault="00B04B14" w:rsidP="00B04B14">
      <w:pPr>
        <w:pStyle w:val="SingleTxtG"/>
      </w:pPr>
      <w:r>
        <w:t>6</w:t>
      </w:r>
      <w:r w:rsidRPr="008D0719">
        <w:t>.</w:t>
      </w:r>
      <w:r w:rsidRPr="008D0719">
        <w:tab/>
      </w:r>
      <w:r>
        <w:t xml:space="preserve">At </w:t>
      </w:r>
      <w:r w:rsidR="00D50B3F">
        <w:t xml:space="preserve">the </w:t>
      </w:r>
      <w:r>
        <w:t xml:space="preserve">time of publication of </w:t>
      </w:r>
      <w:r w:rsidR="00D50B3F">
        <w:t xml:space="preserve">standard </w:t>
      </w:r>
      <w:r>
        <w:t xml:space="preserve">EN 13807:2017, the use of ball valve as closures for single pressure receptacles and as main valves was agreed in the respective standardization group but there was no standard for ball valves available to which </w:t>
      </w:r>
      <w:r w:rsidR="00D50B3F">
        <w:t xml:space="preserve">standard </w:t>
      </w:r>
      <w:r>
        <w:t>EN 13807 could have referred</w:t>
      </w:r>
      <w:r w:rsidRPr="008D0719">
        <w:t>.</w:t>
      </w:r>
    </w:p>
    <w:p w14:paraId="2619F34F" w14:textId="4B85ED48" w:rsidR="00B04B14" w:rsidRPr="008D0719" w:rsidRDefault="00B04B14" w:rsidP="00B04B14">
      <w:pPr>
        <w:pStyle w:val="SingleTxtG"/>
      </w:pPr>
      <w:r>
        <w:t>7</w:t>
      </w:r>
      <w:r w:rsidRPr="008D0719">
        <w:t>.</w:t>
      </w:r>
      <w:r w:rsidRPr="008D0719">
        <w:tab/>
      </w:r>
      <w:r>
        <w:t xml:space="preserve">With now having </w:t>
      </w:r>
      <w:r w:rsidR="00D50B3F">
        <w:t xml:space="preserve">standard </w:t>
      </w:r>
      <w:r>
        <w:t>EN ISO 23826:2021 published and referenced in RID/ADR (especially 6.8.3.6), the use of ball valves for battery</w:t>
      </w:r>
      <w:r w:rsidR="00EF2B6E">
        <w:t>-</w:t>
      </w:r>
      <w:r>
        <w:t>vehicles/battery</w:t>
      </w:r>
      <w:r w:rsidR="00EF2B6E">
        <w:t>-</w:t>
      </w:r>
      <w:r>
        <w:t>wagons and MEGC</w:t>
      </w:r>
      <w:r w:rsidR="005F1E17">
        <w:t>s</w:t>
      </w:r>
      <w:r>
        <w:t xml:space="preserve"> is intended and permitted</w:t>
      </w:r>
      <w:r w:rsidRPr="008D0719">
        <w:t>.</w:t>
      </w:r>
    </w:p>
    <w:p w14:paraId="4C97EF98" w14:textId="72FED81D" w:rsidR="00B04B14" w:rsidRDefault="00B04B14" w:rsidP="00B04B14">
      <w:pPr>
        <w:pStyle w:val="SingleTxtG"/>
      </w:pPr>
      <w:r w:rsidRPr="004D4E1D">
        <w:t>8.</w:t>
      </w:r>
      <w:r w:rsidRPr="004D4E1D">
        <w:tab/>
      </w:r>
      <w:r w:rsidR="005F1E17">
        <w:t xml:space="preserve">Standard </w:t>
      </w:r>
      <w:r w:rsidRPr="0055160C">
        <w:t xml:space="preserve">EN ISO 23826:2021 is not explicitly referenced in </w:t>
      </w:r>
      <w:r w:rsidR="006A2FA1">
        <w:t xml:space="preserve">standard </w:t>
      </w:r>
      <w:r w:rsidRPr="0055160C">
        <w:t>EN 13807:2017. For clarity, a reference is needed in RID/ADR to explicitly allow the use of ball valves for battery</w:t>
      </w:r>
      <w:r w:rsidR="006A2FA1">
        <w:t>-</w:t>
      </w:r>
      <w:r w:rsidRPr="0055160C">
        <w:t>vehicles/battery</w:t>
      </w:r>
      <w:r w:rsidR="006A2FA1">
        <w:t>-</w:t>
      </w:r>
      <w:r w:rsidRPr="0055160C">
        <w:t>wagons and MEGC</w:t>
      </w:r>
      <w:r w:rsidR="00B3327F">
        <w:t>s</w:t>
      </w:r>
      <w:r w:rsidRPr="004D4E1D">
        <w:t>.</w:t>
      </w:r>
    </w:p>
    <w:p w14:paraId="7BCF8883" w14:textId="7FEB9ACA" w:rsidR="00B04B14" w:rsidRDefault="00B04B14" w:rsidP="00B04B14">
      <w:pPr>
        <w:pStyle w:val="SingleTxtG"/>
      </w:pPr>
      <w:r>
        <w:t>9.</w:t>
      </w:r>
      <w:r>
        <w:tab/>
      </w:r>
      <w:r w:rsidR="00BA4E56">
        <w:t xml:space="preserve">Standard </w:t>
      </w:r>
      <w:r>
        <w:t>EN 13807 will be revised soon, amongst other things to include ball valves as alternative to cylinder valves but this revision will need some time and the revised standard will subsequently be referenced in RID/ADR before it can be applied.</w:t>
      </w:r>
    </w:p>
    <w:p w14:paraId="63B4F1D0" w14:textId="1794DCC2" w:rsidR="00B04B14" w:rsidRDefault="00B04B14" w:rsidP="00B04B14">
      <w:pPr>
        <w:pStyle w:val="SingleTxtG"/>
      </w:pPr>
      <w:r>
        <w:t>10.</w:t>
      </w:r>
      <w:r>
        <w:tab/>
        <w:t>To already allow using ball valves in battery</w:t>
      </w:r>
      <w:r w:rsidR="00594DDE">
        <w:t>-</w:t>
      </w:r>
      <w:r>
        <w:t>vehicles/battery</w:t>
      </w:r>
      <w:r w:rsidR="00594DDE">
        <w:t>-</w:t>
      </w:r>
      <w:r>
        <w:t>wagons and MEGC</w:t>
      </w:r>
      <w:r w:rsidR="00B3327F">
        <w:t>s</w:t>
      </w:r>
      <w:r>
        <w:t xml:space="preserve"> earlier, it is proposed to amend the application of </w:t>
      </w:r>
      <w:r w:rsidR="00BA4E56">
        <w:t xml:space="preserve">standard </w:t>
      </w:r>
      <w:r>
        <w:t>EN 13807:2017 within RID/ADR to cover ball valves in a shorter period.</w:t>
      </w:r>
    </w:p>
    <w:p w14:paraId="2FADABE1" w14:textId="3ED9A1EB" w:rsidR="00B04B14" w:rsidRPr="008D0719" w:rsidRDefault="00B04B14" w:rsidP="00B04B14">
      <w:pPr>
        <w:pStyle w:val="SingleTxtG"/>
      </w:pPr>
      <w:r>
        <w:t>11.</w:t>
      </w:r>
      <w:r>
        <w:tab/>
        <w:t xml:space="preserve">Because </w:t>
      </w:r>
      <w:r w:rsidR="00194963">
        <w:t xml:space="preserve">standard </w:t>
      </w:r>
      <w:r>
        <w:t>EN ISO 23826 explicitly excludes ball valves for oxidizing and toxic gases, the application of ball valves for battery</w:t>
      </w:r>
      <w:r w:rsidR="00742421">
        <w:t>-</w:t>
      </w:r>
      <w:r>
        <w:t>vehicles/battery</w:t>
      </w:r>
      <w:r w:rsidR="00742421">
        <w:t>-</w:t>
      </w:r>
      <w:r>
        <w:t>wagons and MEGC</w:t>
      </w:r>
      <w:r w:rsidR="00805724">
        <w:t>s</w:t>
      </w:r>
      <w:r>
        <w:t xml:space="preserve"> shall be limited to non-oxidizing and non-toxic gases.</w:t>
      </w:r>
    </w:p>
    <w:p w14:paraId="34A79F1F" w14:textId="77777777" w:rsidR="00B04B14" w:rsidRPr="008D0719" w:rsidRDefault="00B04B14" w:rsidP="00B04B14">
      <w:pPr>
        <w:pStyle w:val="HChG"/>
      </w:pPr>
      <w:r w:rsidRPr="008D0719">
        <w:tab/>
      </w:r>
      <w:r w:rsidRPr="008D0719">
        <w:tab/>
      </w:r>
      <w:r w:rsidRPr="008D0719">
        <w:tab/>
        <w:t>Proposal</w:t>
      </w:r>
      <w:r>
        <w:t xml:space="preserve"> 1</w:t>
      </w:r>
    </w:p>
    <w:p w14:paraId="1D902D93" w14:textId="2C0F1F5D" w:rsidR="00B04B14" w:rsidRPr="008D0719" w:rsidRDefault="00B04B14" w:rsidP="00B04B14">
      <w:pPr>
        <w:pStyle w:val="SingleTxtG"/>
      </w:pPr>
      <w:r>
        <w:t>12</w:t>
      </w:r>
      <w:r w:rsidRPr="008D0719">
        <w:t>.</w:t>
      </w:r>
      <w:r w:rsidRPr="008D0719">
        <w:tab/>
      </w:r>
      <w:r w:rsidR="000514E9">
        <w:t>I</w:t>
      </w:r>
      <w:r w:rsidR="000514E9" w:rsidRPr="004D4E1D">
        <w:t>n</w:t>
      </w:r>
      <w:r w:rsidR="000514E9">
        <w:t xml:space="preserve"> the Table of </w:t>
      </w:r>
      <w:r w:rsidR="000514E9" w:rsidRPr="008D0719">
        <w:t>6.</w:t>
      </w:r>
      <w:r w:rsidR="000514E9">
        <w:t>8.3 i</w:t>
      </w:r>
      <w:r w:rsidRPr="008D0719">
        <w:t xml:space="preserve">nsert a </w:t>
      </w:r>
      <w:r>
        <w:t xml:space="preserve">Note in column (2) for </w:t>
      </w:r>
      <w:r w:rsidR="00805724">
        <w:t xml:space="preserve">standard </w:t>
      </w:r>
      <w:r w:rsidRPr="0055160C">
        <w:t>EN 13807:2017</w:t>
      </w:r>
      <w:r>
        <w:t>.6</w:t>
      </w:r>
      <w:r w:rsidRPr="008D0719">
        <w:t xml:space="preserve"> to read as follows:</w:t>
      </w:r>
    </w:p>
    <w:p w14:paraId="3F31148E" w14:textId="61FA20E4" w:rsidR="00B04B14" w:rsidRPr="008D0719" w:rsidRDefault="0036108D" w:rsidP="00B04B14">
      <w:pPr>
        <w:pStyle w:val="SingleTxtG"/>
        <w:ind w:left="2410" w:hanging="709"/>
      </w:pPr>
      <w:r w:rsidRPr="0036108D">
        <w:rPr>
          <w:i/>
          <w:iCs/>
        </w:rPr>
        <w:lastRenderedPageBreak/>
        <w:t>"</w:t>
      </w:r>
      <w:r w:rsidR="00B04B14" w:rsidRPr="00A34C60">
        <w:rPr>
          <w:b/>
          <w:i/>
          <w:iCs/>
        </w:rPr>
        <w:t>NOTE:</w:t>
      </w:r>
      <w:r w:rsidR="00B04B14">
        <w:rPr>
          <w:i/>
          <w:iCs/>
        </w:rPr>
        <w:t xml:space="preserve"> For </w:t>
      </w:r>
      <w:r w:rsidR="00B04B14" w:rsidRPr="00ED78BD">
        <w:rPr>
          <w:i/>
          <w:iCs/>
        </w:rPr>
        <w:t>non-oxidizing and non-toxic gases</w:t>
      </w:r>
      <w:r w:rsidR="00B04B14">
        <w:rPr>
          <w:i/>
          <w:iCs/>
        </w:rPr>
        <w:t>,</w:t>
      </w:r>
      <w:r w:rsidR="00B04B14" w:rsidRPr="00ED78BD">
        <w:rPr>
          <w:i/>
          <w:iCs/>
        </w:rPr>
        <w:t xml:space="preserve"> </w:t>
      </w:r>
      <w:r w:rsidR="00B04B14">
        <w:rPr>
          <w:i/>
          <w:iCs/>
        </w:rPr>
        <w:t>c</w:t>
      </w:r>
      <w:r w:rsidR="00B04B14" w:rsidRPr="00A34C60">
        <w:rPr>
          <w:i/>
          <w:iCs/>
        </w:rPr>
        <w:t xml:space="preserve">ylinder valves according to </w:t>
      </w:r>
      <w:r w:rsidR="00742421">
        <w:rPr>
          <w:i/>
          <w:iCs/>
        </w:rPr>
        <w:t xml:space="preserve">standard </w:t>
      </w:r>
      <w:r w:rsidR="00B04B14" w:rsidRPr="00A34C60">
        <w:rPr>
          <w:i/>
          <w:iCs/>
        </w:rPr>
        <w:t xml:space="preserve">EN ISO 10297 as required in </w:t>
      </w:r>
      <w:r w:rsidR="007012A8">
        <w:rPr>
          <w:i/>
          <w:iCs/>
        </w:rPr>
        <w:t xml:space="preserve">clauses </w:t>
      </w:r>
      <w:r w:rsidR="00B04B14" w:rsidRPr="00A34C60">
        <w:rPr>
          <w:i/>
          <w:iCs/>
        </w:rPr>
        <w:t>4.4.1 and 4.6.1 may be replaced by ball valves according to EN ISO 23826</w:t>
      </w:r>
      <w:r w:rsidR="00B04B14">
        <w:rPr>
          <w:i/>
          <w:iCs/>
        </w:rPr>
        <w:t>:2021</w:t>
      </w:r>
      <w:r w:rsidR="00B04B14" w:rsidRPr="00A34C60">
        <w:rPr>
          <w:i/>
          <w:iCs/>
        </w:rPr>
        <w:t>.</w:t>
      </w:r>
      <w:r w:rsidRPr="0036108D">
        <w:rPr>
          <w:i/>
          <w:iCs/>
        </w:rPr>
        <w:t>"</w:t>
      </w:r>
    </w:p>
    <w:p w14:paraId="58EE4F3F" w14:textId="77777777" w:rsidR="00B04B14" w:rsidRDefault="00B04B14" w:rsidP="00B04B14">
      <w:pPr>
        <w:pStyle w:val="SingleTxtG"/>
        <w:rPr>
          <w:i/>
          <w:iCs/>
        </w:rPr>
      </w:pPr>
      <w:r w:rsidRPr="00B35A69">
        <w:rPr>
          <w:i/>
          <w:iCs/>
        </w:rPr>
        <w:tab/>
      </w:r>
    </w:p>
    <w:tbl>
      <w:tblPr>
        <w:tblStyle w:val="TableGrid"/>
        <w:tblW w:w="0" w:type="auto"/>
        <w:tblLook w:val="04A0" w:firstRow="1" w:lastRow="0" w:firstColumn="1" w:lastColumn="0" w:noHBand="0" w:noVBand="1"/>
      </w:tblPr>
      <w:tblGrid>
        <w:gridCol w:w="1962"/>
        <w:gridCol w:w="1964"/>
        <w:gridCol w:w="2083"/>
        <w:gridCol w:w="1971"/>
        <w:gridCol w:w="1648"/>
      </w:tblGrid>
      <w:tr w:rsidR="00B04B14" w:rsidRPr="005E4C16" w14:paraId="4B26522C" w14:textId="77777777" w:rsidTr="00FA031C">
        <w:tc>
          <w:tcPr>
            <w:tcW w:w="1962" w:type="dxa"/>
          </w:tcPr>
          <w:p w14:paraId="4962FE8D" w14:textId="77777777" w:rsidR="00B04B14" w:rsidRPr="005E4C16" w:rsidRDefault="00B04B14" w:rsidP="00FA031C">
            <w:pPr>
              <w:jc w:val="center"/>
              <w:rPr>
                <w:b/>
                <w:bCs/>
              </w:rPr>
            </w:pPr>
            <w:r w:rsidRPr="005E4C16">
              <w:rPr>
                <w:b/>
                <w:bCs/>
              </w:rPr>
              <w:t>Reference</w:t>
            </w:r>
          </w:p>
        </w:tc>
        <w:tc>
          <w:tcPr>
            <w:tcW w:w="1964" w:type="dxa"/>
          </w:tcPr>
          <w:p w14:paraId="75CC38D1" w14:textId="77777777" w:rsidR="00B04B14" w:rsidRPr="005E4C16" w:rsidRDefault="00B04B14" w:rsidP="00FA031C">
            <w:pPr>
              <w:jc w:val="center"/>
              <w:rPr>
                <w:b/>
                <w:bCs/>
              </w:rPr>
            </w:pPr>
            <w:r w:rsidRPr="005E4C16">
              <w:rPr>
                <w:b/>
                <w:bCs/>
              </w:rPr>
              <w:t>Title of document</w:t>
            </w:r>
          </w:p>
        </w:tc>
        <w:tc>
          <w:tcPr>
            <w:tcW w:w="2083" w:type="dxa"/>
          </w:tcPr>
          <w:p w14:paraId="36ACA2B6" w14:textId="77777777" w:rsidR="00B04B14" w:rsidRPr="005E4C16" w:rsidRDefault="00B04B14" w:rsidP="00FA031C">
            <w:pPr>
              <w:jc w:val="center"/>
              <w:rPr>
                <w:b/>
                <w:bCs/>
                <w:lang w:val="en-US"/>
              </w:rPr>
            </w:pPr>
            <w:r w:rsidRPr="005E4C16">
              <w:rPr>
                <w:b/>
                <w:bCs/>
                <w:lang w:val="en-US"/>
              </w:rPr>
              <w:t>Requirements the standard complies with</w:t>
            </w:r>
          </w:p>
        </w:tc>
        <w:tc>
          <w:tcPr>
            <w:tcW w:w="1971" w:type="dxa"/>
          </w:tcPr>
          <w:p w14:paraId="17EAF277" w14:textId="77777777" w:rsidR="00B04B14" w:rsidRPr="005E4C16" w:rsidRDefault="00B04B14" w:rsidP="00FA031C">
            <w:pPr>
              <w:jc w:val="center"/>
              <w:rPr>
                <w:b/>
                <w:bCs/>
                <w:lang w:val="en-US"/>
              </w:rPr>
            </w:pPr>
            <w:r w:rsidRPr="005E4C16">
              <w:rPr>
                <w:b/>
                <w:bCs/>
                <w:lang w:val="en-US"/>
              </w:rPr>
              <w:t>Applicable for new type approvals or for renewals</w:t>
            </w:r>
          </w:p>
        </w:tc>
        <w:tc>
          <w:tcPr>
            <w:tcW w:w="1648" w:type="dxa"/>
          </w:tcPr>
          <w:p w14:paraId="2B648A9C" w14:textId="77777777" w:rsidR="00B04B14" w:rsidRPr="005E4C16" w:rsidRDefault="00B04B14" w:rsidP="00FA031C">
            <w:pPr>
              <w:jc w:val="center"/>
              <w:rPr>
                <w:b/>
                <w:bCs/>
                <w:lang w:val="en-US"/>
              </w:rPr>
            </w:pPr>
            <w:r w:rsidRPr="005E4C16">
              <w:rPr>
                <w:b/>
                <w:bCs/>
                <w:lang w:val="en-US"/>
              </w:rPr>
              <w:t>Latest date for withdrawal of existing type approvals</w:t>
            </w:r>
          </w:p>
        </w:tc>
      </w:tr>
      <w:tr w:rsidR="00B04B14" w:rsidRPr="00EA56B6" w14:paraId="489BEBB9" w14:textId="77777777" w:rsidTr="00FA031C">
        <w:tc>
          <w:tcPr>
            <w:tcW w:w="1962" w:type="dxa"/>
          </w:tcPr>
          <w:p w14:paraId="182B311D" w14:textId="77777777" w:rsidR="00B04B14" w:rsidRPr="00EA56B6" w:rsidRDefault="00B04B14" w:rsidP="00FA031C">
            <w:pPr>
              <w:jc w:val="center"/>
              <w:rPr>
                <w:lang w:val="en-US"/>
              </w:rPr>
            </w:pPr>
            <w:r>
              <w:rPr>
                <w:lang w:val="en-US"/>
              </w:rPr>
              <w:t>(1)</w:t>
            </w:r>
          </w:p>
        </w:tc>
        <w:tc>
          <w:tcPr>
            <w:tcW w:w="1964" w:type="dxa"/>
          </w:tcPr>
          <w:p w14:paraId="4C07D1D1" w14:textId="77777777" w:rsidR="00B04B14" w:rsidRPr="00EA56B6" w:rsidRDefault="00B04B14" w:rsidP="00FA031C">
            <w:pPr>
              <w:jc w:val="center"/>
              <w:rPr>
                <w:lang w:val="en-US"/>
              </w:rPr>
            </w:pPr>
            <w:r>
              <w:rPr>
                <w:lang w:val="en-US"/>
              </w:rPr>
              <w:t>(2)</w:t>
            </w:r>
          </w:p>
        </w:tc>
        <w:tc>
          <w:tcPr>
            <w:tcW w:w="2083" w:type="dxa"/>
          </w:tcPr>
          <w:p w14:paraId="6309262D" w14:textId="77777777" w:rsidR="00B04B14" w:rsidRPr="00EA56B6" w:rsidRDefault="00B04B14" w:rsidP="00FA031C">
            <w:pPr>
              <w:jc w:val="center"/>
              <w:rPr>
                <w:lang w:val="en-US"/>
              </w:rPr>
            </w:pPr>
            <w:r>
              <w:rPr>
                <w:lang w:val="en-US"/>
              </w:rPr>
              <w:t>(3)</w:t>
            </w:r>
          </w:p>
        </w:tc>
        <w:tc>
          <w:tcPr>
            <w:tcW w:w="1971" w:type="dxa"/>
          </w:tcPr>
          <w:p w14:paraId="710A71B9" w14:textId="77777777" w:rsidR="00B04B14" w:rsidRPr="00EA56B6" w:rsidRDefault="00B04B14" w:rsidP="00FA031C">
            <w:pPr>
              <w:jc w:val="center"/>
              <w:rPr>
                <w:lang w:val="en-US"/>
              </w:rPr>
            </w:pPr>
            <w:r>
              <w:rPr>
                <w:lang w:val="en-US"/>
              </w:rPr>
              <w:t>(4)</w:t>
            </w:r>
          </w:p>
        </w:tc>
        <w:tc>
          <w:tcPr>
            <w:tcW w:w="1648" w:type="dxa"/>
          </w:tcPr>
          <w:p w14:paraId="38B9BD32" w14:textId="77777777" w:rsidR="00B04B14" w:rsidRPr="00EA56B6" w:rsidRDefault="00B04B14" w:rsidP="00FA031C">
            <w:pPr>
              <w:jc w:val="center"/>
              <w:rPr>
                <w:lang w:val="en-US"/>
              </w:rPr>
            </w:pPr>
            <w:r>
              <w:rPr>
                <w:lang w:val="en-US"/>
              </w:rPr>
              <w:t>(5)</w:t>
            </w:r>
          </w:p>
        </w:tc>
      </w:tr>
      <w:tr w:rsidR="00B04B14" w:rsidRPr="00EA56B6" w14:paraId="639CB88A" w14:textId="77777777" w:rsidTr="00FA031C">
        <w:tc>
          <w:tcPr>
            <w:tcW w:w="1962" w:type="dxa"/>
          </w:tcPr>
          <w:p w14:paraId="20AEF9C4" w14:textId="77777777" w:rsidR="00B04B14" w:rsidRPr="00EA56B6" w:rsidRDefault="00B04B14" w:rsidP="00FA031C">
            <w:pPr>
              <w:rPr>
                <w:lang w:val="en-US"/>
              </w:rPr>
            </w:pPr>
            <w:r>
              <w:rPr>
                <w:lang w:val="en-US"/>
              </w:rPr>
              <w:t>EN 13807:2003</w:t>
            </w:r>
          </w:p>
        </w:tc>
        <w:tc>
          <w:tcPr>
            <w:tcW w:w="1964" w:type="dxa"/>
          </w:tcPr>
          <w:p w14:paraId="73B09AB5" w14:textId="77777777" w:rsidR="00B04B14" w:rsidRDefault="00B04B14" w:rsidP="00FA031C">
            <w:pPr>
              <w:rPr>
                <w:lang w:val="en-US"/>
              </w:rPr>
            </w:pPr>
            <w:r>
              <w:rPr>
                <w:lang w:val="en-US"/>
              </w:rPr>
              <w:t>Transportable gas cylinders – Battery vehicles – Design, manufacture, identification and testing</w:t>
            </w:r>
          </w:p>
          <w:p w14:paraId="592C0F08" w14:textId="77777777" w:rsidR="00B04B14" w:rsidRDefault="00B04B14" w:rsidP="00FA031C">
            <w:pPr>
              <w:rPr>
                <w:i/>
                <w:iCs/>
                <w:lang w:val="en-US"/>
              </w:rPr>
            </w:pPr>
            <w:r w:rsidRPr="00EA56B6">
              <w:rPr>
                <w:b/>
                <w:bCs/>
                <w:i/>
                <w:iCs/>
                <w:lang w:val="en-US"/>
              </w:rPr>
              <w:t>NOTE:</w:t>
            </w:r>
            <w:r w:rsidRPr="00EA56B6">
              <w:rPr>
                <w:i/>
                <w:iCs/>
                <w:lang w:val="en-US"/>
              </w:rPr>
              <w:t xml:space="preserve"> Where appropriate this standard may also be applied to MEGCs which consists of pressure receptacles</w:t>
            </w:r>
          </w:p>
          <w:p w14:paraId="0A499AB9" w14:textId="77777777" w:rsidR="00B04B14" w:rsidRPr="00EA56B6" w:rsidRDefault="00B04B14" w:rsidP="00FA031C">
            <w:pPr>
              <w:rPr>
                <w:i/>
                <w:iCs/>
                <w:lang w:val="en-US"/>
              </w:rPr>
            </w:pPr>
          </w:p>
        </w:tc>
        <w:tc>
          <w:tcPr>
            <w:tcW w:w="2083" w:type="dxa"/>
          </w:tcPr>
          <w:p w14:paraId="44C16580" w14:textId="77777777" w:rsidR="00B04B14" w:rsidRDefault="00B04B14" w:rsidP="00FA031C">
            <w:pPr>
              <w:rPr>
                <w:lang w:val="en-US"/>
              </w:rPr>
            </w:pPr>
            <w:r>
              <w:rPr>
                <w:lang w:val="en-US"/>
              </w:rPr>
              <w:t xml:space="preserve">6.8.3.1.4 and </w:t>
            </w:r>
          </w:p>
          <w:p w14:paraId="4A5FC57A" w14:textId="77777777" w:rsidR="00B04B14" w:rsidRDefault="00B04B14" w:rsidP="00FA031C">
            <w:pPr>
              <w:rPr>
                <w:lang w:val="en-US"/>
              </w:rPr>
            </w:pPr>
            <w:r>
              <w:rPr>
                <w:lang w:val="en-US"/>
              </w:rPr>
              <w:t>6.8.3.1.5</w:t>
            </w:r>
          </w:p>
          <w:p w14:paraId="5727BB53" w14:textId="77777777" w:rsidR="00B04B14" w:rsidRDefault="00B04B14" w:rsidP="00FA031C">
            <w:pPr>
              <w:rPr>
                <w:lang w:val="en-US"/>
              </w:rPr>
            </w:pPr>
            <w:r>
              <w:rPr>
                <w:lang w:val="en-US"/>
              </w:rPr>
              <w:t xml:space="preserve">6.8.3.2.18 to </w:t>
            </w:r>
          </w:p>
          <w:p w14:paraId="2A4A4F79" w14:textId="77777777" w:rsidR="00B04B14" w:rsidRDefault="00B04B14" w:rsidP="00FA031C">
            <w:pPr>
              <w:rPr>
                <w:lang w:val="en-US"/>
              </w:rPr>
            </w:pPr>
            <w:r>
              <w:rPr>
                <w:lang w:val="en-US"/>
              </w:rPr>
              <w:t>6.8.3.2.26,</w:t>
            </w:r>
          </w:p>
          <w:p w14:paraId="7FD79325" w14:textId="77777777" w:rsidR="00B04B14" w:rsidRDefault="00B04B14" w:rsidP="00FA031C">
            <w:pPr>
              <w:rPr>
                <w:lang w:val="en-US"/>
              </w:rPr>
            </w:pPr>
            <w:r>
              <w:rPr>
                <w:lang w:val="en-US"/>
              </w:rPr>
              <w:t xml:space="preserve">6.8.3.4.12 to </w:t>
            </w:r>
          </w:p>
          <w:p w14:paraId="0C34E982" w14:textId="77777777" w:rsidR="00B04B14" w:rsidRDefault="00B04B14" w:rsidP="00FA031C">
            <w:pPr>
              <w:rPr>
                <w:lang w:val="en-US"/>
              </w:rPr>
            </w:pPr>
            <w:r>
              <w:rPr>
                <w:lang w:val="en-US"/>
              </w:rPr>
              <w:t xml:space="preserve">6.8.3.4.14 and </w:t>
            </w:r>
          </w:p>
          <w:p w14:paraId="64EEC577" w14:textId="77777777" w:rsidR="00B04B14" w:rsidRDefault="00B04B14" w:rsidP="00FA031C">
            <w:pPr>
              <w:rPr>
                <w:lang w:val="en-US"/>
              </w:rPr>
            </w:pPr>
            <w:r>
              <w:rPr>
                <w:lang w:val="en-US"/>
              </w:rPr>
              <w:t xml:space="preserve">6.8.3.5.10 to </w:t>
            </w:r>
          </w:p>
          <w:p w14:paraId="371A4AA3" w14:textId="77777777" w:rsidR="00B04B14" w:rsidRPr="00EA56B6" w:rsidRDefault="00B04B14" w:rsidP="00FA031C">
            <w:pPr>
              <w:rPr>
                <w:lang w:val="en-US"/>
              </w:rPr>
            </w:pPr>
            <w:r>
              <w:rPr>
                <w:lang w:val="en-US"/>
              </w:rPr>
              <w:t>6.8.3.5.13</w:t>
            </w:r>
          </w:p>
        </w:tc>
        <w:tc>
          <w:tcPr>
            <w:tcW w:w="1971" w:type="dxa"/>
          </w:tcPr>
          <w:p w14:paraId="06AE11FB" w14:textId="77777777" w:rsidR="00B04B14" w:rsidRPr="00EA56B6" w:rsidRDefault="00B04B14" w:rsidP="00FA031C">
            <w:pPr>
              <w:rPr>
                <w:lang w:val="en-US"/>
              </w:rPr>
            </w:pPr>
            <w:r>
              <w:rPr>
                <w:lang w:val="en-US"/>
              </w:rPr>
              <w:t>Between 1 January 2005 and 31 December 2020</w:t>
            </w:r>
          </w:p>
        </w:tc>
        <w:tc>
          <w:tcPr>
            <w:tcW w:w="1648" w:type="dxa"/>
          </w:tcPr>
          <w:p w14:paraId="5EF47797" w14:textId="77777777" w:rsidR="00B04B14" w:rsidRPr="00EA56B6" w:rsidRDefault="00B04B14" w:rsidP="00FA031C">
            <w:pPr>
              <w:rPr>
                <w:lang w:val="en-US"/>
              </w:rPr>
            </w:pPr>
          </w:p>
        </w:tc>
      </w:tr>
      <w:tr w:rsidR="00B04B14" w:rsidRPr="00EA56B6" w14:paraId="3AD80D2F" w14:textId="77777777" w:rsidTr="00FA031C">
        <w:tc>
          <w:tcPr>
            <w:tcW w:w="1962" w:type="dxa"/>
          </w:tcPr>
          <w:p w14:paraId="0E607A6D" w14:textId="77777777" w:rsidR="00B04B14" w:rsidRPr="00EA56B6" w:rsidRDefault="00B04B14" w:rsidP="00FA031C">
            <w:pPr>
              <w:rPr>
                <w:lang w:val="en-US"/>
              </w:rPr>
            </w:pPr>
            <w:r>
              <w:rPr>
                <w:lang w:val="en-US"/>
              </w:rPr>
              <w:t>EN 13807:2017</w:t>
            </w:r>
          </w:p>
        </w:tc>
        <w:tc>
          <w:tcPr>
            <w:tcW w:w="1964" w:type="dxa"/>
          </w:tcPr>
          <w:p w14:paraId="2645577B" w14:textId="77777777" w:rsidR="00B04B14" w:rsidRPr="004D4E1D" w:rsidRDefault="00B04B14" w:rsidP="00FA031C">
            <w:pPr>
              <w:rPr>
                <w:lang w:val="en-US"/>
              </w:rPr>
            </w:pPr>
            <w:r w:rsidRPr="004D4E1D">
              <w:rPr>
                <w:lang w:val="en-US"/>
              </w:rPr>
              <w:t>Transportable gas cylinders – Battery vehicles and multiple-element gas containers (MEGCs) – Design, manufacture, identification and testing</w:t>
            </w:r>
          </w:p>
          <w:p w14:paraId="4D39BFC8" w14:textId="77777777" w:rsidR="00B04B14" w:rsidRPr="004D4E1D" w:rsidRDefault="00B04B14" w:rsidP="00FA031C">
            <w:pPr>
              <w:rPr>
                <w:lang w:val="en-US"/>
              </w:rPr>
            </w:pPr>
          </w:p>
          <w:p w14:paraId="3B7F3B0A" w14:textId="1F32E168" w:rsidR="00B04B14" w:rsidRPr="004D4E1D" w:rsidRDefault="00B04B14" w:rsidP="00FA031C">
            <w:r w:rsidRPr="0055160C">
              <w:rPr>
                <w:b/>
                <w:bCs/>
                <w:i/>
                <w:iCs/>
                <w:u w:val="single"/>
                <w:lang w:val="en-US"/>
              </w:rPr>
              <w:t xml:space="preserve">NOTE: </w:t>
            </w:r>
            <w:r w:rsidRPr="0055160C">
              <w:rPr>
                <w:i/>
                <w:iCs/>
                <w:u w:val="single"/>
                <w:lang w:val="en-US"/>
              </w:rPr>
              <w:t xml:space="preserve">For non-oxidizing and non-toxic gases, cylinder valves according to EN ISO 10297 as required in </w:t>
            </w:r>
            <w:r w:rsidR="00BA4F6D">
              <w:rPr>
                <w:i/>
                <w:iCs/>
                <w:u w:val="single"/>
                <w:lang w:val="en-US"/>
              </w:rPr>
              <w:t xml:space="preserve">clauses </w:t>
            </w:r>
            <w:r w:rsidRPr="0055160C">
              <w:rPr>
                <w:i/>
                <w:iCs/>
                <w:u w:val="single"/>
                <w:lang w:val="en-US"/>
              </w:rPr>
              <w:t>4.4.1 and 4.6.1 may be replaced by ball valves according to EN ISO 23826:2021</w:t>
            </w:r>
            <w:r w:rsidRPr="0055160C">
              <w:rPr>
                <w:b/>
                <w:bCs/>
                <w:i/>
                <w:iCs/>
                <w:u w:val="single"/>
                <w:lang w:val="en-US"/>
              </w:rPr>
              <w:t>.</w:t>
            </w:r>
          </w:p>
        </w:tc>
        <w:tc>
          <w:tcPr>
            <w:tcW w:w="2083" w:type="dxa"/>
          </w:tcPr>
          <w:p w14:paraId="1B08D13E" w14:textId="77777777" w:rsidR="00B04B14" w:rsidRPr="004D4E1D" w:rsidRDefault="00B04B14" w:rsidP="00FA031C">
            <w:pPr>
              <w:rPr>
                <w:lang w:val="en-US"/>
              </w:rPr>
            </w:pPr>
            <w:r w:rsidRPr="004D4E1D">
              <w:rPr>
                <w:lang w:val="en-US"/>
              </w:rPr>
              <w:t>6.8.3.1.4,</w:t>
            </w:r>
          </w:p>
          <w:p w14:paraId="3C4FEC80" w14:textId="77777777" w:rsidR="00B04B14" w:rsidRPr="004D4E1D" w:rsidRDefault="00B04B14" w:rsidP="00FA031C">
            <w:pPr>
              <w:rPr>
                <w:lang w:val="en-US"/>
              </w:rPr>
            </w:pPr>
            <w:r w:rsidRPr="004D4E1D">
              <w:rPr>
                <w:lang w:val="en-US"/>
              </w:rPr>
              <w:t>6.8.3.1.5,</w:t>
            </w:r>
          </w:p>
          <w:p w14:paraId="6130AE15" w14:textId="77777777" w:rsidR="00B04B14" w:rsidRPr="004D4E1D" w:rsidRDefault="00B04B14" w:rsidP="00FA031C">
            <w:pPr>
              <w:rPr>
                <w:lang w:val="en-US"/>
              </w:rPr>
            </w:pPr>
            <w:r w:rsidRPr="004D4E1D">
              <w:rPr>
                <w:lang w:val="en-US"/>
              </w:rPr>
              <w:t xml:space="preserve">6.8.3.2.18 to </w:t>
            </w:r>
          </w:p>
          <w:p w14:paraId="239355B0" w14:textId="5B330A4D" w:rsidR="00B04B14" w:rsidRPr="004D4E1D" w:rsidRDefault="00B04B14" w:rsidP="00FA031C">
            <w:pPr>
              <w:rPr>
                <w:lang w:val="en-US"/>
              </w:rPr>
            </w:pPr>
            <w:r w:rsidRPr="004D4E1D">
              <w:rPr>
                <w:lang w:val="en-US"/>
              </w:rPr>
              <w:t>6.8.3.2.2</w:t>
            </w:r>
            <w:r w:rsidR="00BA4F6D">
              <w:rPr>
                <w:lang w:val="en-US"/>
              </w:rPr>
              <w:t>8</w:t>
            </w:r>
            <w:r w:rsidRPr="004D4E1D">
              <w:rPr>
                <w:lang w:val="en-US"/>
              </w:rPr>
              <w:t>,</w:t>
            </w:r>
          </w:p>
          <w:p w14:paraId="664B16A7" w14:textId="77777777" w:rsidR="00B04B14" w:rsidRPr="004D4E1D" w:rsidRDefault="00B04B14" w:rsidP="00FA031C">
            <w:pPr>
              <w:rPr>
                <w:lang w:val="en-US"/>
              </w:rPr>
            </w:pPr>
            <w:r w:rsidRPr="004D4E1D">
              <w:rPr>
                <w:lang w:val="en-US"/>
              </w:rPr>
              <w:t xml:space="preserve">6.8.3.4.12 to </w:t>
            </w:r>
          </w:p>
          <w:p w14:paraId="69B0FD13" w14:textId="77777777" w:rsidR="00B04B14" w:rsidRPr="004D4E1D" w:rsidRDefault="00B04B14" w:rsidP="00FA031C">
            <w:pPr>
              <w:rPr>
                <w:lang w:val="en-US"/>
              </w:rPr>
            </w:pPr>
            <w:r w:rsidRPr="004D4E1D">
              <w:rPr>
                <w:lang w:val="en-US"/>
              </w:rPr>
              <w:t xml:space="preserve">6.8.3.4.14 and </w:t>
            </w:r>
          </w:p>
          <w:p w14:paraId="45E9BE22" w14:textId="77777777" w:rsidR="00B04B14" w:rsidRPr="004D4E1D" w:rsidRDefault="00B04B14" w:rsidP="00FA031C">
            <w:pPr>
              <w:rPr>
                <w:lang w:val="en-US"/>
              </w:rPr>
            </w:pPr>
            <w:r w:rsidRPr="004D4E1D">
              <w:rPr>
                <w:lang w:val="en-US"/>
              </w:rPr>
              <w:t xml:space="preserve">6.8.3.5.10 to </w:t>
            </w:r>
          </w:p>
          <w:p w14:paraId="332FFE56" w14:textId="77777777" w:rsidR="00B04B14" w:rsidRPr="004D4E1D" w:rsidRDefault="00B04B14" w:rsidP="00FA031C">
            <w:pPr>
              <w:rPr>
                <w:lang w:val="en-US"/>
              </w:rPr>
            </w:pPr>
            <w:r w:rsidRPr="004D4E1D">
              <w:rPr>
                <w:lang w:val="en-US"/>
              </w:rPr>
              <w:t>6.8.3.5.13</w:t>
            </w:r>
          </w:p>
        </w:tc>
        <w:tc>
          <w:tcPr>
            <w:tcW w:w="1971" w:type="dxa"/>
          </w:tcPr>
          <w:p w14:paraId="533CF6DE" w14:textId="77777777" w:rsidR="00B04B14" w:rsidRPr="00EA56B6" w:rsidRDefault="00B04B14" w:rsidP="00FA031C">
            <w:pPr>
              <w:rPr>
                <w:lang w:val="en-US"/>
              </w:rPr>
            </w:pPr>
            <w:r>
              <w:rPr>
                <w:lang w:val="en-US"/>
              </w:rPr>
              <w:t>Until further notice</w:t>
            </w:r>
          </w:p>
        </w:tc>
        <w:tc>
          <w:tcPr>
            <w:tcW w:w="1648" w:type="dxa"/>
          </w:tcPr>
          <w:p w14:paraId="64D78361" w14:textId="77777777" w:rsidR="00B04B14" w:rsidRPr="00EA56B6" w:rsidRDefault="00B04B14" w:rsidP="00FA031C">
            <w:pPr>
              <w:rPr>
                <w:lang w:val="en-US"/>
              </w:rPr>
            </w:pPr>
          </w:p>
        </w:tc>
      </w:tr>
      <w:tr w:rsidR="00B04B14" w:rsidRPr="00EA56B6" w14:paraId="1FDBFDAC" w14:textId="77777777" w:rsidTr="00FA031C">
        <w:tc>
          <w:tcPr>
            <w:tcW w:w="1962" w:type="dxa"/>
          </w:tcPr>
          <w:p w14:paraId="0D7EA1F6" w14:textId="77777777" w:rsidR="00B04B14" w:rsidRPr="00EA56B6" w:rsidRDefault="00B04B14" w:rsidP="00FA031C">
            <w:pPr>
              <w:rPr>
                <w:lang w:val="en-US"/>
              </w:rPr>
            </w:pPr>
            <w:r>
              <w:rPr>
                <w:lang w:val="en-US"/>
              </w:rPr>
              <w:t>EN ISO 23826:2021</w:t>
            </w:r>
          </w:p>
        </w:tc>
        <w:tc>
          <w:tcPr>
            <w:tcW w:w="1964" w:type="dxa"/>
          </w:tcPr>
          <w:p w14:paraId="4E1824B2" w14:textId="77777777" w:rsidR="00B04B14" w:rsidRPr="00EA56B6" w:rsidRDefault="00B04B14" w:rsidP="00FA031C">
            <w:pPr>
              <w:rPr>
                <w:lang w:val="en-US"/>
              </w:rPr>
            </w:pPr>
            <w:r>
              <w:rPr>
                <w:lang w:val="en-US"/>
              </w:rPr>
              <w:t>Gas cylinders – Ball valves – Specification and testing</w:t>
            </w:r>
          </w:p>
        </w:tc>
        <w:tc>
          <w:tcPr>
            <w:tcW w:w="2083" w:type="dxa"/>
          </w:tcPr>
          <w:p w14:paraId="0F44A1B3" w14:textId="77777777" w:rsidR="00B04B14" w:rsidRDefault="00B04B14" w:rsidP="00FA031C">
            <w:pPr>
              <w:rPr>
                <w:lang w:val="en-US"/>
              </w:rPr>
            </w:pPr>
            <w:r>
              <w:rPr>
                <w:lang w:val="en-US"/>
              </w:rPr>
              <w:t>6.8.2.1.1</w:t>
            </w:r>
            <w:r w:rsidRPr="006E5298">
              <w:rPr>
                <w:lang w:val="en-US"/>
              </w:rPr>
              <w:t xml:space="preserve"> and </w:t>
            </w:r>
          </w:p>
          <w:p w14:paraId="56FC0C1E" w14:textId="77777777" w:rsidR="00B04B14" w:rsidRDefault="00B04B14" w:rsidP="00FA031C">
            <w:pPr>
              <w:rPr>
                <w:lang w:val="en-US"/>
              </w:rPr>
            </w:pPr>
            <w:r>
              <w:rPr>
                <w:lang w:val="en-US"/>
              </w:rPr>
              <w:t>6.8.2.2.1</w:t>
            </w:r>
          </w:p>
          <w:p w14:paraId="5C2A1B95" w14:textId="77777777" w:rsidR="00B04B14" w:rsidRPr="00EA56B6" w:rsidRDefault="00B04B14" w:rsidP="00FA031C">
            <w:pPr>
              <w:rPr>
                <w:lang w:val="en-US"/>
              </w:rPr>
            </w:pPr>
          </w:p>
        </w:tc>
        <w:tc>
          <w:tcPr>
            <w:tcW w:w="1971" w:type="dxa"/>
          </w:tcPr>
          <w:p w14:paraId="56711C70" w14:textId="77777777" w:rsidR="00B04B14" w:rsidRPr="00EA56B6" w:rsidRDefault="00B04B14" w:rsidP="00FA031C">
            <w:pPr>
              <w:rPr>
                <w:lang w:val="en-US"/>
              </w:rPr>
            </w:pPr>
            <w:r>
              <w:rPr>
                <w:lang w:val="en-US"/>
              </w:rPr>
              <w:t>Mandatory from 1 January 2025</w:t>
            </w:r>
          </w:p>
        </w:tc>
        <w:tc>
          <w:tcPr>
            <w:tcW w:w="1648" w:type="dxa"/>
          </w:tcPr>
          <w:p w14:paraId="4C5CD173" w14:textId="77777777" w:rsidR="00B04B14" w:rsidRPr="00EA56B6" w:rsidRDefault="00B04B14" w:rsidP="00FA031C">
            <w:pPr>
              <w:rPr>
                <w:lang w:val="en-US"/>
              </w:rPr>
            </w:pPr>
          </w:p>
        </w:tc>
      </w:tr>
    </w:tbl>
    <w:p w14:paraId="559F819B" w14:textId="77777777" w:rsidR="00B04B14" w:rsidRPr="00AA1296" w:rsidRDefault="00B04B14" w:rsidP="00B04B14">
      <w:pPr>
        <w:pStyle w:val="SingleTxtG"/>
      </w:pPr>
    </w:p>
    <w:p w14:paraId="633BF425" w14:textId="77777777" w:rsidR="00B04B14" w:rsidRPr="0055160C" w:rsidRDefault="00B04B14" w:rsidP="00B04B14">
      <w:pPr>
        <w:pStyle w:val="HChG"/>
      </w:pPr>
      <w:r w:rsidRPr="008D0719">
        <w:tab/>
      </w:r>
      <w:r w:rsidRPr="008D0719">
        <w:tab/>
      </w:r>
      <w:r w:rsidRPr="008D0719">
        <w:tab/>
      </w:r>
      <w:r w:rsidRPr="0055160C">
        <w:t>Proposal 2</w:t>
      </w:r>
    </w:p>
    <w:p w14:paraId="0E120B4F" w14:textId="2C47B5EC" w:rsidR="00B04B14" w:rsidRPr="0055160C" w:rsidRDefault="00B04B14" w:rsidP="00B04B14">
      <w:pPr>
        <w:pStyle w:val="SingleTxtG"/>
      </w:pPr>
      <w:r w:rsidRPr="0055160C">
        <w:t>1</w:t>
      </w:r>
      <w:r>
        <w:t>3</w:t>
      </w:r>
      <w:r w:rsidRPr="0055160C">
        <w:t>.</w:t>
      </w:r>
      <w:r w:rsidRPr="0055160C">
        <w:tab/>
        <w:t>Insert additional requirements the standard complies with, in column (3) for EN ISO 23826:2021 in the Table of 6.8.3.6 to read as follows</w:t>
      </w:r>
      <w:r w:rsidR="00DB457F">
        <w:t xml:space="preserve"> (adding </w:t>
      </w:r>
      <w:r w:rsidR="00DB457F" w:rsidRPr="00EB38B6">
        <w:t>6.8.3.2.18, 6.8.3.2.19, 6.8.3.2.25 and 6.8.3.2.28</w:t>
      </w:r>
      <w:r w:rsidR="00B46DDA" w:rsidRPr="00EB38B6">
        <w:t xml:space="preserve"> </w:t>
      </w:r>
      <w:r w:rsidR="00886D68" w:rsidRPr="00EB38B6">
        <w:t>marked as underline</w:t>
      </w:r>
      <w:r w:rsidR="00323225">
        <w:t>d</w:t>
      </w:r>
      <w:r w:rsidR="00DB457F" w:rsidRPr="00EB38B6">
        <w:t>)</w:t>
      </w:r>
      <w:r w:rsidRPr="0055160C">
        <w:t>:</w:t>
      </w:r>
    </w:p>
    <w:p w14:paraId="06971B49" w14:textId="77777777" w:rsidR="006C4512" w:rsidRDefault="006C4512">
      <w:pPr>
        <w:suppressAutoHyphens w:val="0"/>
        <w:spacing w:line="240" w:lineRule="auto"/>
        <w:rPr>
          <w:i/>
          <w:iCs/>
        </w:rPr>
      </w:pPr>
      <w:r>
        <w:rPr>
          <w:i/>
          <w:iCs/>
        </w:rPr>
        <w:br w:type="page"/>
      </w:r>
    </w:p>
    <w:p w14:paraId="28FD2974" w14:textId="77777777" w:rsidR="00B04B14" w:rsidRDefault="00B04B14" w:rsidP="00107FF2">
      <w:pPr>
        <w:pStyle w:val="SingleTxtG"/>
      </w:pPr>
    </w:p>
    <w:tbl>
      <w:tblPr>
        <w:tblStyle w:val="TableGrid"/>
        <w:tblW w:w="0" w:type="auto"/>
        <w:tblLook w:val="04A0" w:firstRow="1" w:lastRow="0" w:firstColumn="1" w:lastColumn="0" w:noHBand="0" w:noVBand="1"/>
      </w:tblPr>
      <w:tblGrid>
        <w:gridCol w:w="1962"/>
        <w:gridCol w:w="1964"/>
        <w:gridCol w:w="2083"/>
        <w:gridCol w:w="1971"/>
        <w:gridCol w:w="1648"/>
      </w:tblGrid>
      <w:tr w:rsidR="00B04B14" w:rsidRPr="005E4C16" w14:paraId="030B9740" w14:textId="77777777" w:rsidTr="00FA031C">
        <w:tc>
          <w:tcPr>
            <w:tcW w:w="1962" w:type="dxa"/>
          </w:tcPr>
          <w:p w14:paraId="132C1F7C" w14:textId="77777777" w:rsidR="00B04B14" w:rsidRPr="005E4C16" w:rsidRDefault="00B04B14" w:rsidP="00FA031C">
            <w:pPr>
              <w:jc w:val="center"/>
              <w:rPr>
                <w:b/>
                <w:bCs/>
              </w:rPr>
            </w:pPr>
            <w:r w:rsidRPr="005E4C16">
              <w:rPr>
                <w:b/>
                <w:bCs/>
              </w:rPr>
              <w:t>Reference</w:t>
            </w:r>
          </w:p>
        </w:tc>
        <w:tc>
          <w:tcPr>
            <w:tcW w:w="1964" w:type="dxa"/>
          </w:tcPr>
          <w:p w14:paraId="1EC09172" w14:textId="77777777" w:rsidR="00B04B14" w:rsidRPr="005E4C16" w:rsidRDefault="00B04B14" w:rsidP="00FA031C">
            <w:pPr>
              <w:jc w:val="center"/>
              <w:rPr>
                <w:b/>
                <w:bCs/>
              </w:rPr>
            </w:pPr>
            <w:r w:rsidRPr="005E4C16">
              <w:rPr>
                <w:b/>
                <w:bCs/>
              </w:rPr>
              <w:t>Title of document</w:t>
            </w:r>
          </w:p>
        </w:tc>
        <w:tc>
          <w:tcPr>
            <w:tcW w:w="2083" w:type="dxa"/>
          </w:tcPr>
          <w:p w14:paraId="5C987B22" w14:textId="77777777" w:rsidR="00B04B14" w:rsidRPr="005E4C16" w:rsidRDefault="00B04B14" w:rsidP="00FA031C">
            <w:pPr>
              <w:jc w:val="center"/>
              <w:rPr>
                <w:b/>
                <w:bCs/>
                <w:lang w:val="en-US"/>
              </w:rPr>
            </w:pPr>
            <w:r w:rsidRPr="005E4C16">
              <w:rPr>
                <w:b/>
                <w:bCs/>
                <w:lang w:val="en-US"/>
              </w:rPr>
              <w:t>Requirements the standard complies with</w:t>
            </w:r>
          </w:p>
        </w:tc>
        <w:tc>
          <w:tcPr>
            <w:tcW w:w="1971" w:type="dxa"/>
          </w:tcPr>
          <w:p w14:paraId="60B8B472" w14:textId="77777777" w:rsidR="00B04B14" w:rsidRPr="005E4C16" w:rsidRDefault="00B04B14" w:rsidP="00FA031C">
            <w:pPr>
              <w:jc w:val="center"/>
              <w:rPr>
                <w:b/>
                <w:bCs/>
                <w:lang w:val="en-US"/>
              </w:rPr>
            </w:pPr>
            <w:r w:rsidRPr="005E4C16">
              <w:rPr>
                <w:b/>
                <w:bCs/>
                <w:lang w:val="en-US"/>
              </w:rPr>
              <w:t>Applicable for new type approvals or for renewals</w:t>
            </w:r>
          </w:p>
        </w:tc>
        <w:tc>
          <w:tcPr>
            <w:tcW w:w="1648" w:type="dxa"/>
          </w:tcPr>
          <w:p w14:paraId="28EF653D" w14:textId="77777777" w:rsidR="00B04B14" w:rsidRPr="005E4C16" w:rsidRDefault="00B04B14" w:rsidP="00FA031C">
            <w:pPr>
              <w:jc w:val="center"/>
              <w:rPr>
                <w:b/>
                <w:bCs/>
                <w:lang w:val="en-US"/>
              </w:rPr>
            </w:pPr>
            <w:r w:rsidRPr="005E4C16">
              <w:rPr>
                <w:b/>
                <w:bCs/>
                <w:lang w:val="en-US"/>
              </w:rPr>
              <w:t>Latest date for withdrawal of existing type approvals</w:t>
            </w:r>
          </w:p>
        </w:tc>
      </w:tr>
      <w:tr w:rsidR="00B04B14" w:rsidRPr="00EA56B6" w14:paraId="7045ACCF" w14:textId="77777777" w:rsidTr="00FA031C">
        <w:tc>
          <w:tcPr>
            <w:tcW w:w="1962" w:type="dxa"/>
          </w:tcPr>
          <w:p w14:paraId="6EB62DAA" w14:textId="77777777" w:rsidR="00B04B14" w:rsidRPr="00EA56B6" w:rsidRDefault="00B04B14" w:rsidP="00FA031C">
            <w:pPr>
              <w:jc w:val="center"/>
              <w:rPr>
                <w:lang w:val="en-US"/>
              </w:rPr>
            </w:pPr>
            <w:r>
              <w:rPr>
                <w:lang w:val="en-US"/>
              </w:rPr>
              <w:t>(1)</w:t>
            </w:r>
          </w:p>
        </w:tc>
        <w:tc>
          <w:tcPr>
            <w:tcW w:w="1964" w:type="dxa"/>
          </w:tcPr>
          <w:p w14:paraId="5E02D489" w14:textId="77777777" w:rsidR="00B04B14" w:rsidRPr="00EA56B6" w:rsidRDefault="00B04B14" w:rsidP="00FA031C">
            <w:pPr>
              <w:jc w:val="center"/>
              <w:rPr>
                <w:lang w:val="en-US"/>
              </w:rPr>
            </w:pPr>
            <w:r>
              <w:rPr>
                <w:lang w:val="en-US"/>
              </w:rPr>
              <w:t>(2)</w:t>
            </w:r>
          </w:p>
        </w:tc>
        <w:tc>
          <w:tcPr>
            <w:tcW w:w="2083" w:type="dxa"/>
          </w:tcPr>
          <w:p w14:paraId="2DA06D67" w14:textId="77777777" w:rsidR="00B04B14" w:rsidRPr="00EA56B6" w:rsidRDefault="00B04B14" w:rsidP="00FA031C">
            <w:pPr>
              <w:jc w:val="center"/>
              <w:rPr>
                <w:lang w:val="en-US"/>
              </w:rPr>
            </w:pPr>
            <w:r>
              <w:rPr>
                <w:lang w:val="en-US"/>
              </w:rPr>
              <w:t>(3)</w:t>
            </w:r>
          </w:p>
        </w:tc>
        <w:tc>
          <w:tcPr>
            <w:tcW w:w="1971" w:type="dxa"/>
          </w:tcPr>
          <w:p w14:paraId="7E91D5E4" w14:textId="77777777" w:rsidR="00B04B14" w:rsidRPr="00EA56B6" w:rsidRDefault="00B04B14" w:rsidP="00FA031C">
            <w:pPr>
              <w:jc w:val="center"/>
              <w:rPr>
                <w:lang w:val="en-US"/>
              </w:rPr>
            </w:pPr>
            <w:r>
              <w:rPr>
                <w:lang w:val="en-US"/>
              </w:rPr>
              <w:t>(4)</w:t>
            </w:r>
          </w:p>
        </w:tc>
        <w:tc>
          <w:tcPr>
            <w:tcW w:w="1648" w:type="dxa"/>
          </w:tcPr>
          <w:p w14:paraId="3BC784FD" w14:textId="77777777" w:rsidR="00B04B14" w:rsidRPr="00EA56B6" w:rsidRDefault="00B04B14" w:rsidP="00FA031C">
            <w:pPr>
              <w:jc w:val="center"/>
              <w:rPr>
                <w:lang w:val="en-US"/>
              </w:rPr>
            </w:pPr>
            <w:r>
              <w:rPr>
                <w:lang w:val="en-US"/>
              </w:rPr>
              <w:t>(5)</w:t>
            </w:r>
          </w:p>
        </w:tc>
      </w:tr>
      <w:tr w:rsidR="00B04B14" w:rsidRPr="00EA56B6" w14:paraId="5C301271" w14:textId="77777777" w:rsidTr="00FA031C">
        <w:tc>
          <w:tcPr>
            <w:tcW w:w="1962" w:type="dxa"/>
          </w:tcPr>
          <w:p w14:paraId="3C03654E" w14:textId="77777777" w:rsidR="00B04B14" w:rsidRPr="00EA56B6" w:rsidRDefault="00B04B14" w:rsidP="00FA031C">
            <w:pPr>
              <w:rPr>
                <w:lang w:val="en-US"/>
              </w:rPr>
            </w:pPr>
            <w:r>
              <w:rPr>
                <w:lang w:val="en-US"/>
              </w:rPr>
              <w:t>EN 13807:2003</w:t>
            </w:r>
          </w:p>
        </w:tc>
        <w:tc>
          <w:tcPr>
            <w:tcW w:w="1964" w:type="dxa"/>
          </w:tcPr>
          <w:p w14:paraId="69522E96" w14:textId="77777777" w:rsidR="00B04B14" w:rsidRDefault="00B04B14" w:rsidP="00FA031C">
            <w:pPr>
              <w:rPr>
                <w:lang w:val="en-US"/>
              </w:rPr>
            </w:pPr>
            <w:r>
              <w:rPr>
                <w:lang w:val="en-US"/>
              </w:rPr>
              <w:t>Transportable gas cylinders – Battery vehicles – Design, manufacture, identification and testing</w:t>
            </w:r>
          </w:p>
          <w:p w14:paraId="10D214C0" w14:textId="77777777" w:rsidR="00B04B14" w:rsidRDefault="00B04B14" w:rsidP="00FA031C">
            <w:pPr>
              <w:rPr>
                <w:i/>
                <w:iCs/>
                <w:lang w:val="en-US"/>
              </w:rPr>
            </w:pPr>
            <w:r w:rsidRPr="00EA56B6">
              <w:rPr>
                <w:b/>
                <w:bCs/>
                <w:i/>
                <w:iCs/>
                <w:lang w:val="en-US"/>
              </w:rPr>
              <w:t>NOTE:</w:t>
            </w:r>
            <w:r w:rsidRPr="00EA56B6">
              <w:rPr>
                <w:i/>
                <w:iCs/>
                <w:lang w:val="en-US"/>
              </w:rPr>
              <w:t xml:space="preserve"> Where appropriate this standard may also be applied to MEGCs which consists of pressure receptacles</w:t>
            </w:r>
          </w:p>
          <w:p w14:paraId="6672BE93" w14:textId="77777777" w:rsidR="00B04B14" w:rsidRPr="00EA56B6" w:rsidRDefault="00B04B14" w:rsidP="00FA031C">
            <w:pPr>
              <w:rPr>
                <w:i/>
                <w:iCs/>
                <w:lang w:val="en-US"/>
              </w:rPr>
            </w:pPr>
          </w:p>
        </w:tc>
        <w:tc>
          <w:tcPr>
            <w:tcW w:w="2083" w:type="dxa"/>
          </w:tcPr>
          <w:p w14:paraId="5B05E96A" w14:textId="77777777" w:rsidR="00B04B14" w:rsidRDefault="00B04B14" w:rsidP="00FA031C">
            <w:pPr>
              <w:rPr>
                <w:lang w:val="en-US"/>
              </w:rPr>
            </w:pPr>
            <w:r>
              <w:rPr>
                <w:lang w:val="en-US"/>
              </w:rPr>
              <w:t xml:space="preserve">6.8.3.1.4 and </w:t>
            </w:r>
          </w:p>
          <w:p w14:paraId="0CD86373" w14:textId="77777777" w:rsidR="00B04B14" w:rsidRDefault="00B04B14" w:rsidP="00FA031C">
            <w:pPr>
              <w:rPr>
                <w:lang w:val="en-US"/>
              </w:rPr>
            </w:pPr>
            <w:r>
              <w:rPr>
                <w:lang w:val="en-US"/>
              </w:rPr>
              <w:t>6.8.3.1.5</w:t>
            </w:r>
          </w:p>
          <w:p w14:paraId="646BE161" w14:textId="77777777" w:rsidR="00B04B14" w:rsidRDefault="00B04B14" w:rsidP="00FA031C">
            <w:pPr>
              <w:rPr>
                <w:lang w:val="en-US"/>
              </w:rPr>
            </w:pPr>
            <w:r>
              <w:rPr>
                <w:lang w:val="en-US"/>
              </w:rPr>
              <w:t xml:space="preserve">6.8.3.2.18 to </w:t>
            </w:r>
          </w:p>
          <w:p w14:paraId="19B245B2" w14:textId="77777777" w:rsidR="00B04B14" w:rsidRDefault="00B04B14" w:rsidP="00FA031C">
            <w:pPr>
              <w:rPr>
                <w:lang w:val="en-US"/>
              </w:rPr>
            </w:pPr>
            <w:r>
              <w:rPr>
                <w:lang w:val="en-US"/>
              </w:rPr>
              <w:t>6.8.3.2.26,</w:t>
            </w:r>
          </w:p>
          <w:p w14:paraId="67287004" w14:textId="77777777" w:rsidR="00B04B14" w:rsidRDefault="00B04B14" w:rsidP="00FA031C">
            <w:pPr>
              <w:rPr>
                <w:lang w:val="en-US"/>
              </w:rPr>
            </w:pPr>
            <w:r>
              <w:rPr>
                <w:lang w:val="en-US"/>
              </w:rPr>
              <w:t xml:space="preserve">6.8.3.4.12 to </w:t>
            </w:r>
          </w:p>
          <w:p w14:paraId="155E25B1" w14:textId="77777777" w:rsidR="00B04B14" w:rsidRDefault="00B04B14" w:rsidP="00FA031C">
            <w:pPr>
              <w:rPr>
                <w:lang w:val="en-US"/>
              </w:rPr>
            </w:pPr>
            <w:r>
              <w:rPr>
                <w:lang w:val="en-US"/>
              </w:rPr>
              <w:t xml:space="preserve">6.8.3.4.14 and </w:t>
            </w:r>
          </w:p>
          <w:p w14:paraId="57D8C1C7" w14:textId="77777777" w:rsidR="00B04B14" w:rsidRDefault="00B04B14" w:rsidP="00FA031C">
            <w:pPr>
              <w:rPr>
                <w:lang w:val="en-US"/>
              </w:rPr>
            </w:pPr>
            <w:r>
              <w:rPr>
                <w:lang w:val="en-US"/>
              </w:rPr>
              <w:t xml:space="preserve">6.8.3.5.10 to </w:t>
            </w:r>
          </w:p>
          <w:p w14:paraId="318EDE43" w14:textId="77777777" w:rsidR="00B04B14" w:rsidRPr="00EA56B6" w:rsidRDefault="00B04B14" w:rsidP="00FA031C">
            <w:pPr>
              <w:rPr>
                <w:lang w:val="en-US"/>
              </w:rPr>
            </w:pPr>
            <w:r>
              <w:rPr>
                <w:lang w:val="en-US"/>
              </w:rPr>
              <w:t>6.8.3.5.13</w:t>
            </w:r>
          </w:p>
        </w:tc>
        <w:tc>
          <w:tcPr>
            <w:tcW w:w="1971" w:type="dxa"/>
          </w:tcPr>
          <w:p w14:paraId="50F18A8E" w14:textId="77777777" w:rsidR="00B04B14" w:rsidRPr="00EA56B6" w:rsidRDefault="00B04B14" w:rsidP="00FA031C">
            <w:pPr>
              <w:rPr>
                <w:lang w:val="en-US"/>
              </w:rPr>
            </w:pPr>
            <w:r>
              <w:rPr>
                <w:lang w:val="en-US"/>
              </w:rPr>
              <w:t>Between 1 January 2005 and 31 December 2020</w:t>
            </w:r>
          </w:p>
        </w:tc>
        <w:tc>
          <w:tcPr>
            <w:tcW w:w="1648" w:type="dxa"/>
          </w:tcPr>
          <w:p w14:paraId="5D5D37BC" w14:textId="77777777" w:rsidR="00B04B14" w:rsidRPr="00EA56B6" w:rsidRDefault="00B04B14" w:rsidP="00FA031C">
            <w:pPr>
              <w:rPr>
                <w:lang w:val="en-US"/>
              </w:rPr>
            </w:pPr>
          </w:p>
        </w:tc>
      </w:tr>
      <w:tr w:rsidR="00B04B14" w:rsidRPr="00EA56B6" w14:paraId="6A0816D8" w14:textId="77777777" w:rsidTr="00FA031C">
        <w:tc>
          <w:tcPr>
            <w:tcW w:w="1962" w:type="dxa"/>
          </w:tcPr>
          <w:p w14:paraId="3B406F83" w14:textId="77777777" w:rsidR="00B04B14" w:rsidRPr="00EA56B6" w:rsidRDefault="00B04B14" w:rsidP="00FA031C">
            <w:pPr>
              <w:rPr>
                <w:lang w:val="en-US"/>
              </w:rPr>
            </w:pPr>
            <w:r>
              <w:rPr>
                <w:lang w:val="en-US"/>
              </w:rPr>
              <w:t>EN 13807:2017</w:t>
            </w:r>
          </w:p>
        </w:tc>
        <w:tc>
          <w:tcPr>
            <w:tcW w:w="1964" w:type="dxa"/>
          </w:tcPr>
          <w:p w14:paraId="3202D519" w14:textId="77777777" w:rsidR="00B04B14" w:rsidRDefault="00B04B14" w:rsidP="00FA031C">
            <w:pPr>
              <w:rPr>
                <w:lang w:val="en-US"/>
              </w:rPr>
            </w:pPr>
            <w:r>
              <w:rPr>
                <w:lang w:val="en-US"/>
              </w:rPr>
              <w:t>Transportable gas cylinders – Battery vehicles and multiple-element gas containers (MEGCs) – Design, manufacture, identification and testing</w:t>
            </w:r>
          </w:p>
          <w:p w14:paraId="31B5F820" w14:textId="77777777" w:rsidR="00B04B14" w:rsidRPr="00EA56B6" w:rsidRDefault="00B04B14" w:rsidP="00FA031C">
            <w:pPr>
              <w:rPr>
                <w:lang w:val="en-US"/>
              </w:rPr>
            </w:pPr>
          </w:p>
        </w:tc>
        <w:tc>
          <w:tcPr>
            <w:tcW w:w="2083" w:type="dxa"/>
          </w:tcPr>
          <w:p w14:paraId="2CFCA783" w14:textId="77777777" w:rsidR="00B04B14" w:rsidRDefault="00B04B14" w:rsidP="00FA031C">
            <w:pPr>
              <w:rPr>
                <w:lang w:val="en-US"/>
              </w:rPr>
            </w:pPr>
            <w:r>
              <w:rPr>
                <w:lang w:val="en-US"/>
              </w:rPr>
              <w:t>6.8.3.1.4,</w:t>
            </w:r>
          </w:p>
          <w:p w14:paraId="73B315CB" w14:textId="77777777" w:rsidR="00B04B14" w:rsidRDefault="00B04B14" w:rsidP="00FA031C">
            <w:pPr>
              <w:rPr>
                <w:lang w:val="en-US"/>
              </w:rPr>
            </w:pPr>
            <w:r>
              <w:rPr>
                <w:lang w:val="en-US"/>
              </w:rPr>
              <w:t>6.8.3.1.5,</w:t>
            </w:r>
          </w:p>
          <w:p w14:paraId="3857F858" w14:textId="77777777" w:rsidR="00B04B14" w:rsidRDefault="00B04B14" w:rsidP="00FA031C">
            <w:pPr>
              <w:rPr>
                <w:lang w:val="en-US"/>
              </w:rPr>
            </w:pPr>
            <w:r>
              <w:rPr>
                <w:lang w:val="en-US"/>
              </w:rPr>
              <w:t xml:space="preserve">6.8.3.2.18 to </w:t>
            </w:r>
          </w:p>
          <w:p w14:paraId="21DF1B84" w14:textId="7E16C336" w:rsidR="00B04B14" w:rsidRDefault="00B04B14" w:rsidP="00FA031C">
            <w:pPr>
              <w:rPr>
                <w:lang w:val="en-US"/>
              </w:rPr>
            </w:pPr>
            <w:r>
              <w:rPr>
                <w:lang w:val="en-US"/>
              </w:rPr>
              <w:t>6.8.3.2.2</w:t>
            </w:r>
            <w:r w:rsidR="00035B0E">
              <w:rPr>
                <w:lang w:val="en-US"/>
              </w:rPr>
              <w:t>8</w:t>
            </w:r>
            <w:r>
              <w:rPr>
                <w:lang w:val="en-US"/>
              </w:rPr>
              <w:t>,</w:t>
            </w:r>
          </w:p>
          <w:p w14:paraId="072F5EBD" w14:textId="77777777" w:rsidR="00B04B14" w:rsidRDefault="00B04B14" w:rsidP="00FA031C">
            <w:pPr>
              <w:rPr>
                <w:lang w:val="en-US"/>
              </w:rPr>
            </w:pPr>
            <w:r>
              <w:rPr>
                <w:lang w:val="en-US"/>
              </w:rPr>
              <w:t xml:space="preserve">6.8.3.4.12 to </w:t>
            </w:r>
          </w:p>
          <w:p w14:paraId="3F522C96" w14:textId="77777777" w:rsidR="00B04B14" w:rsidRDefault="00B04B14" w:rsidP="00FA031C">
            <w:pPr>
              <w:rPr>
                <w:lang w:val="en-US"/>
              </w:rPr>
            </w:pPr>
            <w:r>
              <w:rPr>
                <w:lang w:val="en-US"/>
              </w:rPr>
              <w:t xml:space="preserve">6.8.3.4.14 and </w:t>
            </w:r>
          </w:p>
          <w:p w14:paraId="4E854B9C" w14:textId="77777777" w:rsidR="00B04B14" w:rsidRDefault="00B04B14" w:rsidP="00FA031C">
            <w:pPr>
              <w:rPr>
                <w:lang w:val="en-US"/>
              </w:rPr>
            </w:pPr>
            <w:r>
              <w:rPr>
                <w:lang w:val="en-US"/>
              </w:rPr>
              <w:t xml:space="preserve">6.8.3.5.10 to </w:t>
            </w:r>
          </w:p>
          <w:p w14:paraId="6AB286B2" w14:textId="77777777" w:rsidR="00B04B14" w:rsidRPr="00EA56B6" w:rsidRDefault="00B04B14" w:rsidP="00FA031C">
            <w:pPr>
              <w:rPr>
                <w:lang w:val="en-US"/>
              </w:rPr>
            </w:pPr>
            <w:r>
              <w:rPr>
                <w:lang w:val="en-US"/>
              </w:rPr>
              <w:t>6.8.3.5.13</w:t>
            </w:r>
          </w:p>
        </w:tc>
        <w:tc>
          <w:tcPr>
            <w:tcW w:w="1971" w:type="dxa"/>
          </w:tcPr>
          <w:p w14:paraId="5DE65180" w14:textId="77777777" w:rsidR="00B04B14" w:rsidRPr="00EA56B6" w:rsidRDefault="00B04B14" w:rsidP="00FA031C">
            <w:pPr>
              <w:rPr>
                <w:lang w:val="en-US"/>
              </w:rPr>
            </w:pPr>
            <w:r>
              <w:rPr>
                <w:lang w:val="en-US"/>
              </w:rPr>
              <w:t>Until further notice</w:t>
            </w:r>
          </w:p>
        </w:tc>
        <w:tc>
          <w:tcPr>
            <w:tcW w:w="1648" w:type="dxa"/>
          </w:tcPr>
          <w:p w14:paraId="67D1787C" w14:textId="77777777" w:rsidR="00B04B14" w:rsidRPr="00EA56B6" w:rsidRDefault="00B04B14" w:rsidP="00FA031C">
            <w:pPr>
              <w:rPr>
                <w:lang w:val="en-US"/>
              </w:rPr>
            </w:pPr>
          </w:p>
        </w:tc>
      </w:tr>
      <w:tr w:rsidR="00B04B14" w:rsidRPr="00EA56B6" w14:paraId="07B7583D" w14:textId="77777777" w:rsidTr="00FA031C">
        <w:tc>
          <w:tcPr>
            <w:tcW w:w="1962" w:type="dxa"/>
          </w:tcPr>
          <w:p w14:paraId="53614897" w14:textId="77777777" w:rsidR="00B04B14" w:rsidRPr="00EA56B6" w:rsidRDefault="00B04B14" w:rsidP="00FA031C">
            <w:pPr>
              <w:rPr>
                <w:lang w:val="en-US"/>
              </w:rPr>
            </w:pPr>
            <w:r>
              <w:rPr>
                <w:lang w:val="en-US"/>
              </w:rPr>
              <w:t>EN ISO 23826:2021</w:t>
            </w:r>
          </w:p>
        </w:tc>
        <w:tc>
          <w:tcPr>
            <w:tcW w:w="1964" w:type="dxa"/>
          </w:tcPr>
          <w:p w14:paraId="562AA6D1" w14:textId="77777777" w:rsidR="00B04B14" w:rsidRPr="00EA56B6" w:rsidRDefault="00B04B14" w:rsidP="00FA031C">
            <w:pPr>
              <w:rPr>
                <w:lang w:val="en-US"/>
              </w:rPr>
            </w:pPr>
            <w:r>
              <w:rPr>
                <w:lang w:val="en-US"/>
              </w:rPr>
              <w:t>Gas cylinders – Ball valves – Specification and testing</w:t>
            </w:r>
          </w:p>
        </w:tc>
        <w:tc>
          <w:tcPr>
            <w:tcW w:w="2083" w:type="dxa"/>
          </w:tcPr>
          <w:p w14:paraId="3D4E7139" w14:textId="6F8823B0" w:rsidR="00B04B14" w:rsidRPr="004D4E1D" w:rsidRDefault="00B04B14" w:rsidP="00FA031C">
            <w:pPr>
              <w:rPr>
                <w:lang w:val="en-US"/>
              </w:rPr>
            </w:pPr>
            <w:r w:rsidRPr="004D4E1D">
              <w:rPr>
                <w:lang w:val="en-US"/>
              </w:rPr>
              <w:t>6.8.2.1.1</w:t>
            </w:r>
            <w:r w:rsidR="00DD09A7">
              <w:rPr>
                <w:lang w:val="en-US"/>
              </w:rPr>
              <w:t>,</w:t>
            </w:r>
            <w:r w:rsidRPr="004D4E1D">
              <w:rPr>
                <w:lang w:val="en-US"/>
              </w:rPr>
              <w:t xml:space="preserve"> </w:t>
            </w:r>
            <w:r w:rsidRPr="0055160C">
              <w:rPr>
                <w:strike/>
                <w:lang w:val="en-US"/>
              </w:rPr>
              <w:t>and</w:t>
            </w:r>
            <w:r w:rsidRPr="004D4E1D">
              <w:rPr>
                <w:lang w:val="en-US"/>
              </w:rPr>
              <w:t xml:space="preserve"> </w:t>
            </w:r>
          </w:p>
          <w:p w14:paraId="055A749F" w14:textId="4A4BD9D7" w:rsidR="00B04B14" w:rsidRPr="004D4E1D" w:rsidRDefault="00B04B14" w:rsidP="00FA031C">
            <w:pPr>
              <w:rPr>
                <w:lang w:val="en-US"/>
              </w:rPr>
            </w:pPr>
            <w:r w:rsidRPr="004D4E1D">
              <w:rPr>
                <w:lang w:val="en-US"/>
              </w:rPr>
              <w:t>6.8.2.2.1</w:t>
            </w:r>
            <w:r w:rsidR="00DD09A7">
              <w:rPr>
                <w:lang w:val="en-US"/>
              </w:rPr>
              <w:t>,</w:t>
            </w:r>
            <w:r w:rsidRPr="004D4E1D">
              <w:rPr>
                <w:lang w:val="en-US"/>
              </w:rPr>
              <w:t xml:space="preserve"> </w:t>
            </w:r>
          </w:p>
          <w:p w14:paraId="7A38B43A" w14:textId="20D68A94" w:rsidR="00B04B14" w:rsidRPr="0055160C" w:rsidRDefault="00B04B14" w:rsidP="00FA031C">
            <w:pPr>
              <w:rPr>
                <w:u w:val="single"/>
                <w:lang w:val="en-US"/>
              </w:rPr>
            </w:pPr>
            <w:r w:rsidRPr="0055160C">
              <w:rPr>
                <w:u w:val="single"/>
                <w:lang w:val="en-US"/>
              </w:rPr>
              <w:t>6.8.3.2.18</w:t>
            </w:r>
            <w:r w:rsidR="00DD09A7">
              <w:rPr>
                <w:u w:val="single"/>
                <w:lang w:val="en-US"/>
              </w:rPr>
              <w:t>,</w:t>
            </w:r>
          </w:p>
          <w:p w14:paraId="6C67054F" w14:textId="3E31B388" w:rsidR="00B04B14" w:rsidRPr="0055160C" w:rsidRDefault="00B04B14" w:rsidP="00FA031C">
            <w:pPr>
              <w:rPr>
                <w:u w:val="single"/>
                <w:lang w:val="en-US"/>
              </w:rPr>
            </w:pPr>
            <w:r w:rsidRPr="0055160C">
              <w:rPr>
                <w:u w:val="single"/>
                <w:lang w:val="en-US"/>
              </w:rPr>
              <w:t>6.8.3.2.19</w:t>
            </w:r>
            <w:r w:rsidR="00DD09A7">
              <w:rPr>
                <w:u w:val="single"/>
                <w:lang w:val="en-US"/>
              </w:rPr>
              <w:t>,</w:t>
            </w:r>
          </w:p>
          <w:p w14:paraId="4743ABCC" w14:textId="0FA4ED14" w:rsidR="00B04B14" w:rsidRPr="0055160C" w:rsidRDefault="00B04B14" w:rsidP="00FA031C">
            <w:pPr>
              <w:rPr>
                <w:u w:val="single"/>
                <w:lang w:val="en-US"/>
              </w:rPr>
            </w:pPr>
            <w:r w:rsidRPr="0055160C">
              <w:rPr>
                <w:u w:val="single"/>
                <w:lang w:val="en-US"/>
              </w:rPr>
              <w:t>6.8.3.2.25</w:t>
            </w:r>
            <w:r w:rsidR="00DB457F" w:rsidRPr="0055160C">
              <w:rPr>
                <w:u w:val="single"/>
                <w:lang w:val="en-US"/>
              </w:rPr>
              <w:t xml:space="preserve"> and</w:t>
            </w:r>
          </w:p>
          <w:p w14:paraId="6B924E6E" w14:textId="1E21A6D2" w:rsidR="00B04B14" w:rsidRPr="00EA56B6" w:rsidRDefault="00B04B14" w:rsidP="00A85169">
            <w:pPr>
              <w:rPr>
                <w:lang w:val="en-US"/>
              </w:rPr>
            </w:pPr>
            <w:r w:rsidRPr="0055160C">
              <w:rPr>
                <w:u w:val="single"/>
                <w:lang w:val="en-US"/>
              </w:rPr>
              <w:t>6.8.3.2.28</w:t>
            </w:r>
          </w:p>
        </w:tc>
        <w:tc>
          <w:tcPr>
            <w:tcW w:w="1971" w:type="dxa"/>
          </w:tcPr>
          <w:p w14:paraId="66D7AF8B" w14:textId="77777777" w:rsidR="00B04B14" w:rsidRPr="00EA56B6" w:rsidRDefault="00B04B14" w:rsidP="00FA031C">
            <w:pPr>
              <w:rPr>
                <w:lang w:val="en-US"/>
              </w:rPr>
            </w:pPr>
            <w:r>
              <w:rPr>
                <w:lang w:val="en-US"/>
              </w:rPr>
              <w:t>Mandatory from 1 January 2025</w:t>
            </w:r>
          </w:p>
        </w:tc>
        <w:tc>
          <w:tcPr>
            <w:tcW w:w="1648" w:type="dxa"/>
          </w:tcPr>
          <w:p w14:paraId="7B7662C0" w14:textId="77777777" w:rsidR="00B04B14" w:rsidRPr="00EA56B6" w:rsidRDefault="00B04B14" w:rsidP="00FA031C">
            <w:pPr>
              <w:rPr>
                <w:lang w:val="en-US"/>
              </w:rPr>
            </w:pPr>
          </w:p>
        </w:tc>
      </w:tr>
    </w:tbl>
    <w:p w14:paraId="1FC0D2A3" w14:textId="77777777" w:rsidR="00B04B14" w:rsidRDefault="00B04B14" w:rsidP="00B04B14">
      <w:pPr>
        <w:pStyle w:val="SingleTxtG"/>
      </w:pPr>
    </w:p>
    <w:p w14:paraId="435D6CB7" w14:textId="77777777" w:rsidR="00B04B14" w:rsidRPr="008D0719" w:rsidRDefault="00B04B14" w:rsidP="00B04B14">
      <w:pPr>
        <w:pStyle w:val="HChG"/>
      </w:pPr>
      <w:r>
        <w:tab/>
      </w:r>
      <w:r>
        <w:tab/>
      </w:r>
      <w:r w:rsidRPr="008D0719">
        <w:t>Justification</w:t>
      </w:r>
    </w:p>
    <w:p w14:paraId="7220767A" w14:textId="3416126A" w:rsidR="00B04B14" w:rsidRPr="008D0719" w:rsidRDefault="00B04B14" w:rsidP="00B04B14">
      <w:pPr>
        <w:pStyle w:val="SingleTxtG"/>
      </w:pPr>
      <w:r w:rsidRPr="008D0719">
        <w:t>1</w:t>
      </w:r>
      <w:r w:rsidR="006C4512">
        <w:t>4</w:t>
      </w:r>
      <w:r w:rsidRPr="008D0719">
        <w:t>.</w:t>
      </w:r>
      <w:r w:rsidRPr="008D0719">
        <w:tab/>
        <w:t xml:space="preserve">This amendment </w:t>
      </w:r>
      <w:r>
        <w:t>aims t</w:t>
      </w:r>
      <w:r w:rsidRPr="004D4E1D">
        <w:t xml:space="preserve">o </w:t>
      </w:r>
      <w:r w:rsidRPr="0055160C">
        <w:t>clarify the allowance of</w:t>
      </w:r>
      <w:r>
        <w:t xml:space="preserve"> using ball valves in battery</w:t>
      </w:r>
      <w:r w:rsidR="00DA6773">
        <w:t>-</w:t>
      </w:r>
      <w:r>
        <w:t>vehicles/battery</w:t>
      </w:r>
      <w:r w:rsidR="00DA6773">
        <w:t>-</w:t>
      </w:r>
      <w:r>
        <w:t>wagons and MEGC</w:t>
      </w:r>
      <w:r w:rsidR="00C57EEC">
        <w:t>s</w:t>
      </w:r>
      <w:r>
        <w:t xml:space="preserve"> as already foreseen by referenced </w:t>
      </w:r>
      <w:r w:rsidR="00A22759">
        <w:t xml:space="preserve">standard </w:t>
      </w:r>
      <w:r>
        <w:t>EN ISO 23826:2021 and as needed by specific applications</w:t>
      </w:r>
      <w:r w:rsidRPr="008D0719">
        <w:t>.</w:t>
      </w:r>
    </w:p>
    <w:p w14:paraId="5B0A1676" w14:textId="0E8A9856" w:rsidR="00B04B14" w:rsidRPr="001156DF" w:rsidRDefault="001156DF" w:rsidP="001156DF">
      <w:pPr>
        <w:spacing w:before="240"/>
        <w:jc w:val="center"/>
        <w:rPr>
          <w:u w:val="single"/>
        </w:rPr>
      </w:pPr>
      <w:r>
        <w:rPr>
          <w:u w:val="single"/>
        </w:rPr>
        <w:tab/>
      </w:r>
      <w:r>
        <w:rPr>
          <w:u w:val="single"/>
        </w:rPr>
        <w:tab/>
      </w:r>
      <w:r>
        <w:rPr>
          <w:u w:val="single"/>
        </w:rPr>
        <w:tab/>
      </w:r>
    </w:p>
    <w:sectPr w:rsidR="00B04B14" w:rsidRPr="001156DF" w:rsidSect="00BB35BA">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D1DA0" w14:textId="77777777" w:rsidR="0020681B" w:rsidRDefault="0020681B"/>
  </w:endnote>
  <w:endnote w:type="continuationSeparator" w:id="0">
    <w:p w14:paraId="6F394BF4" w14:textId="77777777" w:rsidR="0020681B" w:rsidRDefault="0020681B"/>
  </w:endnote>
  <w:endnote w:type="continuationNotice" w:id="1">
    <w:p w14:paraId="69882A37" w14:textId="77777777" w:rsidR="0020681B" w:rsidRDefault="002068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1C9F2" w14:textId="501B751A" w:rsidR="00BB35BA" w:rsidRPr="00BB35BA" w:rsidRDefault="00BB35BA" w:rsidP="00BB35BA">
    <w:pPr>
      <w:pStyle w:val="Footer"/>
      <w:tabs>
        <w:tab w:val="right" w:pos="9638"/>
      </w:tabs>
      <w:rPr>
        <w:sz w:val="18"/>
      </w:rPr>
    </w:pPr>
    <w:r w:rsidRPr="00BB35BA">
      <w:rPr>
        <w:b/>
        <w:sz w:val="18"/>
      </w:rPr>
      <w:fldChar w:fldCharType="begin"/>
    </w:r>
    <w:r w:rsidRPr="00BB35BA">
      <w:rPr>
        <w:b/>
        <w:sz w:val="18"/>
      </w:rPr>
      <w:instrText xml:space="preserve"> PAGE  \* MERGEFORMAT </w:instrText>
    </w:r>
    <w:r w:rsidRPr="00BB35BA">
      <w:rPr>
        <w:b/>
        <w:sz w:val="18"/>
      </w:rPr>
      <w:fldChar w:fldCharType="separate"/>
    </w:r>
    <w:r w:rsidRPr="00BB35BA">
      <w:rPr>
        <w:b/>
        <w:noProof/>
        <w:sz w:val="18"/>
      </w:rPr>
      <w:t>2</w:t>
    </w:r>
    <w:r w:rsidRPr="00BB35B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05190" w14:textId="27AFFAE0" w:rsidR="00BB35BA" w:rsidRPr="00BB35BA" w:rsidRDefault="00BB35BA" w:rsidP="00BB35BA">
    <w:pPr>
      <w:pStyle w:val="Footer"/>
      <w:tabs>
        <w:tab w:val="right" w:pos="9638"/>
      </w:tabs>
      <w:rPr>
        <w:b/>
        <w:sz w:val="18"/>
      </w:rPr>
    </w:pPr>
    <w:r>
      <w:tab/>
    </w:r>
    <w:r w:rsidRPr="00BB35BA">
      <w:rPr>
        <w:b/>
        <w:sz w:val="18"/>
      </w:rPr>
      <w:fldChar w:fldCharType="begin"/>
    </w:r>
    <w:r w:rsidRPr="00BB35BA">
      <w:rPr>
        <w:b/>
        <w:sz w:val="18"/>
      </w:rPr>
      <w:instrText xml:space="preserve"> PAGE  \* MERGEFORMAT </w:instrText>
    </w:r>
    <w:r w:rsidRPr="00BB35BA">
      <w:rPr>
        <w:b/>
        <w:sz w:val="18"/>
      </w:rPr>
      <w:fldChar w:fldCharType="separate"/>
    </w:r>
    <w:r w:rsidRPr="00BB35BA">
      <w:rPr>
        <w:b/>
        <w:noProof/>
        <w:sz w:val="18"/>
      </w:rPr>
      <w:t>3</w:t>
    </w:r>
    <w:r w:rsidRPr="00BB35B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12A1C" w14:textId="77777777" w:rsidR="0035223F" w:rsidRPr="00BB35BA" w:rsidRDefault="00686A48">
    <w:pPr>
      <w:pStyle w:val="Footer"/>
      <w:rPr>
        <w:sz w:val="20"/>
      </w:rPr>
    </w:pPr>
    <w:r>
      <w:rPr>
        <w:noProof/>
        <w:lang w:val="fr-CH" w:eastAsia="fr-CH"/>
      </w:rPr>
      <w:drawing>
        <wp:anchor distT="0" distB="0" distL="114300" distR="114300" simplePos="0" relativeHeight="251657728" behindDoc="0" locked="1" layoutInCell="1" allowOverlap="1" wp14:anchorId="473C9727" wp14:editId="7A7F9BFD">
          <wp:simplePos x="0" y="0"/>
          <wp:positionH relativeFrom="margin">
            <wp:posOffset>5147945</wp:posOffset>
          </wp:positionH>
          <wp:positionV relativeFrom="margin">
            <wp:posOffset>9071610</wp:posOffset>
          </wp:positionV>
          <wp:extent cx="933450" cy="228600"/>
          <wp:effectExtent l="0" t="0" r="0" b="0"/>
          <wp:wrapNone/>
          <wp:docPr id="2"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F8987" w14:textId="77777777" w:rsidR="0020681B" w:rsidRPr="000B175B" w:rsidRDefault="0020681B" w:rsidP="000B175B">
      <w:pPr>
        <w:tabs>
          <w:tab w:val="right" w:pos="2155"/>
        </w:tabs>
        <w:spacing w:after="80"/>
        <w:ind w:left="680"/>
        <w:rPr>
          <w:u w:val="single"/>
        </w:rPr>
      </w:pPr>
      <w:r>
        <w:rPr>
          <w:u w:val="single"/>
        </w:rPr>
        <w:tab/>
      </w:r>
    </w:p>
  </w:footnote>
  <w:footnote w:type="continuationSeparator" w:id="0">
    <w:p w14:paraId="50C031D6" w14:textId="77777777" w:rsidR="0020681B" w:rsidRPr="00FC68B7" w:rsidRDefault="0020681B" w:rsidP="00FC68B7">
      <w:pPr>
        <w:tabs>
          <w:tab w:val="left" w:pos="2155"/>
        </w:tabs>
        <w:spacing w:after="80"/>
        <w:ind w:left="680"/>
        <w:rPr>
          <w:u w:val="single"/>
        </w:rPr>
      </w:pPr>
      <w:r>
        <w:rPr>
          <w:u w:val="single"/>
        </w:rPr>
        <w:tab/>
      </w:r>
    </w:p>
  </w:footnote>
  <w:footnote w:type="continuationNotice" w:id="1">
    <w:p w14:paraId="7E7B6888" w14:textId="77777777" w:rsidR="0020681B" w:rsidRDefault="0020681B"/>
  </w:footnote>
  <w:footnote w:id="2">
    <w:p w14:paraId="4C684D27" w14:textId="2DEE5261" w:rsidR="00036424" w:rsidRPr="00036424" w:rsidRDefault="00036424">
      <w:pPr>
        <w:pStyle w:val="FootnoteText"/>
        <w:rPr>
          <w:lang w:val="en-US"/>
        </w:rPr>
      </w:pPr>
      <w:r>
        <w:rPr>
          <w:rStyle w:val="FootnoteReference"/>
        </w:rPr>
        <w:tab/>
      </w:r>
      <w:r w:rsidRPr="00B5021D">
        <w:rPr>
          <w:rStyle w:val="FootnoteReference"/>
          <w:sz w:val="20"/>
        </w:rPr>
        <w:t>*</w:t>
      </w:r>
      <w:r w:rsidRPr="00B5021D">
        <w:rPr>
          <w:rStyle w:val="FootnoteReference"/>
          <w:sz w:val="20"/>
        </w:rPr>
        <w:tab/>
      </w:r>
      <w:r w:rsidRPr="007054A5">
        <w:t>A/7</w:t>
      </w:r>
      <w:r>
        <w:t>7</w:t>
      </w:r>
      <w:r w:rsidRPr="007054A5">
        <w:t>/6 (Sect.</w:t>
      </w:r>
      <w:r>
        <w:t xml:space="preserve"> </w:t>
      </w:r>
      <w:r w:rsidRPr="007054A5">
        <w:t xml:space="preserve">20), </w:t>
      </w:r>
      <w:r>
        <w:t>table</w:t>
      </w:r>
      <w:r w:rsidRPr="007054A5">
        <w:t xml:space="preserve"> 20.6</w:t>
      </w:r>
      <w:r>
        <w:t>.</w:t>
      </w:r>
    </w:p>
  </w:footnote>
  <w:footnote w:id="3">
    <w:p w14:paraId="5A8D42FA" w14:textId="39F759A6" w:rsidR="00B5021D" w:rsidRPr="00B5021D" w:rsidRDefault="00B5021D">
      <w:pPr>
        <w:pStyle w:val="FootnoteText"/>
        <w:rPr>
          <w:lang w:val="en-US"/>
        </w:rPr>
      </w:pPr>
      <w:r>
        <w:rPr>
          <w:rStyle w:val="FootnoteReference"/>
        </w:rPr>
        <w:tab/>
      </w:r>
      <w:r w:rsidRPr="00B5021D">
        <w:rPr>
          <w:rStyle w:val="FootnoteReference"/>
          <w:sz w:val="20"/>
        </w:rPr>
        <w:t>**</w:t>
      </w:r>
      <w:r w:rsidRPr="00B5021D">
        <w:rPr>
          <w:rStyle w:val="FootnoteReference"/>
          <w:sz w:val="20"/>
        </w:rPr>
        <w:tab/>
      </w:r>
      <w:r w:rsidRPr="00FC7711">
        <w:t xml:space="preserve">Circulated by the </w:t>
      </w:r>
      <w:r w:rsidRPr="00FF6C48">
        <w:t>Intergovernmental</w:t>
      </w:r>
      <w:r w:rsidRPr="00FC7711">
        <w:t xml:space="preserve"> Organisation for International Carriage by Rail (OTIF) under the symbol OTIF/RID/RC/2023/</w:t>
      </w:r>
      <w:r>
        <w:t>33.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4210E" w14:textId="7BBFACEC" w:rsidR="00BB35BA" w:rsidRPr="00BB35BA" w:rsidRDefault="0020681B">
    <w:pPr>
      <w:pStyle w:val="Header"/>
    </w:pPr>
    <w:fldSimple w:instr=" TITLE  \* MERGEFORMAT ">
      <w:r w:rsidR="00BB35BA">
        <w:t>ECE/TRANS/WP.15/AC.1/2023/33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9FE93" w14:textId="5F6D0F79" w:rsidR="00BB35BA" w:rsidRPr="00BB35BA" w:rsidRDefault="0020681B" w:rsidP="00BB35BA">
    <w:pPr>
      <w:pStyle w:val="Header"/>
      <w:jc w:val="right"/>
    </w:pPr>
    <w:fldSimple w:instr=" TITLE  \* MERGEFORMAT ">
      <w:r w:rsidR="00BB35BA">
        <w:t>ECE/TRANS/WP.15/AC.1/2023/33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 w:numId="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5BA"/>
    <w:rsid w:val="00002A7D"/>
    <w:rsid w:val="000038A8"/>
    <w:rsid w:val="00006790"/>
    <w:rsid w:val="00007CB5"/>
    <w:rsid w:val="00027624"/>
    <w:rsid w:val="00035B0E"/>
    <w:rsid w:val="00036424"/>
    <w:rsid w:val="00050F6B"/>
    <w:rsid w:val="000514E9"/>
    <w:rsid w:val="000678CD"/>
    <w:rsid w:val="00072C8C"/>
    <w:rsid w:val="00081CE0"/>
    <w:rsid w:val="00084D30"/>
    <w:rsid w:val="00090320"/>
    <w:rsid w:val="000931C0"/>
    <w:rsid w:val="0009732C"/>
    <w:rsid w:val="000A01F9"/>
    <w:rsid w:val="000A2E09"/>
    <w:rsid w:val="000B175B"/>
    <w:rsid w:val="000B3A0F"/>
    <w:rsid w:val="000E0415"/>
    <w:rsid w:val="000F7715"/>
    <w:rsid w:val="00107FF2"/>
    <w:rsid w:val="001156DF"/>
    <w:rsid w:val="001327CD"/>
    <w:rsid w:val="00156B99"/>
    <w:rsid w:val="00166124"/>
    <w:rsid w:val="00184DDA"/>
    <w:rsid w:val="001900CD"/>
    <w:rsid w:val="00194963"/>
    <w:rsid w:val="001A0452"/>
    <w:rsid w:val="001A10C3"/>
    <w:rsid w:val="001A5970"/>
    <w:rsid w:val="001B4B04"/>
    <w:rsid w:val="001B5875"/>
    <w:rsid w:val="001C4B9C"/>
    <w:rsid w:val="001C6663"/>
    <w:rsid w:val="001C7895"/>
    <w:rsid w:val="001D26DF"/>
    <w:rsid w:val="001D439A"/>
    <w:rsid w:val="001D622D"/>
    <w:rsid w:val="001F1599"/>
    <w:rsid w:val="001F19C4"/>
    <w:rsid w:val="002043F0"/>
    <w:rsid w:val="0020681B"/>
    <w:rsid w:val="00211E0B"/>
    <w:rsid w:val="00232575"/>
    <w:rsid w:val="00234A1A"/>
    <w:rsid w:val="00247258"/>
    <w:rsid w:val="00257CAC"/>
    <w:rsid w:val="00264441"/>
    <w:rsid w:val="0027237A"/>
    <w:rsid w:val="002974E9"/>
    <w:rsid w:val="002A4BF4"/>
    <w:rsid w:val="002A7F94"/>
    <w:rsid w:val="002B109A"/>
    <w:rsid w:val="002B73DA"/>
    <w:rsid w:val="002C6D45"/>
    <w:rsid w:val="002D6E53"/>
    <w:rsid w:val="002F046D"/>
    <w:rsid w:val="002F3023"/>
    <w:rsid w:val="00301764"/>
    <w:rsid w:val="003229D8"/>
    <w:rsid w:val="00323225"/>
    <w:rsid w:val="00336C97"/>
    <w:rsid w:val="00337F88"/>
    <w:rsid w:val="00342432"/>
    <w:rsid w:val="0035223F"/>
    <w:rsid w:val="00352D4B"/>
    <w:rsid w:val="0035638C"/>
    <w:rsid w:val="0036108D"/>
    <w:rsid w:val="003A46BB"/>
    <w:rsid w:val="003A4EC7"/>
    <w:rsid w:val="003A7295"/>
    <w:rsid w:val="003B1F60"/>
    <w:rsid w:val="003C2CC4"/>
    <w:rsid w:val="003D4B23"/>
    <w:rsid w:val="003E278A"/>
    <w:rsid w:val="00413520"/>
    <w:rsid w:val="004325CB"/>
    <w:rsid w:val="00440A07"/>
    <w:rsid w:val="00462880"/>
    <w:rsid w:val="00476F24"/>
    <w:rsid w:val="00477D40"/>
    <w:rsid w:val="00480EC1"/>
    <w:rsid w:val="004C55B0"/>
    <w:rsid w:val="004D07D9"/>
    <w:rsid w:val="004F6BA0"/>
    <w:rsid w:val="0050350A"/>
    <w:rsid w:val="00503BEA"/>
    <w:rsid w:val="00516406"/>
    <w:rsid w:val="00520938"/>
    <w:rsid w:val="00533616"/>
    <w:rsid w:val="00535ABA"/>
    <w:rsid w:val="0053768B"/>
    <w:rsid w:val="005420F2"/>
    <w:rsid w:val="0054285C"/>
    <w:rsid w:val="00584173"/>
    <w:rsid w:val="00594DDE"/>
    <w:rsid w:val="00595520"/>
    <w:rsid w:val="005A44B9"/>
    <w:rsid w:val="005B1BA0"/>
    <w:rsid w:val="005B3DB3"/>
    <w:rsid w:val="005D15CA"/>
    <w:rsid w:val="005D7969"/>
    <w:rsid w:val="005F08DF"/>
    <w:rsid w:val="005F1E17"/>
    <w:rsid w:val="005F3066"/>
    <w:rsid w:val="005F3E61"/>
    <w:rsid w:val="00604DDD"/>
    <w:rsid w:val="006115CC"/>
    <w:rsid w:val="00611FC4"/>
    <w:rsid w:val="006176FB"/>
    <w:rsid w:val="00623A19"/>
    <w:rsid w:val="00630FCB"/>
    <w:rsid w:val="006317CB"/>
    <w:rsid w:val="00640B26"/>
    <w:rsid w:val="0065766B"/>
    <w:rsid w:val="00671BA7"/>
    <w:rsid w:val="006770B2"/>
    <w:rsid w:val="00686A48"/>
    <w:rsid w:val="006940E1"/>
    <w:rsid w:val="006A2FA1"/>
    <w:rsid w:val="006A3C72"/>
    <w:rsid w:val="006A7392"/>
    <w:rsid w:val="006B03A1"/>
    <w:rsid w:val="006B67D9"/>
    <w:rsid w:val="006C4512"/>
    <w:rsid w:val="006C5535"/>
    <w:rsid w:val="006C7F6A"/>
    <w:rsid w:val="006D0589"/>
    <w:rsid w:val="006E564B"/>
    <w:rsid w:val="006E7154"/>
    <w:rsid w:val="007003CD"/>
    <w:rsid w:val="007012A8"/>
    <w:rsid w:val="0070701E"/>
    <w:rsid w:val="0072632A"/>
    <w:rsid w:val="007358E8"/>
    <w:rsid w:val="00736ECE"/>
    <w:rsid w:val="00742421"/>
    <w:rsid w:val="0074533B"/>
    <w:rsid w:val="007643BC"/>
    <w:rsid w:val="00780C68"/>
    <w:rsid w:val="007959FE"/>
    <w:rsid w:val="007A0CF1"/>
    <w:rsid w:val="007A478E"/>
    <w:rsid w:val="007B6BA5"/>
    <w:rsid w:val="007C3390"/>
    <w:rsid w:val="007C42D8"/>
    <w:rsid w:val="007C4F4B"/>
    <w:rsid w:val="007D7362"/>
    <w:rsid w:val="007F2723"/>
    <w:rsid w:val="007F2907"/>
    <w:rsid w:val="007F5CE2"/>
    <w:rsid w:val="007F6611"/>
    <w:rsid w:val="00800522"/>
    <w:rsid w:val="00805724"/>
    <w:rsid w:val="00810BAC"/>
    <w:rsid w:val="00815FB0"/>
    <w:rsid w:val="008175E9"/>
    <w:rsid w:val="008242D7"/>
    <w:rsid w:val="0082577B"/>
    <w:rsid w:val="008272DD"/>
    <w:rsid w:val="00866893"/>
    <w:rsid w:val="00866F02"/>
    <w:rsid w:val="00867D18"/>
    <w:rsid w:val="00871F9A"/>
    <w:rsid w:val="00871FD5"/>
    <w:rsid w:val="0088172E"/>
    <w:rsid w:val="00881EFA"/>
    <w:rsid w:val="00884A42"/>
    <w:rsid w:val="00886D68"/>
    <w:rsid w:val="008879CB"/>
    <w:rsid w:val="00893502"/>
    <w:rsid w:val="008979B1"/>
    <w:rsid w:val="008A6B25"/>
    <w:rsid w:val="008A6C4F"/>
    <w:rsid w:val="008A77AE"/>
    <w:rsid w:val="008B389E"/>
    <w:rsid w:val="008D045E"/>
    <w:rsid w:val="008D3F25"/>
    <w:rsid w:val="008D4D82"/>
    <w:rsid w:val="008E0E46"/>
    <w:rsid w:val="008E7116"/>
    <w:rsid w:val="008F143B"/>
    <w:rsid w:val="008F3882"/>
    <w:rsid w:val="008F4B7C"/>
    <w:rsid w:val="00916FA9"/>
    <w:rsid w:val="00926E47"/>
    <w:rsid w:val="00947162"/>
    <w:rsid w:val="009610D0"/>
    <w:rsid w:val="0096375C"/>
    <w:rsid w:val="009662E6"/>
    <w:rsid w:val="0097095E"/>
    <w:rsid w:val="0098592B"/>
    <w:rsid w:val="00985FC4"/>
    <w:rsid w:val="00990766"/>
    <w:rsid w:val="00991261"/>
    <w:rsid w:val="00993804"/>
    <w:rsid w:val="009964C4"/>
    <w:rsid w:val="009A7B81"/>
    <w:rsid w:val="009B438F"/>
    <w:rsid w:val="009C042B"/>
    <w:rsid w:val="009D01C0"/>
    <w:rsid w:val="009D6A08"/>
    <w:rsid w:val="009E0A16"/>
    <w:rsid w:val="009E6CB7"/>
    <w:rsid w:val="009E7970"/>
    <w:rsid w:val="009F2EAC"/>
    <w:rsid w:val="009F57E3"/>
    <w:rsid w:val="00A10F4F"/>
    <w:rsid w:val="00A11067"/>
    <w:rsid w:val="00A1704A"/>
    <w:rsid w:val="00A22759"/>
    <w:rsid w:val="00A30C36"/>
    <w:rsid w:val="00A425EB"/>
    <w:rsid w:val="00A72F22"/>
    <w:rsid w:val="00A733BC"/>
    <w:rsid w:val="00A748A6"/>
    <w:rsid w:val="00A76A69"/>
    <w:rsid w:val="00A843C9"/>
    <w:rsid w:val="00A85169"/>
    <w:rsid w:val="00A879A4"/>
    <w:rsid w:val="00AA0FF8"/>
    <w:rsid w:val="00AC0F2C"/>
    <w:rsid w:val="00AC502A"/>
    <w:rsid w:val="00AE5882"/>
    <w:rsid w:val="00AF58C1"/>
    <w:rsid w:val="00B04A3F"/>
    <w:rsid w:val="00B04B14"/>
    <w:rsid w:val="00B06643"/>
    <w:rsid w:val="00B15055"/>
    <w:rsid w:val="00B20551"/>
    <w:rsid w:val="00B30179"/>
    <w:rsid w:val="00B3327F"/>
    <w:rsid w:val="00B33FC7"/>
    <w:rsid w:val="00B37B15"/>
    <w:rsid w:val="00B45C02"/>
    <w:rsid w:val="00B46DDA"/>
    <w:rsid w:val="00B5021D"/>
    <w:rsid w:val="00B70B63"/>
    <w:rsid w:val="00B72A1E"/>
    <w:rsid w:val="00B81E12"/>
    <w:rsid w:val="00BA339B"/>
    <w:rsid w:val="00BA4E56"/>
    <w:rsid w:val="00BA4F6D"/>
    <w:rsid w:val="00BB23CC"/>
    <w:rsid w:val="00BB35BA"/>
    <w:rsid w:val="00BC1E7E"/>
    <w:rsid w:val="00BC74E9"/>
    <w:rsid w:val="00BD15F2"/>
    <w:rsid w:val="00BE36A9"/>
    <w:rsid w:val="00BE618E"/>
    <w:rsid w:val="00BE7BEC"/>
    <w:rsid w:val="00BF0A5A"/>
    <w:rsid w:val="00BF0E63"/>
    <w:rsid w:val="00BF12A3"/>
    <w:rsid w:val="00BF16D7"/>
    <w:rsid w:val="00BF2373"/>
    <w:rsid w:val="00C0294F"/>
    <w:rsid w:val="00C044E2"/>
    <w:rsid w:val="00C048CB"/>
    <w:rsid w:val="00C066F3"/>
    <w:rsid w:val="00C408B7"/>
    <w:rsid w:val="00C40DC0"/>
    <w:rsid w:val="00C411EB"/>
    <w:rsid w:val="00C4633B"/>
    <w:rsid w:val="00C463DD"/>
    <w:rsid w:val="00C57EEC"/>
    <w:rsid w:val="00C745C3"/>
    <w:rsid w:val="00C76407"/>
    <w:rsid w:val="00C978F5"/>
    <w:rsid w:val="00CA1B06"/>
    <w:rsid w:val="00CA24A4"/>
    <w:rsid w:val="00CB348D"/>
    <w:rsid w:val="00CC51A5"/>
    <w:rsid w:val="00CD46F5"/>
    <w:rsid w:val="00CE4A8F"/>
    <w:rsid w:val="00CE78F6"/>
    <w:rsid w:val="00CF071D"/>
    <w:rsid w:val="00D0123D"/>
    <w:rsid w:val="00D15B04"/>
    <w:rsid w:val="00D17D8D"/>
    <w:rsid w:val="00D2031B"/>
    <w:rsid w:val="00D25FE2"/>
    <w:rsid w:val="00D368BE"/>
    <w:rsid w:val="00D37DA9"/>
    <w:rsid w:val="00D406A7"/>
    <w:rsid w:val="00D40765"/>
    <w:rsid w:val="00D43252"/>
    <w:rsid w:val="00D44D86"/>
    <w:rsid w:val="00D50B3F"/>
    <w:rsid w:val="00D50B7D"/>
    <w:rsid w:val="00D515BC"/>
    <w:rsid w:val="00D52012"/>
    <w:rsid w:val="00D704E5"/>
    <w:rsid w:val="00D72727"/>
    <w:rsid w:val="00D96BB0"/>
    <w:rsid w:val="00D978C6"/>
    <w:rsid w:val="00DA0956"/>
    <w:rsid w:val="00DA357F"/>
    <w:rsid w:val="00DA3E12"/>
    <w:rsid w:val="00DA6773"/>
    <w:rsid w:val="00DB457F"/>
    <w:rsid w:val="00DC18AD"/>
    <w:rsid w:val="00DD09A7"/>
    <w:rsid w:val="00DF7CAE"/>
    <w:rsid w:val="00E423C0"/>
    <w:rsid w:val="00E6414C"/>
    <w:rsid w:val="00E7260F"/>
    <w:rsid w:val="00E77402"/>
    <w:rsid w:val="00E8702D"/>
    <w:rsid w:val="00E905F4"/>
    <w:rsid w:val="00E916A9"/>
    <w:rsid w:val="00E916DE"/>
    <w:rsid w:val="00E925AD"/>
    <w:rsid w:val="00E96630"/>
    <w:rsid w:val="00EA4AE5"/>
    <w:rsid w:val="00EB38B6"/>
    <w:rsid w:val="00EB6B24"/>
    <w:rsid w:val="00ED18DC"/>
    <w:rsid w:val="00ED6201"/>
    <w:rsid w:val="00ED7A2A"/>
    <w:rsid w:val="00EF1D7F"/>
    <w:rsid w:val="00EF2B6E"/>
    <w:rsid w:val="00EF46B7"/>
    <w:rsid w:val="00F01327"/>
    <w:rsid w:val="00F0137E"/>
    <w:rsid w:val="00F21786"/>
    <w:rsid w:val="00F3742B"/>
    <w:rsid w:val="00F41FDB"/>
    <w:rsid w:val="00F50596"/>
    <w:rsid w:val="00F56D63"/>
    <w:rsid w:val="00F609A9"/>
    <w:rsid w:val="00F80C99"/>
    <w:rsid w:val="00F867EC"/>
    <w:rsid w:val="00F91B2B"/>
    <w:rsid w:val="00FA7DB8"/>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9577BB"/>
  <w15:docId w15:val="{A49B0D26-F721-42CF-A013-DC5E2775D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paragraph" w:styleId="Revision">
    <w:name w:val="Revision"/>
    <w:hidden/>
    <w:uiPriority w:val="99"/>
    <w:semiHidden/>
    <w:rsid w:val="006C7F6A"/>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ée un document." ma:contentTypeScope="" ma:versionID="1caf4ffa0988abc87f7723fe6588a624">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661a28bb76e3d6441cb029918bc28782"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Romain Hubert</DisplayName>
        <AccountId>40</AccountId>
        <AccountType/>
      </UserInfo>
    </SharedWithUsers>
  </documentManagement>
</p:properties>
</file>

<file path=customXml/itemProps1.xml><?xml version="1.0" encoding="utf-8"?>
<ds:datastoreItem xmlns:ds="http://schemas.openxmlformats.org/officeDocument/2006/customXml" ds:itemID="{06C53F42-91C8-4771-BFCF-83CC839270AB}">
  <ds:schemaRefs>
    <ds:schemaRef ds:uri="http://schemas.microsoft.com/sharepoint/v3/contenttype/forms"/>
  </ds:schemaRefs>
</ds:datastoreItem>
</file>

<file path=customXml/itemProps2.xml><?xml version="1.0" encoding="utf-8"?>
<ds:datastoreItem xmlns:ds="http://schemas.openxmlformats.org/officeDocument/2006/customXml" ds:itemID="{006C6182-83BF-49C9-A287-AA7D9CD9E156}"/>
</file>

<file path=customXml/itemProps3.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customXml/itemProps4.xml><?xml version="1.0" encoding="utf-8"?>
<ds:datastoreItem xmlns:ds="http://schemas.openxmlformats.org/officeDocument/2006/customXml" ds:itemID="{58039DAD-DADE-4B2A-8529-1752551A733A}">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docProps/app.xml><?xml version="1.0" encoding="utf-8"?>
<Properties xmlns="http://schemas.openxmlformats.org/officeDocument/2006/extended-properties" xmlns:vt="http://schemas.openxmlformats.org/officeDocument/2006/docPropsVTypes">
  <Template>TRANS_WP1_24_E.dotm</Template>
  <TotalTime>148</TotalTime>
  <Pages>4</Pages>
  <Words>1147</Words>
  <Characters>6313</Characters>
  <Application>Microsoft Office Word</Application>
  <DocSecurity>0</DocSecurity>
  <Lines>52</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ECE/TRANS/WP.15/AC.1/2023/33</dc:title>
  <dc:creator>Nadiya Dzyubynska</dc:creator>
  <cp:lastModifiedBy>Isabelle Porcu</cp:lastModifiedBy>
  <cp:revision>76</cp:revision>
  <cp:lastPrinted>2009-02-18T09:36:00Z</cp:lastPrinted>
  <dcterms:created xsi:type="dcterms:W3CDTF">2023-06-27T10:11:00Z</dcterms:created>
  <dcterms:modified xsi:type="dcterms:W3CDTF">2023-06-30T09:19:00Z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