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DF5DC46" w14:textId="77777777" w:rsidTr="00387CD4">
        <w:trPr>
          <w:trHeight w:hRule="exact" w:val="851"/>
        </w:trPr>
        <w:tc>
          <w:tcPr>
            <w:tcW w:w="142" w:type="dxa"/>
            <w:tcBorders>
              <w:bottom w:val="single" w:sz="4" w:space="0" w:color="auto"/>
            </w:tcBorders>
          </w:tcPr>
          <w:p w14:paraId="18C029E8" w14:textId="77777777" w:rsidR="002D5AAC" w:rsidRDefault="002D5AAC" w:rsidP="001401C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F14776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36A21B" w14:textId="4D02A7AA" w:rsidR="002D5AAC" w:rsidRDefault="001401C6" w:rsidP="001401C6">
            <w:pPr>
              <w:jc w:val="right"/>
            </w:pPr>
            <w:r w:rsidRPr="001401C6">
              <w:rPr>
                <w:sz w:val="40"/>
              </w:rPr>
              <w:t>ECE</w:t>
            </w:r>
            <w:r>
              <w:t>/MP.EIA/WG.2/2022/2</w:t>
            </w:r>
          </w:p>
        </w:tc>
      </w:tr>
      <w:tr w:rsidR="002D5AAC" w:rsidRPr="00042270" w14:paraId="351F3E62" w14:textId="77777777" w:rsidTr="00387CD4">
        <w:trPr>
          <w:trHeight w:hRule="exact" w:val="2835"/>
        </w:trPr>
        <w:tc>
          <w:tcPr>
            <w:tcW w:w="1280" w:type="dxa"/>
            <w:gridSpan w:val="2"/>
            <w:tcBorders>
              <w:top w:val="single" w:sz="4" w:space="0" w:color="auto"/>
              <w:bottom w:val="single" w:sz="12" w:space="0" w:color="auto"/>
            </w:tcBorders>
          </w:tcPr>
          <w:p w14:paraId="7C1023A5" w14:textId="77777777" w:rsidR="002D5AAC" w:rsidRDefault="002E5067" w:rsidP="00387CD4">
            <w:pPr>
              <w:spacing w:before="120"/>
              <w:jc w:val="center"/>
            </w:pPr>
            <w:r>
              <w:rPr>
                <w:noProof/>
                <w:lang w:val="fr-CH" w:eastAsia="fr-CH"/>
              </w:rPr>
              <w:drawing>
                <wp:inline distT="0" distB="0" distL="0" distR="0" wp14:anchorId="0E28611A" wp14:editId="3E21EB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234765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F95AE5" w14:textId="77777777" w:rsidR="002D5AAC" w:rsidRDefault="001401C6" w:rsidP="00387CD4">
            <w:pPr>
              <w:spacing w:before="240"/>
              <w:rPr>
                <w:lang w:val="en-US"/>
              </w:rPr>
            </w:pPr>
            <w:r>
              <w:rPr>
                <w:lang w:val="en-US"/>
              </w:rPr>
              <w:t>Distr.: General</w:t>
            </w:r>
          </w:p>
          <w:p w14:paraId="13EBEFEE" w14:textId="77777777" w:rsidR="001401C6" w:rsidRDefault="001401C6" w:rsidP="001401C6">
            <w:pPr>
              <w:spacing w:line="240" w:lineRule="exact"/>
              <w:rPr>
                <w:lang w:val="en-US"/>
              </w:rPr>
            </w:pPr>
            <w:r>
              <w:rPr>
                <w:lang w:val="en-US"/>
              </w:rPr>
              <w:t>18 January 2023</w:t>
            </w:r>
          </w:p>
          <w:p w14:paraId="2E14132D" w14:textId="77777777" w:rsidR="001401C6" w:rsidRDefault="001401C6" w:rsidP="001401C6">
            <w:pPr>
              <w:spacing w:line="240" w:lineRule="exact"/>
              <w:rPr>
                <w:lang w:val="en-US"/>
              </w:rPr>
            </w:pPr>
            <w:r>
              <w:rPr>
                <w:lang w:val="en-US"/>
              </w:rPr>
              <w:t>Russian</w:t>
            </w:r>
          </w:p>
          <w:p w14:paraId="01ABC132" w14:textId="054A3499" w:rsidR="001401C6" w:rsidRPr="008D53B6" w:rsidRDefault="001401C6" w:rsidP="001401C6">
            <w:pPr>
              <w:spacing w:line="240" w:lineRule="exact"/>
              <w:rPr>
                <w:lang w:val="en-US"/>
              </w:rPr>
            </w:pPr>
            <w:r>
              <w:rPr>
                <w:lang w:val="en-US"/>
              </w:rPr>
              <w:t>Original: English</w:t>
            </w:r>
          </w:p>
        </w:tc>
      </w:tr>
    </w:tbl>
    <w:p w14:paraId="0AA8F75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800A027" w14:textId="3A9D6597" w:rsidR="001401C6" w:rsidRPr="001401C6" w:rsidRDefault="001401C6" w:rsidP="001401C6">
      <w:pPr>
        <w:spacing w:before="120"/>
        <w:rPr>
          <w:bCs/>
          <w:sz w:val="28"/>
          <w:szCs w:val="28"/>
        </w:rPr>
      </w:pPr>
      <w:r w:rsidRPr="001401C6">
        <w:rPr>
          <w:sz w:val="28"/>
          <w:szCs w:val="28"/>
        </w:rPr>
        <w:t xml:space="preserve">Совещание Сторон Конвенции об оценке </w:t>
      </w:r>
      <w:r>
        <w:rPr>
          <w:sz w:val="28"/>
          <w:szCs w:val="28"/>
        </w:rPr>
        <w:br/>
      </w:r>
      <w:r w:rsidRPr="001401C6">
        <w:rPr>
          <w:sz w:val="28"/>
          <w:szCs w:val="28"/>
        </w:rPr>
        <w:t xml:space="preserve">воздействия на окружающую среду </w:t>
      </w:r>
      <w:r>
        <w:rPr>
          <w:sz w:val="28"/>
          <w:szCs w:val="28"/>
        </w:rPr>
        <w:br/>
      </w:r>
      <w:r w:rsidRPr="001401C6">
        <w:rPr>
          <w:sz w:val="28"/>
          <w:szCs w:val="28"/>
        </w:rPr>
        <w:t>в трансграничном контексте</w:t>
      </w:r>
    </w:p>
    <w:p w14:paraId="5B0CD29B" w14:textId="3C06E656" w:rsidR="001401C6" w:rsidRPr="001401C6" w:rsidRDefault="001401C6" w:rsidP="001401C6">
      <w:pPr>
        <w:autoSpaceDE w:val="0"/>
        <w:autoSpaceDN w:val="0"/>
        <w:adjustRightInd w:val="0"/>
        <w:spacing w:before="120"/>
        <w:rPr>
          <w:sz w:val="28"/>
          <w:szCs w:val="28"/>
        </w:rPr>
      </w:pPr>
      <w:r w:rsidRPr="001401C6">
        <w:rPr>
          <w:sz w:val="28"/>
          <w:szCs w:val="28"/>
        </w:rPr>
        <w:t xml:space="preserve">Совещание Сторон Конвенции об оценке </w:t>
      </w:r>
      <w:r>
        <w:rPr>
          <w:sz w:val="28"/>
          <w:szCs w:val="28"/>
        </w:rPr>
        <w:br/>
      </w:r>
      <w:r w:rsidRPr="001401C6">
        <w:rPr>
          <w:sz w:val="28"/>
          <w:szCs w:val="28"/>
        </w:rPr>
        <w:t xml:space="preserve">воздействия на окружающую среду </w:t>
      </w:r>
      <w:r>
        <w:rPr>
          <w:sz w:val="28"/>
          <w:szCs w:val="28"/>
        </w:rPr>
        <w:br/>
      </w:r>
      <w:r w:rsidRPr="001401C6">
        <w:rPr>
          <w:sz w:val="28"/>
          <w:szCs w:val="28"/>
        </w:rPr>
        <w:t xml:space="preserve">в трансграничном контексте, действующее </w:t>
      </w:r>
      <w:r>
        <w:rPr>
          <w:sz w:val="28"/>
          <w:szCs w:val="28"/>
        </w:rPr>
        <w:br/>
      </w:r>
      <w:r w:rsidRPr="001401C6">
        <w:rPr>
          <w:sz w:val="28"/>
          <w:szCs w:val="28"/>
        </w:rPr>
        <w:t xml:space="preserve">в качестве Совещания Сторон Протокола </w:t>
      </w:r>
      <w:r>
        <w:rPr>
          <w:sz w:val="28"/>
          <w:szCs w:val="28"/>
        </w:rPr>
        <w:br/>
      </w:r>
      <w:r w:rsidRPr="001401C6">
        <w:rPr>
          <w:sz w:val="28"/>
          <w:szCs w:val="28"/>
        </w:rPr>
        <w:t>по стратегической экологической оценке</w:t>
      </w:r>
    </w:p>
    <w:p w14:paraId="15F8675E" w14:textId="1A4863F0" w:rsidR="001401C6" w:rsidRPr="001401C6" w:rsidRDefault="001401C6" w:rsidP="001401C6">
      <w:pPr>
        <w:spacing w:before="120"/>
        <w:rPr>
          <w:b/>
          <w:sz w:val="24"/>
          <w:szCs w:val="24"/>
        </w:rPr>
      </w:pPr>
      <w:r w:rsidRPr="001401C6">
        <w:rPr>
          <w:b/>
          <w:bCs/>
          <w:sz w:val="24"/>
          <w:szCs w:val="24"/>
        </w:rPr>
        <w:t xml:space="preserve">Рабочая группа по оценке воздействия </w:t>
      </w:r>
      <w:r>
        <w:rPr>
          <w:b/>
          <w:bCs/>
          <w:sz w:val="24"/>
          <w:szCs w:val="24"/>
        </w:rPr>
        <w:br/>
      </w:r>
      <w:r w:rsidRPr="001401C6">
        <w:rPr>
          <w:b/>
          <w:bCs/>
          <w:sz w:val="24"/>
          <w:szCs w:val="24"/>
        </w:rPr>
        <w:t xml:space="preserve">на окружающую среду и стратегической </w:t>
      </w:r>
      <w:r>
        <w:rPr>
          <w:b/>
          <w:bCs/>
          <w:sz w:val="24"/>
          <w:szCs w:val="24"/>
        </w:rPr>
        <w:br/>
      </w:r>
      <w:r w:rsidRPr="001401C6">
        <w:rPr>
          <w:b/>
          <w:bCs/>
          <w:sz w:val="24"/>
          <w:szCs w:val="24"/>
        </w:rPr>
        <w:t>экологической оценке</w:t>
      </w:r>
    </w:p>
    <w:p w14:paraId="75A23991" w14:textId="77777777" w:rsidR="001401C6" w:rsidRPr="004D1D34" w:rsidRDefault="001401C6" w:rsidP="001401C6">
      <w:pPr>
        <w:spacing w:before="120"/>
        <w:rPr>
          <w:b/>
        </w:rPr>
      </w:pPr>
      <w:r>
        <w:rPr>
          <w:b/>
          <w:bCs/>
        </w:rPr>
        <w:t>Одиннадцатое совещание</w:t>
      </w:r>
    </w:p>
    <w:p w14:paraId="6B876742" w14:textId="77777777" w:rsidR="001401C6" w:rsidRPr="004D1D34" w:rsidRDefault="001401C6" w:rsidP="001401C6">
      <w:r>
        <w:t>Женева, 19–21 декабря 2022 года</w:t>
      </w:r>
    </w:p>
    <w:p w14:paraId="44914B48" w14:textId="73D701B5" w:rsidR="001401C6" w:rsidRPr="004D1D34" w:rsidRDefault="001401C6" w:rsidP="001401C6">
      <w:pPr>
        <w:pStyle w:val="HChG"/>
      </w:pPr>
      <w:r>
        <w:tab/>
      </w:r>
      <w:r>
        <w:tab/>
      </w:r>
      <w:r>
        <w:rPr>
          <w:bCs/>
        </w:rPr>
        <w:t xml:space="preserve">Доклад Рабочей группы по оценке воздействия </w:t>
      </w:r>
      <w:r>
        <w:rPr>
          <w:bCs/>
        </w:rPr>
        <w:br/>
        <w:t>на окружающую среду и стратегической экологической оценке о работе ее одиннадцатого совещания</w:t>
      </w:r>
    </w:p>
    <w:p w14:paraId="1501F030" w14:textId="77777777" w:rsidR="001401C6" w:rsidRPr="004D1D34" w:rsidRDefault="001401C6" w:rsidP="001401C6">
      <w:pPr>
        <w:pStyle w:val="HChG"/>
      </w:pPr>
      <w:r>
        <w:rPr>
          <w:bCs/>
        </w:rPr>
        <w:tab/>
        <w:t>I.</w:t>
      </w:r>
      <w:r>
        <w:tab/>
      </w:r>
      <w:r>
        <w:rPr>
          <w:bCs/>
        </w:rPr>
        <w:t>Введение</w:t>
      </w:r>
    </w:p>
    <w:p w14:paraId="06680B8D" w14:textId="77777777" w:rsidR="001401C6" w:rsidRPr="004D1D34" w:rsidRDefault="001401C6" w:rsidP="001401C6">
      <w:pPr>
        <w:pStyle w:val="SingleTxtG"/>
      </w:pPr>
      <w:r>
        <w:t>1.</w:t>
      </w:r>
      <w:r>
        <w:tab/>
        <w:t>Одиннадцатое совещание Рабочей группы по оценке воздействия на окружающую среду и стратегической экологической оценке, действующей в рамках Конвенции об оценке воздействия на окружающую среду в трансграничном контексте (Конвенция Эспо) и Протокола по стратегической экологической оценке к ней, состоялось 19–21 декабря 2022 года в Женеве. Совещание было проведено в очной форме, но для делегатов, не имевших возможности приехать, в качестве исключения была предусмотрена возможность дистанционного участия.</w:t>
      </w:r>
    </w:p>
    <w:p w14:paraId="608FD6D8" w14:textId="77777777" w:rsidR="001401C6" w:rsidRPr="004D1D34" w:rsidRDefault="001401C6" w:rsidP="001401C6">
      <w:pPr>
        <w:pStyle w:val="H1G"/>
      </w:pPr>
      <w:r>
        <w:rPr>
          <w:bCs/>
        </w:rPr>
        <w:tab/>
        <w:t>A.</w:t>
      </w:r>
      <w:r>
        <w:tab/>
      </w:r>
      <w:r>
        <w:rPr>
          <w:bCs/>
        </w:rPr>
        <w:t>Участники</w:t>
      </w:r>
    </w:p>
    <w:p w14:paraId="09320645" w14:textId="339027B7" w:rsidR="001401C6" w:rsidRPr="004D1D34" w:rsidRDefault="001401C6" w:rsidP="001401C6">
      <w:pPr>
        <w:pStyle w:val="SingleTxtG"/>
      </w:pPr>
      <w:r>
        <w:t>2.</w:t>
      </w:r>
      <w:r>
        <w:tab/>
        <w:t>В совещании приняли участие делегации следующих Сторон Конвенции и Протокола и других государств</w:t>
      </w:r>
      <w:r w:rsidR="00042270">
        <w:t xml:space="preserve"> — </w:t>
      </w:r>
      <w:r>
        <w:t xml:space="preserve">членов Европейской экономической комиссии Организации Объединенных Наций (ЕЭК): Австрии, Азербайджана, Албании, Армении, Беларуси, Бельгии, Болгарии, Венгрии, Германии, Греции, Грузии, Дании, Ирландии, Испании, Италии, Казахстана, Канады, Кипра, Кыргызстана, Латвии, Литвы, Люксембурга, Мальты, Нидерландов, Норвегии, Польши, Португалии, Республики Молдова, Румынии, </w:t>
      </w:r>
      <w:r w:rsidR="00042270">
        <w:t xml:space="preserve">Северной Македонии, </w:t>
      </w:r>
      <w:r>
        <w:t xml:space="preserve">Сербии, Словакии, Словении, Узбекистана, </w:t>
      </w:r>
      <w:r w:rsidR="00042270">
        <w:t>Украины, Финляндии</w:t>
      </w:r>
      <w:r>
        <w:t xml:space="preserve">, Франции, Хорватии, Черногории, Чехии, Швейцарии, Швеции и Эстонии. Европейский союз был представлен Европейской </w:t>
      </w:r>
      <w:r>
        <w:lastRenderedPageBreak/>
        <w:t>комиссией. С заявлениями от имени Европейского союза и его государств-членов выступил</w:t>
      </w:r>
      <w:r w:rsidR="00042270">
        <w:t>а</w:t>
      </w:r>
      <w:r>
        <w:t xml:space="preserve"> Чехия, которая во втором полугодии 2022 года председательствовала в Совете Европейского союза. На нем также было представлено Марокко как государство — член Организации Объединенных Наций.</w:t>
      </w:r>
    </w:p>
    <w:p w14:paraId="5F274AD3" w14:textId="6C6E82F2" w:rsidR="001401C6" w:rsidRPr="004D1D34" w:rsidRDefault="001401C6" w:rsidP="001401C6">
      <w:pPr>
        <w:spacing w:after="120"/>
        <w:ind w:left="1134" w:right="1134"/>
        <w:jc w:val="both"/>
      </w:pPr>
      <w:r>
        <w:t>3.</w:t>
      </w:r>
      <w:r>
        <w:tab/>
        <w:t>В работе совещания приняли участие представители следующих органов Организации Объединенных Наций: Программы развития Организации Объединенных Наций (ПРООН) и Всемирной организации здравоохранения (ВОЗ). В</w:t>
      </w:r>
      <w:r>
        <w:rPr>
          <w:lang w:val="en-US"/>
        </w:rPr>
        <w:t> </w:t>
      </w:r>
      <w:r>
        <w:t>нем также приняли участие Организация по безопасности и сотрудничеству в Европе (ОБСЕ) и Европейский инвестиционный банк. Были представлены следующие неправительственные организации (НПО): Сеть кавказских природоохранных НПО; «ЭкоКонтакт»; Европейский ЭКО-форум; Ассоциация экологического права Гута; Международная ассоциация по оценке воздействия (МАОВ); Сеть по наблюдению за прозрачностью в ядерной области; Право на защиту (Украина); и ЭКОБЮРО — Альянс австрийского природоохранного движения (Австрия). Кроме того, на совещании присутствовали два независимых эксперта из Национального университета Сингапура.</w:t>
      </w:r>
    </w:p>
    <w:p w14:paraId="016E5E9E" w14:textId="77777777" w:rsidR="001401C6" w:rsidRPr="004D1D34" w:rsidRDefault="001401C6" w:rsidP="001401C6">
      <w:pPr>
        <w:pStyle w:val="H1G"/>
      </w:pPr>
      <w:r>
        <w:rPr>
          <w:bCs/>
        </w:rPr>
        <w:tab/>
        <w:t>B.</w:t>
      </w:r>
      <w:r>
        <w:tab/>
      </w:r>
      <w:r>
        <w:rPr>
          <w:bCs/>
        </w:rPr>
        <w:t>Организационные вопросы</w:t>
      </w:r>
    </w:p>
    <w:p w14:paraId="02307E56" w14:textId="77777777" w:rsidR="001401C6" w:rsidRPr="004D1D34" w:rsidRDefault="001401C6" w:rsidP="001401C6">
      <w:pPr>
        <w:pStyle w:val="SingleTxtG"/>
      </w:pPr>
      <w:r>
        <w:t>4.</w:t>
      </w:r>
      <w:r>
        <w:tab/>
        <w:t>Совещание открыла Председатель Рабочей группы г-жа Дорота Торифтер-Жуманска (Польша).</w:t>
      </w:r>
    </w:p>
    <w:p w14:paraId="196B5FCB" w14:textId="60A6159F" w:rsidR="001401C6" w:rsidRPr="004D1D34" w:rsidRDefault="001401C6" w:rsidP="001401C6">
      <w:pPr>
        <w:pStyle w:val="SingleTxtG"/>
      </w:pPr>
      <w:r>
        <w:t>5.</w:t>
      </w:r>
      <w:r>
        <w:tab/>
        <w:t>Рабочая группа утвердила свою повестку дня совещания (ECE/MP.EIA/WG.2/2022/1)</w:t>
      </w:r>
      <w:r w:rsidRPr="001401C6">
        <w:rPr>
          <w:rStyle w:val="aa"/>
        </w:rPr>
        <w:footnoteReference w:id="1"/>
      </w:r>
      <w:r>
        <w:t xml:space="preserve">. </w:t>
      </w:r>
      <w:bookmarkStart w:id="0" w:name="_Hlk27668062"/>
      <w:bookmarkEnd w:id="0"/>
    </w:p>
    <w:p w14:paraId="4746B6B6" w14:textId="77777777" w:rsidR="001401C6" w:rsidRPr="004D1D34" w:rsidRDefault="001401C6" w:rsidP="001401C6">
      <w:pPr>
        <w:pStyle w:val="HChG"/>
      </w:pPr>
      <w:r>
        <w:rPr>
          <w:bCs/>
        </w:rPr>
        <w:tab/>
        <w:t>II.</w:t>
      </w:r>
      <w:r>
        <w:tab/>
      </w:r>
      <w:r>
        <w:rPr>
          <w:bCs/>
        </w:rPr>
        <w:t>Положение дел с ратификацией</w:t>
      </w:r>
    </w:p>
    <w:p w14:paraId="7EDC4C00" w14:textId="568D4EAE" w:rsidR="001401C6" w:rsidRPr="004D1D34" w:rsidRDefault="001401C6" w:rsidP="001401C6">
      <w:pPr>
        <w:pStyle w:val="SingleTxtG"/>
      </w:pPr>
      <w:r>
        <w:t>6.</w:t>
      </w:r>
      <w:r>
        <w:tab/>
        <w:t>Секретариат доложил о положении дел с ратификацией Конвенции, двух поправок и Протокола к ней (ECE/MP.EIA/WG.2/2022/INF.2). Рабочая группа напомнила, что в 2020 году на совещаниях Сторон Конвенции и Протокола было принято решение о том, что более широкое осуществление договоров в регионе ЕЭК и за его пределами является главной стратегической целью, а их единообразное применение — приоритетной задачей</w:t>
      </w:r>
      <w:r w:rsidRPr="001401C6">
        <w:rPr>
          <w:rStyle w:val="aa"/>
        </w:rPr>
        <w:footnoteReference w:id="2"/>
      </w:r>
      <w:r>
        <w:t>.</w:t>
      </w:r>
      <w:bookmarkStart w:id="1" w:name="_Hlk29385916"/>
      <w:bookmarkStart w:id="2" w:name="_Hlk27756290"/>
      <w:bookmarkEnd w:id="1"/>
      <w:bookmarkEnd w:id="2"/>
    </w:p>
    <w:p w14:paraId="645CA976" w14:textId="3630355D" w:rsidR="001401C6" w:rsidRPr="004D1D34" w:rsidRDefault="001401C6" w:rsidP="001401C6">
      <w:pPr>
        <w:pStyle w:val="SingleTxtG"/>
      </w:pPr>
      <w:r>
        <w:t>7.</w:t>
      </w:r>
      <w:r>
        <w:tab/>
        <w:t>Рабочая группа приветствовала завершение Украиной национальных мер по ратификации двух поправок к Конвенции, отметив, что ратификация вступит в силу после сдачи на хранение ратификационных грамот</w:t>
      </w:r>
      <w:r w:rsidRPr="001401C6">
        <w:rPr>
          <w:rStyle w:val="aa"/>
        </w:rPr>
        <w:footnoteReference w:id="3"/>
      </w:r>
      <w:r>
        <w:t xml:space="preserve">. Она также отметила информацию, предоставленную представителями других Сторон о шагах, предпринятых в направлении ратификации: Бельгия, Ирландия и Северная Македония продвинулись дальше всех в отношении первой поправки, а </w:t>
      </w:r>
      <w:r w:rsidR="00042270">
        <w:t>Г</w:t>
      </w:r>
      <w:r>
        <w:t>реция</w:t>
      </w:r>
      <w:r w:rsidR="00042270">
        <w:t xml:space="preserve"> и</w:t>
      </w:r>
      <w:r>
        <w:t xml:space="preserve"> </w:t>
      </w:r>
      <w:r w:rsidR="00042270">
        <w:t>Франция</w:t>
      </w:r>
      <w:r w:rsidR="00042270">
        <w:t xml:space="preserve"> </w:t>
      </w:r>
      <w:r>
        <w:t xml:space="preserve">— в отношении Протокола. Рабочая группа также отметила планы Казахстана присоединиться к Протоколу в 2024 году. Хотя Рабочая группа по-прежнему обеспокоена тем, что для вступления в силу первой поправки, позволяющей не входящим в ЕЭК странам присоединиться к Конвенции, необходимо еще четыре ратификации, с учетом объявленной в ближайшее время ратификации этой поправки Бельгией и Северной Македонией и прогресса, о котором сообщила Армения, она ожидает, что Конвенция станет глобальным инструментом в следующем межсессионном периоде. В этой связи Рабочая группа настоятельно призвала Армению, Бельгию, Северную Македонию и Соединенное Королевство Великобритании и Северной Ирландии приложить все усилия для ратификации первой поправки к следующим сессиям совещаний Сторон </w:t>
      </w:r>
      <w:r>
        <w:lastRenderedPageBreak/>
        <w:t xml:space="preserve">Конвенции и Протокола (Женева, 12–15 декабря 2023 года), чтобы обеспечить возможность глобального открытия Конвенции. </w:t>
      </w:r>
      <w:bookmarkStart w:id="3" w:name="_Hlk123913433"/>
      <w:bookmarkEnd w:id="3"/>
    </w:p>
    <w:p w14:paraId="51DE11AC" w14:textId="6C9705BC" w:rsidR="001401C6" w:rsidRPr="00D45849" w:rsidRDefault="001401C6" w:rsidP="001401C6">
      <w:pPr>
        <w:pStyle w:val="SingleTxtG"/>
      </w:pPr>
      <w:r>
        <w:t>8.</w:t>
      </w:r>
      <w:r>
        <w:tab/>
        <w:t xml:space="preserve">Кроме того, Рабочая группа подчеркнула важность того, чтобы для обеспечения единообразного применения Конвенции всеми ее участниками все участники, которые еще не сделали этого, ратифицировали вторую поправку. Она призвала девять заинтересованных сторон — Армению, Беларусь, </w:t>
      </w:r>
      <w:r w:rsidR="00042270">
        <w:t>Бельгию, Боснию</w:t>
      </w:r>
      <w:r>
        <w:t xml:space="preserve"> и Герцеговину, Ирландию, Казахстан, Кыргызстан, Северную Македонию и Соединенное Королевство Великобритании и Северной Ирландии — приступить к ратификации этой поправки. В заключение Рабочая группа призвала государства, подписавшие Протокол, но не ратифицировавшие его (Бельгию, Грецию, Грузию, Ирландию, Соединенное Королевство Великобритании и Северной Ирландии и Францию), сделать это. Рабочая группа настоятельно призвала соответствующие страны как можно скорее завершить ратификацию договоров и/или присоединиться к ним; в связи с этим соответствующим Сторонам было предложено объявить на следующих сессиях совещаний Сторон о своем твердом намерении сделать это с указанием четких сроков в течение следующего межсессионного периода.</w:t>
      </w:r>
      <w:bookmarkStart w:id="4" w:name="_Hlk123563068"/>
    </w:p>
    <w:bookmarkEnd w:id="4"/>
    <w:p w14:paraId="4F58CC59" w14:textId="77777777" w:rsidR="001401C6" w:rsidRPr="00D45849" w:rsidRDefault="001401C6" w:rsidP="001401C6">
      <w:pPr>
        <w:pStyle w:val="SingleTxtG"/>
      </w:pPr>
      <w:r>
        <w:t>9.</w:t>
      </w:r>
      <w:r>
        <w:tab/>
        <w:t>Рабочая группа поблагодарила Исполнительного секретаря ЕЭК за направление по просьбе Президиума писем министрам окружающей среды и министрам иностранных дел всех соответствующих стран с целью отметить недостающие ратификации (письма от 7 декабря 2022 года) и призвала координаторов использовать эти письма для ускорения прогресса в своих правительствах.</w:t>
      </w:r>
    </w:p>
    <w:p w14:paraId="1CA45C82" w14:textId="513D435E" w:rsidR="001401C6" w:rsidRPr="00D45849" w:rsidRDefault="001401C6" w:rsidP="001401C6">
      <w:pPr>
        <w:pStyle w:val="SingleTxtG"/>
      </w:pPr>
      <w:r>
        <w:t>10.</w:t>
      </w:r>
      <w:r>
        <w:tab/>
        <w:t>Рабочая группа вновь призвала страны</w:t>
      </w:r>
      <w:r w:rsidR="00042270">
        <w:t xml:space="preserve"> — </w:t>
      </w:r>
      <w:r>
        <w:t>бенефициары технической помощи и помощи в области наращивания потенциала в Восточной Европе, на Кавказе и в Центральной Азии предпринять шаги по присоединению к Конвенции и Протоколу и/или ратификации поправок, в зависимости от ситуации (Азербайджан, Беларусь, Грузия, Казахстан, Кыргызстан, Таджикистан, Туркменистан и Узбекистан).</w:t>
      </w:r>
    </w:p>
    <w:p w14:paraId="687DA976" w14:textId="77777777" w:rsidR="001401C6" w:rsidRPr="00D45849" w:rsidRDefault="001401C6" w:rsidP="001401C6">
      <w:pPr>
        <w:pStyle w:val="SingleTxtG"/>
      </w:pPr>
      <w:r>
        <w:t>11.</w:t>
      </w:r>
      <w:r>
        <w:tab/>
        <w:t>Рабочая группа поблагодарила Румынию за доклад о состоянии Многостороннего соглашения стран Юго-Восточной Европы об осуществлении Конвенции об оценке воздействия на окружающую среду в трансграничном контексте 2008 года (Бухарестское соглашение), а также предложила Хорватии и Греции присоединиться к этому соглашению и призвала Боснию и Герцеговину присоединиться к нему. Рабочая группа приветствовала планы Греции ратифицировать Бухарестское соглашение в ближайшем будущем.</w:t>
      </w:r>
    </w:p>
    <w:p w14:paraId="37DB0396" w14:textId="4CF59564" w:rsidR="001401C6" w:rsidRPr="00D45849" w:rsidRDefault="001401C6" w:rsidP="001401C6">
      <w:pPr>
        <w:pStyle w:val="SingleTxtG"/>
      </w:pPr>
      <w:r>
        <w:t>12.</w:t>
      </w:r>
      <w:r>
        <w:tab/>
        <w:t xml:space="preserve">Всем вышеупомянутым странам было предложено сообщить о достигнутом ими прогрессе на следующем совещании Рабочей группы (Женева, 13–15 июня 2022 года). </w:t>
      </w:r>
    </w:p>
    <w:p w14:paraId="682564A9" w14:textId="77777777" w:rsidR="001401C6" w:rsidRPr="00D45849" w:rsidRDefault="001401C6" w:rsidP="001401C6">
      <w:pPr>
        <w:pStyle w:val="HChG"/>
      </w:pPr>
      <w:r>
        <w:rPr>
          <w:bCs/>
        </w:rPr>
        <w:tab/>
        <w:t>III.</w:t>
      </w:r>
      <w:r>
        <w:tab/>
      </w:r>
      <w:r>
        <w:rPr>
          <w:bCs/>
        </w:rPr>
        <w:t>Финансовые механизмы</w:t>
      </w:r>
    </w:p>
    <w:p w14:paraId="7D93990F" w14:textId="77777777" w:rsidR="001401C6" w:rsidRPr="00D45849" w:rsidRDefault="001401C6" w:rsidP="001401C6">
      <w:pPr>
        <w:pStyle w:val="H1G"/>
      </w:pPr>
      <w:r>
        <w:rPr>
          <w:bCs/>
        </w:rPr>
        <w:tab/>
        <w:t>A.</w:t>
      </w:r>
      <w:r>
        <w:tab/>
      </w:r>
      <w:r>
        <w:rPr>
          <w:bCs/>
        </w:rPr>
        <w:t>Состояние целевых фондов</w:t>
      </w:r>
    </w:p>
    <w:p w14:paraId="2263C358" w14:textId="1CBBA14B" w:rsidR="001401C6" w:rsidRPr="00D45849" w:rsidRDefault="001401C6" w:rsidP="001401C6">
      <w:pPr>
        <w:pStyle w:val="SingleTxtG"/>
      </w:pPr>
      <w:r>
        <w:t>13.</w:t>
      </w:r>
      <w:r>
        <w:tab/>
        <w:t>Рабочая группа напомнила, что на своих прошлых сессиях (Вильнюс (в онлайновом формате), 8–11 декабря 2020 года) совещания Сторон постановили, что все Стороны обязаны способствовать справедливому распределению расходов, не покрываемых из регулярного бюджета Организации Объединенных Наций</w:t>
      </w:r>
      <w:r w:rsidRPr="001401C6">
        <w:rPr>
          <w:rStyle w:val="aa"/>
        </w:rPr>
        <w:footnoteReference w:id="4"/>
      </w:r>
      <w:r>
        <w:t>. На своем нынешнем совещании, пройдя две трети периода 2021–2023 годов, Рабочая группа должна была оценить эффективность выполнения решения VIII/1</w:t>
      </w:r>
      <w:r w:rsidR="00087E42">
        <w:t>–</w:t>
      </w:r>
      <w:r>
        <w:t>IV/1 (ECE/MP.EIA/30/Add.1</w:t>
      </w:r>
      <w:r w:rsidR="00042270">
        <w:t>–</w:t>
      </w:r>
      <w:r>
        <w:t>ECE/MP.EIA/SEA/13/Add.1) для решения давних и все более критических проблем, связанных с нехваткой ресурсов в рамках Конвенции и Протокола.</w:t>
      </w:r>
    </w:p>
    <w:p w14:paraId="6849DA36" w14:textId="2993EB7B" w:rsidR="001401C6" w:rsidRPr="00D45849" w:rsidRDefault="001401C6" w:rsidP="001401C6">
      <w:pPr>
        <w:pStyle w:val="SingleTxtG"/>
        <w:keepNext/>
        <w:keepLines/>
      </w:pPr>
      <w:r>
        <w:lastRenderedPageBreak/>
        <w:t>14.</w:t>
      </w:r>
      <w:r>
        <w:tab/>
        <w:t xml:space="preserve">Рабочая группа приняла к сведению информацию секретариата о взносах и расходах в отношении целевого фонда </w:t>
      </w:r>
      <w:r w:rsidRPr="001D1794">
        <w:t>согласно Конвенции и Протокола</w:t>
      </w:r>
      <w:r>
        <w:t xml:space="preserve"> за период до 10 ноября 2022 года (ECE/MP.EIA/WG.2/2022/INF.3), в том числе о том, что 31 Сторона внесла взносы в целевой фонд. В качестве положительного момента следует отметить, что 2 Стороны, которые ранее не вносили взносы, сделали это в текущий межсессионный период, а ряд Сторон увеличили свои взносы. Однако фонд по-прежнему чрезмерно зависит лишь от нескольких основных доноров: половина общих поступлений приходится только на 3 Стороны, при этом 70 % поступлений обеспечивается 6 Сторонами. Рабочая группа также отметила, что 13 из 45 Сторон Конвенции еще не вносили никаких средств в целевой фонд. Кроме того, увеличилась доля адресного финансирования конкретных видов деятельности, что привело к сокращению имеющихся в наличии ресурсов для финансирования первоочередных расходов на сотрудников секретариата, финансируемых за счет внебюджетных средств. В целом, как и в предыдущие периоды, вновь следует ожидать нестыковки между согласованными бюджетными потребностями на межсессионный период и финансовыми обязательствами и взносами Сторон.</w:t>
      </w:r>
    </w:p>
    <w:p w14:paraId="74454240" w14:textId="4ED7A809" w:rsidR="001401C6" w:rsidRPr="00D45849" w:rsidRDefault="001401C6" w:rsidP="001401C6">
      <w:pPr>
        <w:pStyle w:val="SingleTxtG"/>
      </w:pPr>
      <w:r>
        <w:t>15.</w:t>
      </w:r>
      <w:r>
        <w:tab/>
        <w:t xml:space="preserve">Рабочая группа предложила Сторонам, которые до сих пор не внесли взносы в целевой фонд (Азербайджан, Беларусь, Босния и Герцеговина, Греция, Казахстан, Кыргызстан, Лихтенштейн, </w:t>
      </w:r>
      <w:r w:rsidR="00042270">
        <w:t>Румыния,</w:t>
      </w:r>
      <w:r w:rsidR="00042270">
        <w:t xml:space="preserve"> </w:t>
      </w:r>
      <w:r>
        <w:t>Северная Македония, Сербия, Соединенное Королевство Великобритании и Северной Ирландии</w:t>
      </w:r>
      <w:r w:rsidR="00042270">
        <w:t xml:space="preserve">, </w:t>
      </w:r>
      <w:r w:rsidR="00042270">
        <w:t xml:space="preserve">Украина </w:t>
      </w:r>
      <w:r w:rsidR="00042270">
        <w:t>и</w:t>
      </w:r>
      <w:r w:rsidR="00042270" w:rsidRPr="00042270">
        <w:t xml:space="preserve"> </w:t>
      </w:r>
      <w:r w:rsidR="00042270">
        <w:t>Хорватия</w:t>
      </w:r>
      <w:r>
        <w:t>), сделать это до 31 января 2023 года, предварительно связавшись с секретариатом для получения платежных документов. Она приняла к сведению заявления делегаций Азербайджана, Северной Македонии и Украины о готовности их стран осуществить платеж. Представитель Беларуси заявил, что его страна не может выплатить взнос из-за введенных против нее санкций.</w:t>
      </w:r>
    </w:p>
    <w:p w14:paraId="200B7C06" w14:textId="77777777" w:rsidR="001401C6" w:rsidRPr="00D45849" w:rsidRDefault="001401C6" w:rsidP="001401C6">
      <w:pPr>
        <w:pStyle w:val="SingleTxtG"/>
      </w:pPr>
      <w:r>
        <w:t>16.</w:t>
      </w:r>
      <w:r>
        <w:tab/>
        <w:t xml:space="preserve">Рабочая группа отметила, что Президиум сделал вывод о неэффективности на сегодняшний день существующего механизма для финансирования плана работы по Конвенции и Протоколу и устранения ресурсных ограничений: финансирование остается недостаточным, непредсказуемым, а бремя расходов распределяется неравномерно. Хотя еще несколько Сторон взяли на себя обязательства по финансированию, число Сторон, внесших взносы, не увеличилось. Кроме того, несмотря на то, что ряд Сторон увеличили суммы своих финансовых взносов, большинство взносов по-прежнему представляют собой небольшие суммы. </w:t>
      </w:r>
    </w:p>
    <w:p w14:paraId="73A1C5DF" w14:textId="44CE5F85" w:rsidR="001401C6" w:rsidRPr="00D45849" w:rsidRDefault="001401C6" w:rsidP="001401C6">
      <w:pPr>
        <w:pStyle w:val="SingleTxtG"/>
      </w:pPr>
      <w:r>
        <w:t>17.</w:t>
      </w:r>
      <w:r>
        <w:tab/>
        <w:t>Рабочая группа просила секретариат представить Президиуму информацию о состоянии целевого фонда до его следующего совещания (Женева, 22–23 февраля 2023 года) и просила Президиум учесть эту информацию при подготовке проектов решений для совещаний Сторон.</w:t>
      </w:r>
    </w:p>
    <w:p w14:paraId="2030F818" w14:textId="77777777" w:rsidR="001401C6" w:rsidRPr="00D45849" w:rsidRDefault="001401C6" w:rsidP="001401C6">
      <w:pPr>
        <w:pStyle w:val="H1G"/>
      </w:pPr>
      <w:r>
        <w:rPr>
          <w:bCs/>
        </w:rPr>
        <w:tab/>
        <w:t>B.</w:t>
      </w:r>
      <w:r>
        <w:tab/>
      </w:r>
      <w:r>
        <w:rPr>
          <w:bCs/>
        </w:rPr>
        <w:t>Ограничения ресурсов секретариата</w:t>
      </w:r>
    </w:p>
    <w:p w14:paraId="11AA82C5" w14:textId="77777777" w:rsidR="001401C6" w:rsidRPr="00D45849" w:rsidRDefault="001401C6" w:rsidP="001401C6">
      <w:pPr>
        <w:pStyle w:val="SingleTxtG"/>
      </w:pPr>
      <w:r>
        <w:t>18.</w:t>
      </w:r>
      <w:r>
        <w:tab/>
        <w:t>Далее Рабочая группа рассмотрела вопрос о критических ограничениях ресурсов секретариата на цели администрирования, поддержки, координации и продвижения основной работы согласно Конвенции и Протокола и планов работы по их осуществлению, а также рекомендации Президиума по улучшению ситуации в области наличия ресурсов. Она отметила, что в период 2021–2022 годов ограниченный штат сотрудников секретариата для выполнения его основных функций (два сотрудника категории специалистов и административные сотрудники, занятые неполный рабочий день) еще больше сократился из-за продолжительного отпуска по болезни одного из сотрудников, что привело к возникновению просрочек, задержек и дополнительной нагрузки.</w:t>
      </w:r>
    </w:p>
    <w:p w14:paraId="55676F12" w14:textId="18C858D5" w:rsidR="001401C6" w:rsidRPr="00D45849" w:rsidRDefault="001401C6" w:rsidP="001401C6">
      <w:pPr>
        <w:pStyle w:val="SingleTxtG"/>
      </w:pPr>
      <w:r>
        <w:t>19.</w:t>
      </w:r>
      <w:r>
        <w:tab/>
        <w:t xml:space="preserve"> Сначала секретариат проинформировал Рабочую группу о своих кадровых изменениях. Рабочая группа поблагодарила г-жу Елену Сантер, которая 1 июня 2022 года в рамках внутреннего перевода перешла на работу в Отдел окружающей среды ЕЭК, и приветствовала г-жу Элизабет Лосассо, которая взяла на себя работу, связанную с соблюдением и осуществлением (до конца 2023 года). Он также приветствовал г-жу Иванну Колисник, которая была привлечена в качестве </w:t>
      </w:r>
      <w:r>
        <w:lastRenderedPageBreak/>
        <w:t xml:space="preserve">индивидуального подрядчика для поддержки подготовки к следующим сессиям совещаний Сторон с 1 ноября 2022 года до конца 2023 года при финансовой поддержке со стороны Италии. Наконец, Рабочая группа отметила продление на беззатратной основе </w:t>
      </w:r>
      <w:r w:rsidRPr="001401C6">
        <w:t>программы EU4Environment («ЕС за окружающую среду») еще</w:t>
      </w:r>
      <w:r>
        <w:t xml:space="preserve"> на один год, до конца 2023 года, включая сотрудников проекта: г-на Леонида Калашника и г-жу Елену Кашину.</w:t>
      </w:r>
    </w:p>
    <w:p w14:paraId="7C1CE585" w14:textId="77777777" w:rsidR="001401C6" w:rsidRPr="00D45849" w:rsidRDefault="001401C6" w:rsidP="001401C6">
      <w:pPr>
        <w:pStyle w:val="SingleTxtG"/>
      </w:pPr>
      <w:r>
        <w:t>20.</w:t>
      </w:r>
      <w:r>
        <w:tab/>
        <w:t>Рабочая группа отметила, что штатный состав секретариата не увеличивался более 20 лет, несмотря на значительное расширение числа задач, возложенных на секретариат за тот же период (с принятием Протокола; и увеличением количества договорных органов, совещаний, документов и дел о соблюдении, а также внешних и внутренних требований к координации, коммуникации, отчетности, административных решений, повышением важности работы, мер по наращиванию потенциала, технической помощи и расширением информационно-просветительской деятельности). Хотя на протяжении многих лет совещания Сторон неоднократно признавали недостаточность имеющихся ресурсов, Стороны продолжали финансировать только одну должность сотрудника категории специалистов и не оказывали стабильной административной поддержки секретариату с 2001 года. Ожидается, что объем работы еще более возрастет в связи с ожидаемым глобальным открытием Конвенции и применением обоих договоров за пределами региона ЕЭК.</w:t>
      </w:r>
    </w:p>
    <w:p w14:paraId="7B9E134D" w14:textId="77777777" w:rsidR="001401C6" w:rsidRPr="00D45849" w:rsidRDefault="001401C6" w:rsidP="001401C6">
      <w:pPr>
        <w:pStyle w:val="SingleTxtG"/>
      </w:pPr>
      <w:r>
        <w:t>21.</w:t>
      </w:r>
      <w:r>
        <w:tab/>
        <w:t>Рабочая группа отметила, что секретариаты других экологических договоров ЕЭК располагают значительно большими ресурсами (хотя они также испытывают кадровые трудности). Различия в размерах целевых фондов и секретариатов соответствующих договоров нельзя отнести на счет каких-либо конкретных финансовых механизмов, поскольку такие механизмы практически идентичны во всех многосторонних природоохранных соглашениях ЕЭК. С учетом этого Рабочая группа согласилась с Президиумом в том, что величина финансовых взносов Сторон отражает, прежде всего, национальные приоритеты финансирования и что до настоящего времени другие договоры ЕЭК, по всей видимости, были относительно более приоритетными для стран региона ЕЭК.</w:t>
      </w:r>
    </w:p>
    <w:p w14:paraId="7A577811" w14:textId="77777777" w:rsidR="001401C6" w:rsidRPr="004D1D34" w:rsidRDefault="001401C6" w:rsidP="001401C6">
      <w:pPr>
        <w:pStyle w:val="SingleTxtG"/>
      </w:pPr>
      <w:r>
        <w:t>22.</w:t>
      </w:r>
      <w:r>
        <w:tab/>
        <w:t>Рабочая группа присоединилась к мнению Президиума, отметив, что длительная нехватка ресурсов в рамках Конвенции и Протокола никак не вяжется с их доказанными преимуществами и многократным увеличением числа их Сторон и видов деятельности.</w:t>
      </w:r>
    </w:p>
    <w:p w14:paraId="08A61133" w14:textId="0808FDD0" w:rsidR="001401C6" w:rsidRPr="00D45849" w:rsidRDefault="001401C6" w:rsidP="001401C6">
      <w:pPr>
        <w:pStyle w:val="SingleTxtG"/>
      </w:pPr>
      <w:r>
        <w:t>23.</w:t>
      </w:r>
      <w:r>
        <w:tab/>
        <w:t>Рабочая группа отметила, что кадровые пробелы секретариата могут быть устранены только за счет внебюджетных ресурсов Сторон, поскольку не следует ожидать появления возможности найма нового персонала, финансируемого из регулярного бюджета Организаци</w:t>
      </w:r>
      <w:r w:rsidR="00042270">
        <w:t>и</w:t>
      </w:r>
      <w:r>
        <w:t xml:space="preserve"> Объединенных Наций, а перераспределение существующего персонала не представляется возможным при полном использовании всех должностей в ЕЭК.</w:t>
      </w:r>
    </w:p>
    <w:p w14:paraId="65EE9017" w14:textId="0EC7974D" w:rsidR="001401C6" w:rsidRPr="00D45849" w:rsidRDefault="001401C6" w:rsidP="001401C6">
      <w:pPr>
        <w:pStyle w:val="SingleTxtG"/>
      </w:pPr>
      <w:r>
        <w:t>24.</w:t>
      </w:r>
      <w:r>
        <w:tab/>
        <w:t xml:space="preserve">Рабочая группа предложила национальным координационным центрам по Конвенции и Протоколу взять на себя ведущую роль в деятельности по убеждению правительств своих стран в целях мобилизации дальнейшего финансирования. Она согласилась с Президиумом в том, что к следующему межсессионному периоду 2024–2026 годов Стороны должны коллективно выделить средства на финансирование как минимум одной дополнительной должности сотрудника категории специалистов и одной должности административной поддержки на неполную ставку </w:t>
      </w:r>
      <w:r>
        <w:br/>
        <w:t>(50</w:t>
      </w:r>
      <w:r w:rsidR="00042270">
        <w:t> %</w:t>
      </w:r>
      <w:r>
        <w:t>) для выполнения основных функций секретариата</w:t>
      </w:r>
      <w:r w:rsidRPr="001401C6">
        <w:rPr>
          <w:rStyle w:val="aa"/>
        </w:rPr>
        <w:footnoteReference w:id="5"/>
      </w:r>
      <w:r>
        <w:t xml:space="preserve">. По просьбе Президиума Исполнительный секретарь ЕЭК также направил письма министрам окружающей среды и министрам иностранных дел всех Сторон с предложением правительствам принять участие в совместном покрытии расходов и с этой целью увеличить размер своих финансовых взносов (письма от 7 декабря 2022 года). Председатель Президиума отметил, что предлагаемое укрепление секретариата будет представлять собой </w:t>
      </w:r>
      <w:r>
        <w:lastRenderedPageBreak/>
        <w:t xml:space="preserve">минимально необходимое улучшение: секретариат Конвенции и Протокола будет по-прежнему очень компактным в сравнении с масштабами решаемых им задач и размерами секретариатов других договоров. </w:t>
      </w:r>
    </w:p>
    <w:p w14:paraId="0C1AB5E6" w14:textId="4F873798" w:rsidR="001401C6" w:rsidRPr="00D45849" w:rsidRDefault="001401C6" w:rsidP="001401C6">
      <w:pPr>
        <w:pStyle w:val="SingleTxtG"/>
      </w:pPr>
      <w:r>
        <w:t>25.</w:t>
      </w:r>
      <w:r>
        <w:tab/>
        <w:t>Рабочая группа также отметила, что для обеспечения устойчивости работы секретариата увеличение его штата должно быть долгосрочным и стабильным. Использование инструмента специального финансирования для краткосрочных решений, таких как на</w:t>
      </w:r>
      <w:r w:rsidR="00042270">
        <w:t>е</w:t>
      </w:r>
      <w:r>
        <w:t xml:space="preserve">м временных сотрудников или консультантов не только не решит существующую проблему, но и возложит дополнительную нагрузку на секретариат, которому придется направить свои ограниченные ресурсы на многократные процессы найма и обучения и другие административные процедуры; Аналогичным образом зависимость от проектного финансирования не соответствует характеру предстоящей работы и подразумевает выполнение таких требуемых донорами задач, которые превышают нынешние возможности секретариата, как мобилизация средств, подготовка проектов, координация, отчетность, аудит и оценка. </w:t>
      </w:r>
    </w:p>
    <w:p w14:paraId="77C0EF79" w14:textId="0F4B7572" w:rsidR="001401C6" w:rsidRPr="00D45849" w:rsidRDefault="001401C6" w:rsidP="001401C6">
      <w:pPr>
        <w:pStyle w:val="SingleTxtG"/>
      </w:pPr>
      <w:r>
        <w:t>26.</w:t>
      </w:r>
      <w:r>
        <w:tab/>
        <w:t>Рабочая группа постановила, что если из-за других национальных приоритетов финансирования Стороны не смогут профинансировать необходимый дополнительный персонал для выполнения основных функций секретариата, то план работы должен быть скорректирован для сокращения рабочей нагрузки и деятельности секретариата, чтобы более четко согласовать их с его ограниченными ресурсами и обеспечить соответствие спроса Сторон на деятельность и услуги с объемом предоставляемых ими ресурсов.</w:t>
      </w:r>
    </w:p>
    <w:p w14:paraId="3FAFFAA1" w14:textId="0DA34906" w:rsidR="001401C6" w:rsidRPr="00D45849" w:rsidRDefault="001401C6" w:rsidP="001401C6">
      <w:pPr>
        <w:pStyle w:val="SingleTxtG"/>
      </w:pPr>
      <w:r>
        <w:t>27.</w:t>
      </w:r>
      <w:r>
        <w:tab/>
        <w:t xml:space="preserve">Рабочая группа предложила делегациям проинформировать секретариат о своих обязательствах на следующий межсессионный период 2024–2026 годов до середины февраля 2023 года, до следующего совещания Президиума, или по крайней мере до 15 мая 2023 года, до двенадцатого совещания Рабочей группы (Женева, </w:t>
      </w:r>
      <w:r>
        <w:br/>
        <w:t>13–15 июня 2023 года). Она подчеркнула, что предварительная информация об обязательствах Сторон имеет важное значение для подготовки реалистичного и практически осуществимого проекта плана работы на 2024–2026 годы, который будет соответствовать ожидаемому будущему финансированию.</w:t>
      </w:r>
    </w:p>
    <w:p w14:paraId="5D2ECE20" w14:textId="77777777" w:rsidR="001401C6" w:rsidRPr="00D45849" w:rsidRDefault="001401C6" w:rsidP="001401C6">
      <w:pPr>
        <w:pStyle w:val="H1G"/>
      </w:pPr>
      <w:r>
        <w:rPr>
          <w:bCs/>
        </w:rPr>
        <w:tab/>
        <w:t>C.</w:t>
      </w:r>
      <w:r>
        <w:tab/>
      </w:r>
      <w:r>
        <w:rPr>
          <w:bCs/>
        </w:rPr>
        <w:t>Взносы натурой</w:t>
      </w:r>
    </w:p>
    <w:p w14:paraId="67A68115" w14:textId="77777777" w:rsidR="001401C6" w:rsidRPr="00D45849" w:rsidRDefault="001401C6" w:rsidP="001401C6">
      <w:pPr>
        <w:pStyle w:val="SingleTxtG"/>
      </w:pPr>
      <w:r>
        <w:t>28.</w:t>
      </w:r>
      <w:r>
        <w:tab/>
        <w:t>Рабочая группа призвала Стороны и заинтересованных участников внести взносы в натуральной форме в качестве ценного дополнительного ресурса для реализации мероприятий плана работы, в дополнение к внесению средств в целевые фонды договоров. Для временного укрепления кадрового состава секретариата Сторонам было рекомендовано профинансировать должность младшего сотрудника категории специалистов</w:t>
      </w:r>
      <w:r w:rsidRPr="001401C6">
        <w:rPr>
          <w:rStyle w:val="aa"/>
        </w:rPr>
        <w:footnoteReference w:id="6"/>
      </w:r>
      <w:r>
        <w:t xml:space="preserve"> по примеру Финляндии (в 2011–2014 годах). Секретариат отметил, что, хотя младшие сотрудники категории специалистов представляют собой благоприятную дополнительную возможность укрепить его ресурсы, программа младших сотрудников категории специалистов не предназначена для восполнения нехватки ресурсов для выполнения основных функций секретариата договора. </w:t>
      </w:r>
    </w:p>
    <w:p w14:paraId="79B2EC33" w14:textId="4C3519B6" w:rsidR="001401C6" w:rsidRPr="00D45849" w:rsidRDefault="001401C6" w:rsidP="001401C6">
      <w:pPr>
        <w:spacing w:after="120"/>
        <w:ind w:left="1134" w:right="1134"/>
        <w:jc w:val="both"/>
      </w:pPr>
      <w:r>
        <w:t>29.</w:t>
      </w:r>
      <w:r>
        <w:tab/>
        <w:t>Затем Рабочая группа вернулась к предложениям относительно признания взносов в натуральной форме в рамках финансовой схемы, которые Президиум первоначально подготовил для предыдущего совещания Рабочей группы в 2021 году и незначительно скорректировал для большей ясности (ECE/MP.EIA/</w:t>
      </w:r>
      <w:r w:rsidR="00042270">
        <w:br/>
      </w:r>
      <w:r>
        <w:t>WG.2/2022/INF.5)</w:t>
      </w:r>
      <w:r w:rsidRPr="001401C6">
        <w:rPr>
          <w:rStyle w:val="aa"/>
        </w:rPr>
        <w:footnoteReference w:id="7"/>
      </w:r>
      <w:r>
        <w:t xml:space="preserve">. Она согласилась с мнением Президиума, изложенным в неофициальном документе 5, в том числе с тем, что не все взносы в натуральной форме могут быть оценены количественно. Она предложила тем Сторонам, которые хотели бы указать денежную стоимость своих взносов в натуральной форме в рамках плана работы на 2024–2026 годы, представить в секретариат оценочную стоимость </w:t>
      </w:r>
      <w:r>
        <w:lastRenderedPageBreak/>
        <w:t>запланированных видов деятельности или услуг в долларах США до начала следующих совещаний Президиума в феврале и Рабочей группы в июне 2023 года для их включения в план работы.</w:t>
      </w:r>
    </w:p>
    <w:p w14:paraId="601C5E1B" w14:textId="77777777" w:rsidR="001401C6" w:rsidRPr="00D45849" w:rsidRDefault="001401C6" w:rsidP="001401C6">
      <w:pPr>
        <w:pStyle w:val="HChG"/>
      </w:pPr>
      <w:r>
        <w:rPr>
          <w:bCs/>
        </w:rPr>
        <w:tab/>
        <w:t>IV.</w:t>
      </w:r>
      <w:r>
        <w:tab/>
      </w:r>
      <w:r>
        <w:rPr>
          <w:bCs/>
        </w:rPr>
        <w:t>Соблюдение и осуществление</w:t>
      </w:r>
    </w:p>
    <w:p w14:paraId="3B531C22" w14:textId="77777777" w:rsidR="001401C6" w:rsidRPr="00D45849" w:rsidRDefault="001401C6" w:rsidP="001401C6">
      <w:pPr>
        <w:pStyle w:val="H23G"/>
      </w:pPr>
      <w:r>
        <w:rPr>
          <w:bCs/>
        </w:rPr>
        <w:tab/>
        <w:t>1.</w:t>
      </w:r>
      <w:r>
        <w:tab/>
      </w:r>
      <w:r>
        <w:rPr>
          <w:bCs/>
        </w:rPr>
        <w:t>Рассмотрение соблюдения</w:t>
      </w:r>
    </w:p>
    <w:p w14:paraId="7E6B1485" w14:textId="6A906780" w:rsidR="001401C6" w:rsidRPr="00D45849" w:rsidRDefault="001401C6" w:rsidP="001401C6">
      <w:pPr>
        <w:pStyle w:val="SingleTxtG"/>
      </w:pPr>
      <w:r>
        <w:t>30.</w:t>
      </w:r>
      <w:r>
        <w:tab/>
        <w:t xml:space="preserve">Председатель Комитета по осуществлению изложил основные итоги пятьдесят второй, пятьдесят третьей и пятьдесят четвертой сессий Комитета (Женева, </w:t>
      </w:r>
      <w:r>
        <w:br/>
        <w:t>29–31 марта (в онлайновом формате), Женева, 10–13 мая 2022 года (в гибридном формате) и Женева, 4–7 октября 2022 года (в гибридном формате) соответственно)</w:t>
      </w:r>
      <w:r w:rsidRPr="001401C6">
        <w:rPr>
          <w:rStyle w:val="aa"/>
        </w:rPr>
        <w:footnoteReference w:id="8"/>
      </w:r>
      <w:r>
        <w:t xml:space="preserve"> и основные цели пятьдесят пятой сессии Комитета (31 января — 3 февраля 2023 года, Женева (в онлайновом формате)</w:t>
      </w:r>
      <w:r w:rsidR="00042270">
        <w:t>)</w:t>
      </w:r>
      <w:r>
        <w:t>. Председатель также представил планы Комитета по подготовке к следующим сессиям совещаний Сторон (Женева, 12–15 декабря 2023 года).</w:t>
      </w:r>
    </w:p>
    <w:p w14:paraId="6CFF4027" w14:textId="40DF76B6" w:rsidR="001401C6" w:rsidRPr="00D45849" w:rsidRDefault="001401C6" w:rsidP="001401C6">
      <w:pPr>
        <w:pStyle w:val="SingleTxtG"/>
      </w:pPr>
      <w:r>
        <w:t>31.</w:t>
      </w:r>
      <w:r>
        <w:tab/>
        <w:t xml:space="preserve">Рабочая группа приняла к сведению доклад Председателя Комитета, приветствуя достигнутый до настоящего времени прогресс и признавая существенный объем работы, который предстоит проделать Комитету до совещаний Сторон в декабре 2023 года. Она подчеркнула проблемы в работе Комитета в связи с дефицитом кадров в секретариате в 2021 и 2022 годах и подтвердила необходимость стабильной и достаточной секретариатской поддержки для проведения Комитетом масштабного и трудоемкого рассмотрения соблюдения. Отметив, что некоторые Стороны </w:t>
      </w:r>
      <w:r w:rsidR="00042270">
        <w:br/>
      </w:r>
      <w:r>
        <w:t>по-прежнему не отвечают на вопросы Комитета своевременно и в полном объеме, Рабочая группа вновь призвала Стороны к сотрудничеству, чтобы не задерживать обсуждения в Комитете.</w:t>
      </w:r>
    </w:p>
    <w:p w14:paraId="174D1287" w14:textId="77777777" w:rsidR="001401C6" w:rsidRPr="00D45849" w:rsidRDefault="001401C6" w:rsidP="001401C6">
      <w:pPr>
        <w:pStyle w:val="SingleTxtG"/>
      </w:pPr>
      <w:r>
        <w:t>32.</w:t>
      </w:r>
      <w:r>
        <w:tab/>
        <w:t>Рабочая группа отметила подготовку Комитетом предложений по внесению поправок в правила, регулирующие режим его работы, с целью совершенствования методов работы и практики Комитета в свете накопленного им опыта, в том числе по вопросам конфликта интересов и кворума, прозрачности и эффективности его коммуникаций и использования видеоконференций/совещаний в онлайновом режиме.</w:t>
      </w:r>
    </w:p>
    <w:p w14:paraId="02CC905A" w14:textId="24DF2A89" w:rsidR="001401C6" w:rsidRPr="00D45849" w:rsidRDefault="001401C6" w:rsidP="001401C6">
      <w:pPr>
        <w:pStyle w:val="SingleTxtG"/>
      </w:pPr>
      <w:r>
        <w:t>33.</w:t>
      </w:r>
      <w:r>
        <w:tab/>
        <w:t>Рабочая группа приветствовала план Комитета подготовить проекты решений о соблюдении Конвенции и Протокола на пятьдесят шестой сессии Комитета (Женева, 2</w:t>
      </w:r>
      <w:r w:rsidR="00FE5494">
        <w:t>–</w:t>
      </w:r>
      <w:r>
        <w:t xml:space="preserve">5 мая 2023 года) в качестве неофициальных документов для комментариев до, во время и после двенадцатого заседания Рабочей группы и окончательно доработать их на пятьдесят седьмой сессии Комитета (Женева, 4–6 сентября 2023 года (дата будет подтверждена)). </w:t>
      </w:r>
    </w:p>
    <w:p w14:paraId="7CCA6EDC" w14:textId="77777777" w:rsidR="001401C6" w:rsidRPr="00D45849" w:rsidRDefault="001401C6" w:rsidP="001401C6">
      <w:pPr>
        <w:pStyle w:val="SingleTxtG"/>
      </w:pPr>
      <w:r>
        <w:t>34.</w:t>
      </w:r>
      <w:r>
        <w:tab/>
        <w:t>Рабочая группа отметила сообщения делегации Беларуси о несоблюдении другой Стороной и обратила внимание делегации на возможность использования существующей процедуры рассмотрения соблюдения.</w:t>
      </w:r>
    </w:p>
    <w:p w14:paraId="7D0BE788" w14:textId="7F1AD36E" w:rsidR="001401C6" w:rsidRPr="00D45849" w:rsidRDefault="001401C6" w:rsidP="001401C6">
      <w:pPr>
        <w:pStyle w:val="SingleTxtG"/>
      </w:pPr>
      <w:r>
        <w:t>35.</w:t>
      </w:r>
      <w:r>
        <w:tab/>
        <w:t>Рабочая группа приняла к сведению совместное исследование, подготовленное НПО ЭКОБЮРО — Альянс австрийского природоохранного движения и Ресурсно-аналитического центра «Общество и окружающая среда» (Украина) по вопросу продления срока службы ядерных реакторов</w:t>
      </w:r>
      <w:r w:rsidRPr="001401C6">
        <w:rPr>
          <w:rStyle w:val="aa"/>
        </w:rPr>
        <w:footnoteReference w:id="9"/>
      </w:r>
      <w:r>
        <w:t>.</w:t>
      </w:r>
    </w:p>
    <w:p w14:paraId="4CBE35AE" w14:textId="77777777" w:rsidR="001401C6" w:rsidRPr="00D45849" w:rsidRDefault="001401C6" w:rsidP="001401C6">
      <w:pPr>
        <w:pStyle w:val="H23G"/>
      </w:pPr>
      <w:r>
        <w:rPr>
          <w:bCs/>
        </w:rPr>
        <w:tab/>
        <w:t>2.</w:t>
      </w:r>
      <w:r>
        <w:tab/>
      </w:r>
      <w:r>
        <w:rPr>
          <w:bCs/>
        </w:rPr>
        <w:t>Представление отчетности и рассмотрение осуществления</w:t>
      </w:r>
    </w:p>
    <w:p w14:paraId="381E35FE" w14:textId="6A9E85FC" w:rsidR="001401C6" w:rsidRPr="00B554D8" w:rsidRDefault="001401C6" w:rsidP="001401C6">
      <w:pPr>
        <w:pStyle w:val="SingleTxtG"/>
      </w:pPr>
      <w:r>
        <w:t>36.</w:t>
      </w:r>
      <w:r>
        <w:tab/>
        <w:t xml:space="preserve">Секретариат представил проект седьмого обзора осуществления Конвенции (ECE/MP.EIA/WG.2/2022/3) и проект четвертого обзора осуществления Протокола (ECE/MP.EIA/WG.2/2022/4) в период 2019–2021 годов, которые он подготовил при содействии консультантов на основе заполненных вопросников, представленных Сторонами и 2 государствами, не являющимися Сторонами этих договоров, до 30 июня 2022 года. К этому сроку, спустя два месяца после первоначального срока </w:t>
      </w:r>
      <w:r>
        <w:lastRenderedPageBreak/>
        <w:t>представления отчетности, вопросники представили только 34 из 45 Сторон Конвенции, а также Грузия, и 22 из 33 Сторон Протокола, а также Грузия и Казахстан. По состоянию на 19 декабря 2022 года 8 государств</w:t>
      </w:r>
      <w:r w:rsidR="00FE5494">
        <w:t xml:space="preserve"> — </w:t>
      </w:r>
      <w:r>
        <w:t>участников Конвенции и 7 государств — участников Протокола еще не представили свои доклады. В ходе текущего цикла отчетности Европейский союз не представил информацию по Конвенции и Протоколу с помощью вопросников для государств-участников, как это было предложено Рабочей группой, ожидая завершения Комитетом по осуществлению разработки типовых форм отчетности для Европейского союза. Как и в прошлом, Европейский союз вернул незаполненные вопросники и предоставил дополнительную информацию отдельно, что, по мнению Комитета по осуществлению, не соответствует обязательствам по представлению отчетности.</w:t>
      </w:r>
    </w:p>
    <w:p w14:paraId="7A0A2CAF" w14:textId="77777777" w:rsidR="001401C6" w:rsidRPr="004D1D34" w:rsidRDefault="001401C6" w:rsidP="001401C6">
      <w:pPr>
        <w:pStyle w:val="SingleTxtG"/>
      </w:pPr>
      <w:r>
        <w:t>37.</w:t>
      </w:r>
      <w:r>
        <w:tab/>
        <w:t>Рабочая группа поблагодарила Стороны, которые своевременно отчитались о ходе осуществления ими Конвенции и Протокола в 2019–2021 годах, и приветствовала также отчеты двух государств, не являющихся Сторонами. Она поблагодарила Канаду за перевод на английский язык заполненных вопросников, полученных на французском языке, в качестве взноса в натуральной форме.</w:t>
      </w:r>
    </w:p>
    <w:p w14:paraId="7361267D" w14:textId="74CD175C" w:rsidR="001401C6" w:rsidRPr="004D1D34" w:rsidRDefault="001401C6" w:rsidP="001401C6">
      <w:pPr>
        <w:pStyle w:val="SingleTxtG"/>
      </w:pPr>
      <w:r>
        <w:t>38.</w:t>
      </w:r>
      <w:r>
        <w:tab/>
        <w:t>Рабочая группа выразила обеспокоенность по поводу общей неудовлетворительной ситуации с представлением Сторонами отчетности с точки зрения соблюдения сроков, в том числе в сравнении с предыдущим циклом отчетности. Она напомнила, что представление отчетности обязательно для всех Сторон Конвенции и Протокола и что непредставление отчетности является вопросом соблюдения. Рабочая группа также напомнила, что в 2020 году совещания Сторон решительно подчеркнул</w:t>
      </w:r>
      <w:r w:rsidR="00FE5494">
        <w:t>и</w:t>
      </w:r>
      <w:r>
        <w:t xml:space="preserve"> важное значение своевременности и высокого качества национальной</w:t>
      </w:r>
      <w:r w:rsidR="00FE5494">
        <w:t xml:space="preserve"> отчетности</w:t>
      </w:r>
      <w:r>
        <w:t>, призвав Стороны представлять отчетность в согласованные сроки</w:t>
      </w:r>
      <w:r w:rsidRPr="001401C6">
        <w:rPr>
          <w:rStyle w:val="aa"/>
        </w:rPr>
        <w:footnoteReference w:id="10"/>
      </w:r>
      <w:r>
        <w:t>, и приняли долгосрочную стратегию, одной из ключевых целей которой является «улучшение отчетности и обзор выполнения»</w:t>
      </w:r>
      <w:r w:rsidR="00FE5494" w:rsidRPr="001401C6">
        <w:rPr>
          <w:rStyle w:val="aa"/>
        </w:rPr>
        <w:footnoteReference w:id="11"/>
      </w:r>
      <w:r>
        <w:t>.</w:t>
      </w:r>
    </w:p>
    <w:p w14:paraId="710E7F6B" w14:textId="480C76F9" w:rsidR="001401C6" w:rsidRPr="004D1D34" w:rsidRDefault="001401C6" w:rsidP="001401C6">
      <w:pPr>
        <w:pStyle w:val="SingleTxtG"/>
      </w:pPr>
      <w:r>
        <w:t>39.</w:t>
      </w:r>
      <w:r>
        <w:tab/>
        <w:t xml:space="preserve">Рабочая группа настоятельно призвала Болгарию, Кипр, Кыргызстан, Лихтенштейн, </w:t>
      </w:r>
      <w:r w:rsidR="00FE5494">
        <w:t>Португалию,</w:t>
      </w:r>
      <w:r w:rsidR="00FE5494">
        <w:t xml:space="preserve"> </w:t>
      </w:r>
      <w:r>
        <w:t xml:space="preserve">Северную Македонию, Сербию и Украину представить свои просроченные доклады об осуществлении Конвенции, а Болгарию, Кипр, Нидерланды, </w:t>
      </w:r>
      <w:r w:rsidR="00FE5494">
        <w:t xml:space="preserve">Португалию, </w:t>
      </w:r>
      <w:r>
        <w:t>Северную Македонию, Сербию и Украину представить свои доклады об осуществлении Протокола как можно скорее и не позднее 31 января 2023 года. Она отметила подтверждение делегациями Нидерландов и Португалии того, что доклады будут представлены, а также пояснение представителя Северной Македонии о том, что доклады страны будут представлены после получения окончательных внутренних разъяснений.</w:t>
      </w:r>
    </w:p>
    <w:p w14:paraId="543B2F5F" w14:textId="213CFF3B" w:rsidR="001401C6" w:rsidRPr="004D1D34" w:rsidRDefault="001401C6" w:rsidP="001401C6">
      <w:pPr>
        <w:pStyle w:val="SingleTxtG"/>
      </w:pPr>
      <w:r>
        <w:t>40.</w:t>
      </w:r>
      <w:r>
        <w:tab/>
        <w:t>Рабочая группа также повторила свою просьбу к Европейскому союзу представить отчетность по Конвенции и Протоколу с использованием вопросников государств-участников, о чем также просил Комитет по осуществлению, настоятельно призвав его представить свои просроченные отчеты как можно скорее, но не позднее 31 января 2023 года. Она приветствовала разработку Комитетом по осуществлению проекта типовых форм отчетности для Европейского союза в консультации с Европейским союзом в 2021–2022 годах и предложил</w:t>
      </w:r>
      <w:r w:rsidR="00FE5494">
        <w:t>а</w:t>
      </w:r>
      <w:r>
        <w:t xml:space="preserve"> секретариату представить их к следующему совещанию в качестве официальных документов.</w:t>
      </w:r>
    </w:p>
    <w:p w14:paraId="7D9520F5" w14:textId="77777777" w:rsidR="001401C6" w:rsidRPr="004D1D34" w:rsidRDefault="001401C6" w:rsidP="001401C6">
      <w:pPr>
        <w:pStyle w:val="SingleTxtG"/>
      </w:pPr>
      <w:r>
        <w:t>41.</w:t>
      </w:r>
      <w:r>
        <w:tab/>
        <w:t>Секретариату также было предложено представить Президиуму информацию о состоянии отчетности в связи с подготовкой Президиумом проекта решений по отчетности и обзору осуществления на его следующем совещании в феврале 2023 года.</w:t>
      </w:r>
    </w:p>
    <w:p w14:paraId="5D1E41DA" w14:textId="3C184CEE" w:rsidR="001401C6" w:rsidRPr="004D1D34" w:rsidRDefault="001401C6" w:rsidP="001401C6">
      <w:pPr>
        <w:pStyle w:val="SingleTxtG"/>
      </w:pPr>
      <w:r>
        <w:t>42.</w:t>
      </w:r>
      <w:r>
        <w:tab/>
        <w:t>Затем Рабочая группа рассмотрела проекты обзоров осуществления Конвенции и Протокола и согласовала их основные выводы. Она также рассмотрел</w:t>
      </w:r>
      <w:r w:rsidR="00FE5494">
        <w:t>а</w:t>
      </w:r>
      <w:r>
        <w:t xml:space="preserve"> и согласовала замечания и поправки делегаций к обоим проектам, касающиеся ответов их стран. Рабочая группа просила секретариат завершить работу над двумя проектами докладов </w:t>
      </w:r>
      <w:r>
        <w:lastRenderedPageBreak/>
        <w:t xml:space="preserve">об обзоре с учетом согласованных замечаний и направить их совещаниям Сторон до начала их следующих сессий. </w:t>
      </w:r>
    </w:p>
    <w:p w14:paraId="6CD122EE" w14:textId="1A490A8D" w:rsidR="001401C6" w:rsidRPr="004D1D34" w:rsidRDefault="001401C6" w:rsidP="001401C6">
      <w:pPr>
        <w:pStyle w:val="SingleTxtG"/>
      </w:pPr>
      <w:r>
        <w:t>43.</w:t>
      </w:r>
      <w:r>
        <w:tab/>
        <w:t>Рабочая группа отметила отсутствие примеров передовой практики в области осуществления Конвенции и Протокола и настоятельно призывала к наработке такой практики, в том числе в рамках нынешнего и предыдущего планов работы. Она напомнила, что и нынешний план работ</w:t>
      </w:r>
      <w:r w:rsidRPr="004D1D34">
        <w:t>,</w:t>
      </w:r>
      <w:r>
        <w:t xml:space="preserve"> и долгосрочная стратегия направлены на то, чтобы сделать обзоры выполнения более информативными и максимально полезными, в том числе для сбора и распространения передового опыта. Рабочая группа выразила благодарность 15 Сторонам Конвенции и 10 Сторонам Протокола за предоставление информации по практическим примерам осуществления договоров в рамках представления своей отчетности</w:t>
      </w:r>
      <w:r w:rsidRPr="001401C6">
        <w:rPr>
          <w:rStyle w:val="aa"/>
        </w:rPr>
        <w:footnoteReference w:id="12"/>
      </w:r>
      <w:r>
        <w:t>, и призвала другие Стороны сделать то же самое в следующий период. Она предложила всем делегациям до февраля или максимум до июня отобрать наиболее актуальные примеры передовой практики для своих стран и предложить способы их представления и дальнейшей доработк</w:t>
      </w:r>
      <w:r w:rsidR="00FE5494">
        <w:t>и</w:t>
      </w:r>
      <w:r>
        <w:t xml:space="preserve"> в период 2024–2026 годов, например, в виде информационных бюллетеней, чтобы максимально повысить их полезность для Сторон и будущих Сторон.</w:t>
      </w:r>
    </w:p>
    <w:p w14:paraId="2E360364" w14:textId="2531DE17" w:rsidR="001401C6" w:rsidRPr="004D1D34" w:rsidRDefault="001401C6" w:rsidP="001401C6">
      <w:pPr>
        <w:pStyle w:val="SingleTxtG"/>
      </w:pPr>
      <w:r>
        <w:t>44.</w:t>
      </w:r>
      <w:r>
        <w:tab/>
        <w:t>Рабочая группа приняла к сведению предложенные улучшения к вопросникам по осуществлению Конвенции и Протокола (ECE/MP.EIA/WG.2/2022/INF.9) и предложила секретариату направить их Комитету по осуществлению для рассмотрения при корректировке вопросников для следующего цикла отчетности. Наконец, она приняла к сведению предложение о том, чтобы Стороны профинансировали услуги консультанта для улучшения структуры и повышения удобства использования вопросников для следующего цикла отчетности.</w:t>
      </w:r>
    </w:p>
    <w:p w14:paraId="692CE1C7" w14:textId="7D5053A4" w:rsidR="001401C6" w:rsidRPr="004D1D34" w:rsidRDefault="001401C6" w:rsidP="001401C6">
      <w:pPr>
        <w:pStyle w:val="H23G"/>
      </w:pPr>
      <w:r>
        <w:rPr>
          <w:bCs/>
        </w:rPr>
        <w:tab/>
        <w:t>3.</w:t>
      </w:r>
      <w:r>
        <w:tab/>
      </w:r>
      <w:r>
        <w:rPr>
          <w:bCs/>
        </w:rPr>
        <w:t>Помощь в законодательной области в целях поддержки осуществления и ратификации</w:t>
      </w:r>
    </w:p>
    <w:p w14:paraId="79DE6FF2" w14:textId="77777777" w:rsidR="001401C6" w:rsidRPr="004D1D34" w:rsidRDefault="001401C6" w:rsidP="001401C6">
      <w:pPr>
        <w:pStyle w:val="SingleTxtG"/>
      </w:pPr>
      <w:r>
        <w:t>45.</w:t>
      </w:r>
      <w:r>
        <w:tab/>
        <w:t>Рабочая группа рассмотрела прогресс в оказании помощи в законодательной сфере, предусмотренной планом работы на 2021–2023 годы, с целью содействия осуществлению двух договоров или присоединению к ним</w:t>
      </w:r>
      <w:r w:rsidRPr="001401C6">
        <w:rPr>
          <w:rStyle w:val="aa"/>
        </w:rPr>
        <w:footnoteReference w:id="13"/>
      </w:r>
      <w:r>
        <w:t>.</w:t>
      </w:r>
    </w:p>
    <w:p w14:paraId="6579A341" w14:textId="77777777" w:rsidR="001401C6" w:rsidRPr="004D1D34" w:rsidRDefault="001401C6" w:rsidP="001401C6">
      <w:pPr>
        <w:pStyle w:val="SingleTxtG"/>
      </w:pPr>
      <w:r>
        <w:t>46.</w:t>
      </w:r>
      <w:r>
        <w:tab/>
        <w:t>Делегации Беларуси, Казахстана, Республики Молдова и Узбекистана предложили сообщить о прогрессе в разработке соответствующего законодательства для осуществления Конвенции и Протокола, а также в случае необходимости в ратификации или присоединении к двум договорам в соответствии с полученными техническими рекомендациями. Рабочая группа предложила Сторонам и будущим Сторонам, которые воспользовались помощью</w:t>
      </w:r>
      <w:r>
        <w:rPr>
          <w:b/>
          <w:bCs/>
        </w:rPr>
        <w:t xml:space="preserve"> </w:t>
      </w:r>
      <w:r>
        <w:t>в законодательной области, завершить реформы своих правовых систем в соответствии с Конвенцией и Протоколом.</w:t>
      </w:r>
    </w:p>
    <w:p w14:paraId="0678D6B3" w14:textId="51ED6428" w:rsidR="001401C6" w:rsidRPr="004D1D34" w:rsidRDefault="001401C6" w:rsidP="001401C6">
      <w:pPr>
        <w:pStyle w:val="SingleTxtG"/>
      </w:pPr>
      <w:r>
        <w:t>47.</w:t>
      </w:r>
      <w:r>
        <w:tab/>
        <w:t>Рабочая группа приветствовала подписание Румынией и Украиной двустороннего соглашения об осуществлении Конвенции 18 ноября 2022 года. Она</w:t>
      </w:r>
      <w:r w:rsidR="006B7275">
        <w:t> </w:t>
      </w:r>
      <w:r>
        <w:t>выразила признательность Европейскому союзу за финансирование программы «ЕС за окружающую среду», а также ЕЭК и ее юридическим консультантам за поддержку в подготовке этого соглашения.</w:t>
      </w:r>
    </w:p>
    <w:p w14:paraId="64D13B96" w14:textId="6F66283E" w:rsidR="001401C6" w:rsidRPr="004D1D34" w:rsidRDefault="001401C6" w:rsidP="001401C6">
      <w:pPr>
        <w:pStyle w:val="HChG"/>
      </w:pPr>
      <w:r>
        <w:rPr>
          <w:bCs/>
        </w:rPr>
        <w:tab/>
        <w:t>V.</w:t>
      </w:r>
      <w:r>
        <w:tab/>
      </w:r>
      <w:r>
        <w:rPr>
          <w:bCs/>
        </w:rPr>
        <w:t>Содействие практическому применению Конвенции и</w:t>
      </w:r>
      <w:r w:rsidR="006B7275">
        <w:rPr>
          <w:bCs/>
        </w:rPr>
        <w:t> </w:t>
      </w:r>
      <w:r>
        <w:rPr>
          <w:bCs/>
        </w:rPr>
        <w:t>Протокола</w:t>
      </w:r>
    </w:p>
    <w:p w14:paraId="49E7C9ED" w14:textId="77777777" w:rsidR="001401C6" w:rsidRPr="004D1D34" w:rsidRDefault="001401C6" w:rsidP="001401C6">
      <w:pPr>
        <w:pStyle w:val="H1G"/>
      </w:pPr>
      <w:r>
        <w:rPr>
          <w:bCs/>
        </w:rPr>
        <w:tab/>
        <w:t>A.</w:t>
      </w:r>
      <w:r>
        <w:tab/>
      </w:r>
      <w:r>
        <w:rPr>
          <w:bCs/>
        </w:rPr>
        <w:t>Субрегиональное сотрудничество и укрепление потенциала</w:t>
      </w:r>
      <w:bookmarkStart w:id="5" w:name="_Hlk90050461"/>
    </w:p>
    <w:bookmarkEnd w:id="5"/>
    <w:p w14:paraId="5C3A5A2B" w14:textId="77777777" w:rsidR="001401C6" w:rsidRPr="004D1D34" w:rsidRDefault="001401C6" w:rsidP="001401C6">
      <w:pPr>
        <w:pStyle w:val="SingleTxtG"/>
      </w:pPr>
      <w:r>
        <w:t>48.</w:t>
      </w:r>
      <w:r>
        <w:tab/>
        <w:t>Рабочая группа рассмотрела прогресс в области осуществления субрегионального сотрудничества и деятельности по укреплению потенциала, предусмотренной в текущем плане работы.</w:t>
      </w:r>
    </w:p>
    <w:p w14:paraId="45A211FE" w14:textId="77777777" w:rsidR="001401C6" w:rsidRPr="004D1D34" w:rsidRDefault="001401C6" w:rsidP="001401C6">
      <w:pPr>
        <w:pStyle w:val="H23G"/>
      </w:pPr>
      <w:r>
        <w:rPr>
          <w:bCs/>
        </w:rPr>
        <w:lastRenderedPageBreak/>
        <w:tab/>
        <w:t>1.</w:t>
      </w:r>
      <w:r>
        <w:tab/>
      </w:r>
      <w:r>
        <w:rPr>
          <w:bCs/>
        </w:rPr>
        <w:t>Морские районы</w:t>
      </w:r>
    </w:p>
    <w:p w14:paraId="7599061A" w14:textId="22E7F7B3" w:rsidR="001401C6" w:rsidRPr="004D1D34" w:rsidRDefault="001401C6" w:rsidP="001401C6">
      <w:pPr>
        <w:pStyle w:val="SingleTxtG"/>
      </w:pPr>
      <w:r>
        <w:t>49.</w:t>
      </w:r>
      <w:r>
        <w:tab/>
        <w:t>Консультант секретариата представил информацию о ходе финансируемой Италией деятельности по выявлению синергии и возможных будущих мероприятий по сотрудничеству в морских регионах с участием шести региональных морских конвенций или комиссий при поддержке секретариата и консультантов. Рабочая группа рассмотрела проект доклада об оценке, который содержит предложения о деятельности по сотрудничеству в морских регионах (ECE/MP.EIA/WG.2/</w:t>
      </w:r>
      <w:r w:rsidR="006B7275">
        <w:br/>
      </w:r>
      <w:r>
        <w:t>2022/INF.10) и приветствовала достигнутый прогресс.</w:t>
      </w:r>
    </w:p>
    <w:p w14:paraId="0A8C0291" w14:textId="2F4B7664" w:rsidR="001401C6" w:rsidRPr="004D1D34" w:rsidRDefault="001401C6" w:rsidP="001401C6">
      <w:pPr>
        <w:pStyle w:val="SingleTxtG"/>
      </w:pPr>
      <w:r>
        <w:t>50.</w:t>
      </w:r>
      <w:r>
        <w:tab/>
        <w:t xml:space="preserve">Рабочая группа просила секретариат и Президиум расставить приоритеты и отобрать предлагаемые виды деятельности для проекта плана работы на </w:t>
      </w:r>
      <w:r w:rsidR="006B7275">
        <w:br/>
      </w:r>
      <w:r>
        <w:t>2024–2026 годы для рассмотрения Рабочей группой на следующем совещании. Она</w:t>
      </w:r>
      <w:r w:rsidR="006B7275">
        <w:t> </w:t>
      </w:r>
      <w:r>
        <w:t>предложила делегациям рассмотреть вопрос о внесении добровольных вкладов в реализацию предложенных видов деятельности и/или предложить другие виды деятельности и уведомить об этом секретариат до следующего совещания Президиума в феврале 2023 года или максимум до следующего совещания Рабочей группы в июне 2023 года.</w:t>
      </w:r>
    </w:p>
    <w:p w14:paraId="384B368A" w14:textId="77777777" w:rsidR="001401C6" w:rsidRPr="004D1D34" w:rsidRDefault="001401C6" w:rsidP="001401C6">
      <w:pPr>
        <w:pStyle w:val="SingleTxtG"/>
      </w:pPr>
      <w:r>
        <w:t>51.</w:t>
      </w:r>
      <w:r>
        <w:tab/>
        <w:t>Рабочая группа приветствовала информационные бюллетени по примерам передовой практики применения Конвенции и Протокола к проектам, планам и программам в морских регионах, подготовленные следующими Сторонами при редакционной поддержке консультантов:</w:t>
      </w:r>
    </w:p>
    <w:p w14:paraId="38781903" w14:textId="46A944EE" w:rsidR="001401C6" w:rsidRPr="004D1D34" w:rsidRDefault="001401C6" w:rsidP="001401C6">
      <w:pPr>
        <w:pStyle w:val="SingleTxtG"/>
        <w:ind w:firstLine="567"/>
      </w:pPr>
      <w:r>
        <w:t>a)</w:t>
      </w:r>
      <w:r>
        <w:tab/>
        <w:t>Польшей (проект «Балтийская труба» и Морской пространственный план в Балтийском море);</w:t>
      </w:r>
    </w:p>
    <w:p w14:paraId="72644980" w14:textId="77777777" w:rsidR="001401C6" w:rsidRPr="004D1D34" w:rsidRDefault="001401C6" w:rsidP="001401C6">
      <w:pPr>
        <w:pStyle w:val="SingleTxtG"/>
        <w:ind w:firstLine="567"/>
      </w:pPr>
      <w:r>
        <w:t>b)</w:t>
      </w:r>
      <w:r>
        <w:tab/>
        <w:t xml:space="preserve">Эстонией (парк ветрогенераторов на острове Сааремаа); </w:t>
      </w:r>
    </w:p>
    <w:p w14:paraId="0C64A34C" w14:textId="77777777" w:rsidR="001401C6" w:rsidRPr="004D1D34" w:rsidRDefault="001401C6" w:rsidP="001401C6">
      <w:pPr>
        <w:pStyle w:val="SingleTxtG"/>
        <w:ind w:firstLine="567"/>
      </w:pPr>
      <w:r>
        <w:t>c)</w:t>
      </w:r>
      <w:r>
        <w:tab/>
        <w:t xml:space="preserve">Словенией (морские пространственные планы в Адриатическом море). </w:t>
      </w:r>
    </w:p>
    <w:p w14:paraId="0BD94E63" w14:textId="77777777" w:rsidR="001401C6" w:rsidRPr="004D1D34" w:rsidRDefault="001401C6" w:rsidP="001401C6">
      <w:pPr>
        <w:pStyle w:val="SingleTxtG"/>
      </w:pPr>
      <w:r>
        <w:t>52.</w:t>
      </w:r>
      <w:r>
        <w:tab/>
        <w:t>Она также приветствовала готовность Италии представить примеры передовой практики и предложила другим Сторонам добровольно сделать это и связаться с секретариатом.</w:t>
      </w:r>
    </w:p>
    <w:p w14:paraId="2AA0F326" w14:textId="77777777" w:rsidR="001401C6" w:rsidRPr="004D1D34" w:rsidRDefault="001401C6" w:rsidP="001401C6">
      <w:pPr>
        <w:pStyle w:val="SingleTxtG"/>
      </w:pPr>
      <w:r>
        <w:t>53.</w:t>
      </w:r>
      <w:r>
        <w:tab/>
        <w:t xml:space="preserve">Рабочая группа отметила доклад представителя Марокко о правовой реформе страны и заинтересованность страны в субрегиональном сотрудничестве и обмене передовым опытом. </w:t>
      </w:r>
    </w:p>
    <w:p w14:paraId="7B9CC1B5" w14:textId="77777777" w:rsidR="001401C6" w:rsidRPr="004D1D34" w:rsidRDefault="001401C6" w:rsidP="001401C6">
      <w:pPr>
        <w:pStyle w:val="SingleTxtG"/>
      </w:pPr>
      <w:r>
        <w:t>54.</w:t>
      </w:r>
      <w:r>
        <w:tab/>
        <w:t>Как обычно, Рабочая группа предложила Сторонам поощрять доноров и разработчиков проектов, планов и программ с вероятным значительным вредным трансграничным воздействием на морские регионы, расположенные в Сторонах, не являющихся участниками Конвенции и Протокола, должным образом оценивать и учитывать это воздействие в рамках соответствующих процессов оценки воздействия на окружающую среду и стратегической экологической оценки.</w:t>
      </w:r>
    </w:p>
    <w:p w14:paraId="47C032D7" w14:textId="77777777" w:rsidR="001401C6" w:rsidRPr="004D1D34" w:rsidRDefault="001401C6" w:rsidP="001401C6">
      <w:pPr>
        <w:pStyle w:val="H23G"/>
      </w:pPr>
      <w:r>
        <w:rPr>
          <w:bCs/>
        </w:rPr>
        <w:tab/>
        <w:t>2.</w:t>
      </w:r>
      <w:r>
        <w:tab/>
      </w:r>
      <w:r>
        <w:rPr>
          <w:bCs/>
        </w:rPr>
        <w:t>Балтийское море</w:t>
      </w:r>
    </w:p>
    <w:p w14:paraId="336B4623" w14:textId="77777777" w:rsidR="001401C6" w:rsidRPr="004D1D34" w:rsidRDefault="001401C6" w:rsidP="001401C6">
      <w:pPr>
        <w:pStyle w:val="SingleTxtG"/>
      </w:pPr>
      <w:r>
        <w:t>55.</w:t>
      </w:r>
      <w:r>
        <w:tab/>
        <w:t>Рабочая группа приветствовала доклад представителя Польши об итогах двенадцатого субрегионального совещания по Балтийскому морю в рамках Конвенции и Протокола, организованном Польшей (Варшава (в гибридном формате), 14–15 июня 2022 года)</w:t>
      </w:r>
      <w:r w:rsidRPr="001401C6">
        <w:rPr>
          <w:rStyle w:val="aa"/>
        </w:rPr>
        <w:footnoteReference w:id="14"/>
      </w:r>
      <w:r>
        <w:t xml:space="preserve">. </w:t>
      </w:r>
    </w:p>
    <w:p w14:paraId="356E7300" w14:textId="77777777" w:rsidR="001401C6" w:rsidRPr="004D1D34" w:rsidRDefault="001401C6" w:rsidP="001401C6">
      <w:pPr>
        <w:pStyle w:val="H23G"/>
      </w:pPr>
      <w:r>
        <w:rPr>
          <w:bCs/>
        </w:rPr>
        <w:tab/>
        <w:t>3.</w:t>
      </w:r>
      <w:r>
        <w:tab/>
      </w:r>
      <w:r>
        <w:rPr>
          <w:bCs/>
        </w:rPr>
        <w:t>Восточная Европа и Кавказ</w:t>
      </w:r>
    </w:p>
    <w:p w14:paraId="693E8902" w14:textId="57DC26E7" w:rsidR="001401C6" w:rsidRPr="004D1D34" w:rsidRDefault="001401C6" w:rsidP="001401C6">
      <w:pPr>
        <w:pStyle w:val="SingleTxtG"/>
        <w:rPr>
          <w:b/>
        </w:rPr>
      </w:pPr>
      <w:r>
        <w:t>56.</w:t>
      </w:r>
      <w:r>
        <w:tab/>
        <w:t>Секретариат сообщил об итогах второго субрегионального рабочего совещания по практическому применению стратегической экологической оценки и оценки трансграничного воздействия на окружающую среду (Восточная Европа и Кавказ) (в</w:t>
      </w:r>
      <w:r w:rsidR="006B7275">
        <w:t> </w:t>
      </w:r>
      <w:r>
        <w:t xml:space="preserve">онлайновом формате, 29 июня 2022 года), которое он организовал при финансировании в рамках программы Европейского союза «ЕС за окружающую </w:t>
      </w:r>
      <w:r>
        <w:lastRenderedPageBreak/>
        <w:t>среду» и привлечении консультантов</w:t>
      </w:r>
      <w:r w:rsidRPr="001401C6">
        <w:rPr>
          <w:rStyle w:val="aa"/>
        </w:rPr>
        <w:footnoteReference w:id="15"/>
      </w:r>
      <w:r>
        <w:t>. Рабочая группа приветствовала эту информацию.</w:t>
      </w:r>
    </w:p>
    <w:p w14:paraId="1F1B12E8" w14:textId="77777777" w:rsidR="001401C6" w:rsidRPr="004D1D34" w:rsidRDefault="001401C6" w:rsidP="001401C6">
      <w:pPr>
        <w:pStyle w:val="H1G"/>
      </w:pPr>
      <w:r>
        <w:rPr>
          <w:bCs/>
        </w:rPr>
        <w:tab/>
        <w:t>B.</w:t>
      </w:r>
      <w:r>
        <w:tab/>
      </w:r>
      <w:r>
        <w:rPr>
          <w:bCs/>
        </w:rPr>
        <w:t>Обмен информацией о надлежащей практике</w:t>
      </w:r>
    </w:p>
    <w:p w14:paraId="6CB10773" w14:textId="32512055" w:rsidR="001401C6" w:rsidRPr="004D1D34" w:rsidRDefault="001401C6" w:rsidP="001401C6">
      <w:pPr>
        <w:pStyle w:val="SingleTxtG"/>
      </w:pPr>
      <w:r>
        <w:t>57.</w:t>
      </w:r>
      <w:r>
        <w:tab/>
        <w:t>Рабочая группа рассмотрела возможность проведения полдневных или полнодневных тематических рабочих совещаний или семинаров в 2023 году, посвященных обмену передовым опытом по выбранным темам в плане работы на 2021–2023 годы, которые должны быть организованы на добровольной основе Сторонами или заинтересованными субъектами</w:t>
      </w:r>
      <w:r w:rsidRPr="001401C6">
        <w:rPr>
          <w:rStyle w:val="aa"/>
        </w:rPr>
        <w:footnoteReference w:id="16"/>
      </w:r>
      <w:r>
        <w:t>. Такие мероприятия могут быть проведены в ходе двенадцатого заседания Рабочей группы (Женева, 13–15 июня 2023</w:t>
      </w:r>
      <w:r w:rsidR="006B7275">
        <w:rPr>
          <w:lang w:val="en-US"/>
        </w:rPr>
        <w:t> </w:t>
      </w:r>
      <w:r>
        <w:t>года) и следующих сессий (общего сегмента и сегмента высокого уровня) Совещаний Сторон.</w:t>
      </w:r>
    </w:p>
    <w:p w14:paraId="5E77B751" w14:textId="77777777" w:rsidR="001401C6" w:rsidRPr="004D1D34" w:rsidRDefault="001401C6" w:rsidP="001401C6">
      <w:pPr>
        <w:pStyle w:val="SingleTxtG"/>
      </w:pPr>
      <w:r>
        <w:t>58.</w:t>
      </w:r>
      <w:r>
        <w:tab/>
        <w:t>После обсуждения предложений Президиума по приоритетным темам для тематических мероприятий, которые будут проведены в ходе следующих сессий совещаний Сторон, Рабочая группа постановила, что мероприятие на сегменте высокого уровня сессии должно быть посвящено энергетическому переходу в сочетании с экономикой замкнутого цикла. Она выразила признательность Италии за оказание консультативной поддержки в организации мероприятия высокого уровня и подготовке справочного документа. Она также поблагодарила Испанию, МАОВ, ВОЗ и Сеть по наблюдению за прозрачностью в ядерной области за их предложения по поддержке организации мероприятия. Президиуму, при содействии секретариата, было предложено определить ключевые вопросы по энергетическому переходу, которые должны быть рассмотрены на мероприятии.</w:t>
      </w:r>
    </w:p>
    <w:p w14:paraId="31C09809" w14:textId="67D98A6B" w:rsidR="001401C6" w:rsidRPr="004D1D34" w:rsidRDefault="001401C6" w:rsidP="001401C6">
      <w:pPr>
        <w:pStyle w:val="SingleTxtG"/>
      </w:pPr>
      <w:r>
        <w:t>59.</w:t>
      </w:r>
      <w:r>
        <w:tab/>
        <w:t xml:space="preserve">Затем Рабочая группа определила «зеленое» финансирование в качестве темы для мероприятия, которое будет проведено в рамках общего сегмента следующих сессий совещаний Сторон, при условии, что какая-либо Сторона или организация возьмут на себя инициативу по его организации. Она приветствовала предложение Европейского инвестиционного банка участвовать в работе. </w:t>
      </w:r>
      <w:bookmarkStart w:id="6" w:name="_Hlk124351727"/>
      <w:bookmarkEnd w:id="6"/>
    </w:p>
    <w:p w14:paraId="4495638A" w14:textId="022D2F02" w:rsidR="001401C6" w:rsidRPr="004D1D34" w:rsidRDefault="001401C6" w:rsidP="001401C6">
      <w:pPr>
        <w:pStyle w:val="SingleTxtG"/>
      </w:pPr>
      <w:r>
        <w:t>60.</w:t>
      </w:r>
      <w:r>
        <w:tab/>
        <w:t>Рабочая группа приняла к сведению выраженную делегацией Беларуси потребность в проведении в июне в ходе совещания Рабочей группы семинара по оценке географических и технологических альтернатив предлагаемому виду деятельности (в документации по оценке воздействия на окружающую среду) и</w:t>
      </w:r>
      <w:r w:rsidR="006B7275">
        <w:rPr>
          <w:lang w:val="en-US"/>
        </w:rPr>
        <w:t> </w:t>
      </w:r>
      <w:r>
        <w:t>предложила делегациям совместно с Беларусью организовать это мероприятие и/или предоставить финансирование.</w:t>
      </w:r>
    </w:p>
    <w:p w14:paraId="32188FE8" w14:textId="77777777" w:rsidR="001401C6" w:rsidRPr="004D1D34" w:rsidRDefault="001401C6" w:rsidP="001401C6">
      <w:pPr>
        <w:pStyle w:val="SingleTxtG"/>
      </w:pPr>
      <w:r>
        <w:t>61.</w:t>
      </w:r>
      <w:r>
        <w:tab/>
        <w:t>Рабочая группа также приняла к сведению предложение о проведении параллельного мероприятия по биоразнообразию в ходе двенадцатого заседания Рабочей группы в июне 2023 года и обратилась с просьбой организовать его на добровольной основе.</w:t>
      </w:r>
    </w:p>
    <w:p w14:paraId="73558AE6" w14:textId="1F98CCB4" w:rsidR="001401C6" w:rsidRPr="004D1D34" w:rsidRDefault="001401C6" w:rsidP="001401C6">
      <w:pPr>
        <w:pStyle w:val="SingleTxtG"/>
      </w:pPr>
      <w:r>
        <w:t>62.</w:t>
      </w:r>
      <w:r>
        <w:tab/>
        <w:t>Рабочая группа отметила, что в связи с острой нехваткой кадров в секретариате без добровольной инициативы по организации тематических мероприятий на следующем совещании Рабочей группы и на общем сегменте следующих сессий Совещаний Сторон указанные мероприятия не смогут быть проведены. То же самое касалось и параллельных мероприятий. Рабочая группа предложила делегациям, взявшим на себя инициативу на добровольной основе организовать семинар в июне 2023 года, связаться с секретариатом в январе 2023 года, а желающим сделать это в ходе общего сегмента сессий Совещаний Сторон — связаться с ним до июня 2023 года.</w:t>
      </w:r>
      <w:bookmarkStart w:id="7" w:name="_Hlk124351890"/>
      <w:bookmarkEnd w:id="7"/>
    </w:p>
    <w:p w14:paraId="33BE8EAB" w14:textId="77777777" w:rsidR="001401C6" w:rsidRPr="004D1D34" w:rsidRDefault="001401C6" w:rsidP="001401C6">
      <w:pPr>
        <w:pStyle w:val="SingleTxtG"/>
      </w:pPr>
      <w:r>
        <w:t>63.</w:t>
      </w:r>
      <w:r>
        <w:tab/>
        <w:t xml:space="preserve">Рабочая группа напомнила, что в части обмена передовой практикой план работы также предусматривает подготовку Сторонами информационных бюллетеней о практике применения ими Конвенции и/или Протокола и, при наличии финансирования, создания онлайновой базы данных или компиляции надлежащей </w:t>
      </w:r>
      <w:r>
        <w:lastRenderedPageBreak/>
        <w:t>практики</w:t>
      </w:r>
      <w:r w:rsidRPr="001401C6">
        <w:rPr>
          <w:rStyle w:val="aa"/>
        </w:rPr>
        <w:footnoteReference w:id="17"/>
      </w:r>
      <w:r>
        <w:t>. В этом контексте она вновь приветствовала выделение финансирования Италией в рамках деятельности по морскому сотрудничеству для сбора и компиляции соответствующей передовой практики, а также предоставление примеров надлежащей практики Сторонами в рамках их отчетности, которые могут послужить основой для подготовки информационных бюллетеней в будущем.</w:t>
      </w:r>
    </w:p>
    <w:p w14:paraId="30740C5D" w14:textId="77777777" w:rsidR="001401C6" w:rsidRPr="004D1D34" w:rsidRDefault="001401C6" w:rsidP="001401C6">
      <w:pPr>
        <w:pStyle w:val="SingleTxtG"/>
      </w:pPr>
      <w:r w:rsidRPr="004D1D34">
        <w:t>64.</w:t>
      </w:r>
      <w:r w:rsidRPr="004D1D34">
        <w:tab/>
        <w:t xml:space="preserve">Рабочая группа предложила Сторонам и заинтересованным участникам представить дополнительные примеры передовой практики и финансирования консультантов и сотрудников секретариата для подготовки онлайновой базы данных или </w:t>
      </w:r>
      <w:r>
        <w:t>подборки</w:t>
      </w:r>
      <w:r w:rsidRPr="004D1D34">
        <w:t xml:space="preserve">/компиляции </w:t>
      </w:r>
      <w:r>
        <w:t xml:space="preserve">примеров </w:t>
      </w:r>
      <w:r w:rsidRPr="004D1D34">
        <w:t>передовой практики.</w:t>
      </w:r>
    </w:p>
    <w:p w14:paraId="6F0B283E" w14:textId="77777777" w:rsidR="001401C6" w:rsidRPr="004D1D34" w:rsidRDefault="001401C6" w:rsidP="001401C6">
      <w:pPr>
        <w:pStyle w:val="H1G"/>
      </w:pPr>
      <w:r>
        <w:rPr>
          <w:bCs/>
        </w:rPr>
        <w:tab/>
        <w:t>C.</w:t>
      </w:r>
      <w:r>
        <w:tab/>
      </w:r>
      <w:r>
        <w:rPr>
          <w:bCs/>
        </w:rPr>
        <w:t>Укрепление потенциала</w:t>
      </w:r>
    </w:p>
    <w:p w14:paraId="1A13D846" w14:textId="77777777" w:rsidR="001401C6" w:rsidRPr="004D1D34" w:rsidRDefault="001401C6" w:rsidP="001401C6">
      <w:pPr>
        <w:pStyle w:val="H23G"/>
      </w:pPr>
      <w:r>
        <w:rPr>
          <w:bCs/>
        </w:rPr>
        <w:tab/>
        <w:t>1.</w:t>
      </w:r>
      <w:r>
        <w:tab/>
      </w:r>
      <w:r>
        <w:rPr>
          <w:bCs/>
        </w:rPr>
        <w:t>Проект руководства по оценке воздействия на здоровье при проведении стратегической экологической оценки</w:t>
      </w:r>
    </w:p>
    <w:p w14:paraId="065CB1C0" w14:textId="438316AB" w:rsidR="001401C6" w:rsidRPr="004D1D34" w:rsidRDefault="001401C6" w:rsidP="001401C6">
      <w:pPr>
        <w:pStyle w:val="SingleTxtG"/>
      </w:pPr>
      <w:r>
        <w:t>65.</w:t>
      </w:r>
      <w:r>
        <w:tab/>
        <w:t>Рабочая группа напомнила, что в 2017 году совещания Сторон поручили подготовить руководство по оценке здоровья при проведении стратегической экологической оценки в период 2017</w:t>
      </w:r>
      <w:r w:rsidR="006B7275" w:rsidRPr="006B7275">
        <w:t>–</w:t>
      </w:r>
      <w:r>
        <w:t>2020 годов</w:t>
      </w:r>
      <w:r w:rsidRPr="001401C6">
        <w:rPr>
          <w:rStyle w:val="aa"/>
        </w:rPr>
        <w:footnoteReference w:id="18"/>
      </w:r>
      <w:r>
        <w:t xml:space="preserve"> во исполнение просьбы шести стран Восточной Европы и Кавказа предоставить руководство по этой теме, в том числе на субрегиональной конференции, проведенной в Кахетии, Грузия, 2</w:t>
      </w:r>
      <w:r w:rsidR="006B7275" w:rsidRPr="006B7275">
        <w:t>–</w:t>
      </w:r>
      <w:r>
        <w:t>6 ноября 2015 года при финансировании со стороны Европейского союза в рамках программы «Экологизация экономик стран Восточного соседства»</w:t>
      </w:r>
      <w:r w:rsidRPr="001401C6">
        <w:rPr>
          <w:rStyle w:val="aa"/>
        </w:rPr>
        <w:footnoteReference w:id="19"/>
      </w:r>
      <w:r>
        <w:t xml:space="preserve">. </w:t>
      </w:r>
      <w:bookmarkStart w:id="8" w:name="_Hlk124261550"/>
      <w:bookmarkEnd w:id="8"/>
    </w:p>
    <w:p w14:paraId="2D1BCEB2" w14:textId="31C1A3C4" w:rsidR="001401C6" w:rsidRPr="00B554D8" w:rsidRDefault="001401C6" w:rsidP="001401C6">
      <w:pPr>
        <w:pStyle w:val="SingleTxtG"/>
      </w:pPr>
      <w:r>
        <w:t>66.</w:t>
      </w:r>
      <w:r>
        <w:tab/>
        <w:t>Кроме того, Рабочая группа отметила, что многие будущие Стороны Протокола, в том числе в Центральной Азии и за пределами региона ЕЭК, нуждаются в руководстве при разработке законодательства и практики стратегической экологической оценки, в том числе в отношении оценки воздействия на здоровье и участия органов здравоохранения. Рабочая группа также подчеркнула, что Стороны, включая государства</w:t>
      </w:r>
      <w:r w:rsidR="00FE5494">
        <w:t xml:space="preserve"> — </w:t>
      </w:r>
      <w:r>
        <w:t>члены Европейского союза, имеющие относительно более богатый опыт в области проведения стратегической экологической оценки, могут столкнуться с проблемами в этой области. Рабочая группа также отметила, что в целом вопросы оценки здоровья в стратегической экологической оценке могут стать вопросами соблюдения, на которые будет предложено ответить Комитету по осуществлению и, в конечном итоге, Совещанию Сторон.</w:t>
      </w:r>
      <w:bookmarkStart w:id="9" w:name="_Hlk124266616"/>
      <w:bookmarkEnd w:id="9"/>
    </w:p>
    <w:p w14:paraId="1ED54221" w14:textId="77777777" w:rsidR="001401C6" w:rsidRPr="004D1D34" w:rsidRDefault="001401C6" w:rsidP="001401C6">
      <w:pPr>
        <w:pStyle w:val="SingleTxtG"/>
      </w:pPr>
      <w:r>
        <w:t>67.</w:t>
      </w:r>
      <w:r>
        <w:tab/>
        <w:t>Рабочая группа высоко оценила видеофильм Министерства окружающей среды и энергетической безопасности Италии об оценке рисков для здоровья человека при проведении экологических оценок, который Министерство подготовило вместе с тремя другими видеофильмами для повышения осведомленности всех заинтересованных сторон, проводящих экологические оценки, о важности экологических оценок для устойчивого развития. Этот фильм был показан в ходе совещания на итальянском языке с субтитрами на английском языке</w:t>
      </w:r>
      <w:r w:rsidRPr="001401C6">
        <w:rPr>
          <w:rStyle w:val="aa"/>
        </w:rPr>
        <w:footnoteReference w:id="20"/>
      </w:r>
      <w:r>
        <w:t>. Делегация Италии в своем вступительном слове к видеофильму отметила, что ее страна при проведении экологических оценок уделяет большое внимание вопросу здоровья человека и в полной мере учитывает его при разработке новых планов, программ и проектов.</w:t>
      </w:r>
    </w:p>
    <w:p w14:paraId="7656C00E" w14:textId="598394DA" w:rsidR="001401C6" w:rsidRPr="004D1D34" w:rsidRDefault="001401C6" w:rsidP="001401C6">
      <w:pPr>
        <w:pStyle w:val="SingleTxtG"/>
      </w:pPr>
      <w:r>
        <w:t>68.</w:t>
      </w:r>
      <w:r>
        <w:tab/>
        <w:t>Рабочая группа напомнила, что был разработан проект руководства при финансовой помощи со стороны Европейского инвестиционного банка и на основе круга ведения, который Рабочая группа приветствовала в мае 2018 года</w:t>
      </w:r>
      <w:r w:rsidRPr="001401C6">
        <w:rPr>
          <w:rStyle w:val="aa"/>
        </w:rPr>
        <w:footnoteReference w:id="21"/>
      </w:r>
      <w:r>
        <w:t xml:space="preserve">, а также в </w:t>
      </w:r>
      <w:r>
        <w:lastRenderedPageBreak/>
        <w:t>консультации с Президиумом, Рабочей группой и ВОЗ и при поддержке целевой группы и секретариата. Проект был рассмотрен на восьмом совещании Рабочей группы (Женева, 26–28 ноября 2019 года)</w:t>
      </w:r>
      <w:r w:rsidRPr="001401C6">
        <w:rPr>
          <w:rStyle w:val="aa"/>
        </w:rPr>
        <w:footnoteReference w:id="22"/>
      </w:r>
      <w:r>
        <w:t xml:space="preserve">, пересмотрен с учетом высказанных замечаний и после этого доработан целевой группой, представляющей Австрию, Ирландию, Словению и Финляндию. В начале 2020 года, после внесения окончательных изменений, Президиум согласовал пересмотренный проект и направило его в Рабочую группу. Однако на своем девятом совещании (Женева, </w:t>
      </w:r>
      <w:r w:rsidR="006B7275">
        <w:br/>
      </w:r>
      <w:r>
        <w:t>24–26 августа 2020 года) Рабочая группа приняла решение не направлять проект Совещанию Сторон Протокола на его сессии в декабре 2020 года, поскольку Европейский союз и его государства-члены сочли, что проект документа требует дополнительной проработки</w:t>
      </w:r>
      <w:r w:rsidRPr="001401C6">
        <w:rPr>
          <w:rStyle w:val="aa"/>
        </w:rPr>
        <w:footnoteReference w:id="23"/>
      </w:r>
      <w:r>
        <w:t xml:space="preserve">. </w:t>
      </w:r>
    </w:p>
    <w:p w14:paraId="7912D1A4" w14:textId="77777777" w:rsidR="001401C6" w:rsidRPr="004D1D34" w:rsidRDefault="001401C6" w:rsidP="001401C6">
      <w:pPr>
        <w:pStyle w:val="SingleTxtG"/>
      </w:pPr>
      <w:r>
        <w:t>69.</w:t>
      </w:r>
      <w:r>
        <w:tab/>
        <w:t>В 2020 году совещания Сторон приветствовали разработку проекта руководства и взяли на себя обязательство завершить эту работу в 2021–2023 годах, при условии наличия ресурсов, до официального принятия руководящего документа на следующей сессии Совещания Сторон Протокола</w:t>
      </w:r>
      <w:r w:rsidRPr="001401C6">
        <w:rPr>
          <w:rStyle w:val="aa"/>
        </w:rPr>
        <w:footnoteReference w:id="24"/>
      </w:r>
      <w:r>
        <w:t>. С этой целью Сторонам было предложено предоставить экспертные знания в натуральной форме</w:t>
      </w:r>
      <w:r w:rsidRPr="001401C6">
        <w:rPr>
          <w:rStyle w:val="aa"/>
        </w:rPr>
        <w:footnoteReference w:id="25"/>
      </w:r>
      <w:r>
        <w:t xml:space="preserve">. </w:t>
      </w:r>
      <w:bookmarkStart w:id="10" w:name="_Hlk124433692"/>
      <w:bookmarkEnd w:id="10"/>
    </w:p>
    <w:p w14:paraId="62018AD2" w14:textId="784497DC" w:rsidR="001401C6" w:rsidRPr="004D1D34" w:rsidRDefault="001401C6" w:rsidP="001401C6">
      <w:pPr>
        <w:pStyle w:val="SingleTxtG"/>
      </w:pPr>
      <w:r>
        <w:t>70.</w:t>
      </w:r>
      <w:r>
        <w:tab/>
        <w:t>Рабочая группа выразила признательность Председателю Президиума за вопросы, касающиеся Протокола, и другим членам Президиума, добровольно взявших на себя инициативу по редактированию проекта руководства в целях учета замечаний, высказанных Европейским союзом и его государствами-членами на прошлом совещании Рабочей группы (Женева, 1–3 декабря 2021 года).</w:t>
      </w:r>
    </w:p>
    <w:p w14:paraId="70377912" w14:textId="59C6BD97" w:rsidR="001401C6" w:rsidRPr="004D1D34" w:rsidRDefault="001401C6" w:rsidP="001401C6">
      <w:pPr>
        <w:pStyle w:val="SingleTxtG"/>
      </w:pPr>
      <w:r>
        <w:t>71.</w:t>
      </w:r>
      <w:r>
        <w:tab/>
        <w:t>После подробного представления пересмотренного проекта (ECE/MP.EIA/WG.2/2022/INF.13) Председателем Президиума по вопросам Протокола было проведено обсуждение. Делегации Грузии и Казахстана заявили о том, что им необходимо руководство, в том числе на русском языке, а представитель Европейского инвестиционного банка рекомендовал завершить важную работу, которую он финансировал с самого раннего этапа. В то же время Европейский союз и его государства-члены отметили, что они пока не могут согласовать пересмотренный проект руководства из-за нерешенных основополагающих вопросов, касающихся определения термина «здоровье» и сферы применения руководства. Делегация ВОЗ выразила сожаление по поводу неспособности делегации Европейского союза согласовать проект и рекомендовала ей сделать это. Для содействия достижению консенсуса она предложила, если это потребуется, чтобы в проекте руководства вместо «общественного здоровья» упоминалось «здоровье человека». Представитель МАОВ рекомендовал Европейскому союзу и его государствам-членам включить оговорку относительно определения понятия «здоровье», чтобы дать возможность завершить работу над руководством.</w:t>
      </w:r>
    </w:p>
    <w:p w14:paraId="1B2C9F21" w14:textId="77777777" w:rsidR="001401C6" w:rsidRPr="004D1D34" w:rsidRDefault="001401C6" w:rsidP="001401C6">
      <w:pPr>
        <w:pStyle w:val="SingleTxtG"/>
      </w:pPr>
      <w:r>
        <w:t>72.</w:t>
      </w:r>
      <w:r>
        <w:tab/>
        <w:t>Рабочая группа приняла к сведению сделанные заявления. Она выразила сожаление, что Европейский союз и его государства-члены пока не могут согласовать пересмотренный проект руководства и что они не представили никаких предложений по поправкам для рассмотрения Рабочей группой. Рабочая группа подчеркнула, что вклад Европейского союза и его государств-членов является определяющим для завершения подготовки руководства на основе выявленных делегацией потребностей в области развития, учитывая также то, что другие Стороны имеют значительно менее богатый опыт в применении Протокола и многие из них сами обратились с просьбой представить руководство по рассматриваемой теме.</w:t>
      </w:r>
    </w:p>
    <w:p w14:paraId="19E16492" w14:textId="27F2504E" w:rsidR="001401C6" w:rsidRPr="004D1D34" w:rsidRDefault="001401C6" w:rsidP="001401C6">
      <w:pPr>
        <w:pStyle w:val="SingleTxtG"/>
      </w:pPr>
      <w:r>
        <w:t>73.</w:t>
      </w:r>
      <w:r>
        <w:tab/>
        <w:t xml:space="preserve">Рабочая группа приняла к сведению заявления Европейского союза и его государств-членов, в которых они выразили готовность представить конкретные предложения по изменению отдельных разделов руководства до 31 января 2023 года и </w:t>
      </w:r>
      <w:r>
        <w:lastRenderedPageBreak/>
        <w:t xml:space="preserve">предложили опубликовать «улучшенный» неофициальный проект документа на </w:t>
      </w:r>
      <w:r w:rsidR="00FE5494">
        <w:br/>
      </w:r>
      <w:r>
        <w:t xml:space="preserve">веб-сайте ЕЭК. </w:t>
      </w:r>
    </w:p>
    <w:p w14:paraId="76DBF5A0" w14:textId="07FB8399" w:rsidR="001401C6" w:rsidRPr="004D1D34" w:rsidRDefault="001401C6" w:rsidP="001401C6">
      <w:pPr>
        <w:pStyle w:val="SingleTxtG"/>
      </w:pPr>
      <w:r>
        <w:t>74.</w:t>
      </w:r>
      <w:r>
        <w:tab/>
        <w:t>Как подчеркнула Рабочая группа, чтобы быть полезным для основных стран-бенефициаров, руководство должно быть в обязательном порядке переведено на русский язык. Она настоятельно призвала все Стороны, при условии наличия ресурсов, приложить дополнительные усилия для выполнения просьбы совещаний Сторон в 2020 году о завершении работы над проектом руководства до сессии Совещания Сторон Протокола в 2023 году. С этой целью она предложила представить замечания к проекту пересмотренного руководства до 31 января 2023 года для рассмотрения Президиумом на его совещании в феврале 2023 года.</w:t>
      </w:r>
    </w:p>
    <w:p w14:paraId="6F6AEAFE" w14:textId="77777777" w:rsidR="001401C6" w:rsidRPr="004D1D34" w:rsidRDefault="001401C6" w:rsidP="001401C6">
      <w:pPr>
        <w:pStyle w:val="SingleTxtG"/>
      </w:pPr>
      <w:r>
        <w:t>75.</w:t>
      </w:r>
      <w:r>
        <w:tab/>
        <w:t>Рабочая группа постановила продолжить обсуждение на своем следующем совещании с учетом предложений по текстуальным поправкам и любых других замечаний, которые будут представлены делегациями до совещания Президиума.</w:t>
      </w:r>
    </w:p>
    <w:p w14:paraId="73C5F374" w14:textId="0660A957" w:rsidR="001401C6" w:rsidRPr="004D1D34" w:rsidRDefault="001401C6" w:rsidP="001401C6">
      <w:pPr>
        <w:pStyle w:val="SingleTxtG"/>
      </w:pPr>
      <w:r>
        <w:t>76.</w:t>
      </w:r>
      <w:r>
        <w:tab/>
        <w:t>Секретариат проинформировал совещание, что по просьбе стран-бенефициаров в ходе субрегионального семинара для стран Восточной Европы и Кавказа, который был проведен в июне 2022 года при финансовой поддержки со стороны программы «ЕС за окружающую среду» (см. п</w:t>
      </w:r>
      <w:r w:rsidR="00042270">
        <w:t>ункт</w:t>
      </w:r>
      <w:r>
        <w:t xml:space="preserve"> 56 выше), рассмотрел несколько их вопросов по оценке здоровья в стратегической экологической оценке. Секретариат также пояснил, что в будущем программа «ЕС за окружающую среду» практически не будет иметь возможности выступать в качестве платформы для оказания дальнейшей помощи по рассматриваемой теме. Недавно эта программа была продлена до конца 2023 года без выделения дополнительных средств из бюджета, а остаток средств на последний год реализации уже был ассигнован на такие мероприятия, как пилотные проекты, которые были согласованы со странами-бенефициарами и донором. </w:t>
      </w:r>
    </w:p>
    <w:p w14:paraId="0C19999D" w14:textId="77777777" w:rsidR="001401C6" w:rsidRPr="004D1D34" w:rsidRDefault="001401C6" w:rsidP="001401C6">
      <w:pPr>
        <w:pStyle w:val="SingleTxtG"/>
      </w:pPr>
      <w:r>
        <w:t>77.</w:t>
      </w:r>
      <w:r>
        <w:tab/>
        <w:t>Рабочая группа поблагодарила ВОЗ за публикацию тематических исследований по вопросу учета аспектов здоровья при проведении оценки воздействия на окружающую среду и стратегической оценки последствий для окружающей среды в регионе ВОЗ</w:t>
      </w:r>
      <w:r w:rsidRPr="001401C6">
        <w:rPr>
          <w:rStyle w:val="aa"/>
        </w:rPr>
        <w:footnoteReference w:id="26"/>
      </w:r>
      <w:r>
        <w:t xml:space="preserve"> в дополнение к примерам, содержащимся в приложении к проекту руководства. Публикация ВОЗ была также выпущена на русском языке. </w:t>
      </w:r>
    </w:p>
    <w:p w14:paraId="4D26C1E0" w14:textId="77777777" w:rsidR="001401C6" w:rsidRPr="004D1D34" w:rsidRDefault="001401C6" w:rsidP="001401C6">
      <w:pPr>
        <w:pStyle w:val="SingleTxtG"/>
      </w:pPr>
      <w:r>
        <w:t>78.</w:t>
      </w:r>
      <w:r>
        <w:tab/>
        <w:t>Рабочая группа предложила всем Сторонам представить соответствующие примеры надлежащей практики до следующих сессий совещаний Сторон и/или в следующий межсессионный период.</w:t>
      </w:r>
    </w:p>
    <w:p w14:paraId="62E87DCC" w14:textId="77777777" w:rsidR="001401C6" w:rsidRPr="004D1D34" w:rsidRDefault="001401C6" w:rsidP="001401C6">
      <w:pPr>
        <w:pStyle w:val="H23G"/>
      </w:pPr>
      <w:r>
        <w:rPr>
          <w:bCs/>
        </w:rPr>
        <w:tab/>
        <w:t>2.</w:t>
      </w:r>
      <w:r>
        <w:tab/>
      </w:r>
      <w:r>
        <w:rPr>
          <w:bCs/>
        </w:rPr>
        <w:t>Деятельность в странах Восточной Европы и Кавказа</w:t>
      </w:r>
      <w:r>
        <w:t xml:space="preserve"> </w:t>
      </w:r>
    </w:p>
    <w:p w14:paraId="0C2EE9A2" w14:textId="2165C6B5" w:rsidR="001401C6" w:rsidRPr="004D1D34" w:rsidRDefault="001401C6" w:rsidP="001401C6">
      <w:pPr>
        <w:pStyle w:val="SingleTxtG"/>
      </w:pPr>
      <w:r>
        <w:t>79.</w:t>
      </w:r>
      <w:r>
        <w:tab/>
        <w:t>Рабочая группа приняла к сведению обновленную информацию секретариата о планировании и реализации мероприятий по наращиванию потенциала, финансируемых по программе «ЕС за окружающую среду», в частности, пилотных проектов по стратегической экологической оценке, а также дополнительную информацию о ходе реализации пилотного проекта, представленную делегацией Азербайджана. Он также отметил заинтересованность ПРООН в обмене информацией с ЕЭК о реализации пилотных проектов по стратегической экологической оценке с целью высвобождения синергии со стратегическими и социальными оценками ПРООН, запланированными в соответствующих странах.</w:t>
      </w:r>
    </w:p>
    <w:p w14:paraId="7EC59C40" w14:textId="57352A0C" w:rsidR="001401C6" w:rsidRPr="004D1D34" w:rsidRDefault="001401C6" w:rsidP="001401C6">
      <w:pPr>
        <w:pStyle w:val="SingleTxtG"/>
      </w:pPr>
      <w:r>
        <w:t>80.</w:t>
      </w:r>
      <w:r>
        <w:tab/>
        <w:t>Рабочая группа также отметила результаты профинансированного Германией проекта по повышению квалификации НПО в регионах Восточной Европы, Кавказа и Центральной Азии для участия в процедурах в соответствии с Протоколом ЕЭК по стратегической экологической оценке, который реализовал Европейский Эко-Форум в партнерстве с ресурсно-аналитическим центром «Общество и окружающая среда» (Украина) и ЭКОБЮРО — Альянс австрийского природоохранного движения в период с апреля 2021 до конца 2022 года.</w:t>
      </w:r>
    </w:p>
    <w:p w14:paraId="7E08507D" w14:textId="77777777" w:rsidR="001401C6" w:rsidRPr="004D1D34" w:rsidRDefault="001401C6" w:rsidP="001401C6">
      <w:pPr>
        <w:pStyle w:val="H23G"/>
      </w:pPr>
      <w:r>
        <w:rPr>
          <w:bCs/>
        </w:rPr>
        <w:lastRenderedPageBreak/>
        <w:tab/>
        <w:t>3.</w:t>
      </w:r>
      <w:r>
        <w:tab/>
      </w:r>
      <w:r>
        <w:rPr>
          <w:bCs/>
        </w:rPr>
        <w:t>Деятельность в странах Центральной Азии</w:t>
      </w:r>
    </w:p>
    <w:p w14:paraId="2004B463" w14:textId="7B061C4E" w:rsidR="001401C6" w:rsidRPr="004D1D34" w:rsidRDefault="001401C6" w:rsidP="001401C6">
      <w:pPr>
        <w:pStyle w:val="SingleTxtG"/>
      </w:pPr>
      <w:r>
        <w:t>81.</w:t>
      </w:r>
      <w:r>
        <w:tab/>
        <w:t>Рабочая группа приняла к сведению доклад представителя ОБСЕ о последующей деятельности по итогам мероприятий по наращиванию потенциала, проведенных в Центральной Азии, в частности в рамках совместного проекта ЕЭК/ОБСЕ (2019</w:t>
      </w:r>
      <w:r w:rsidR="006B7275">
        <w:t>–</w:t>
      </w:r>
      <w:r>
        <w:t>2021 годы), включая запланированный ОБСЕ запуск в первой половине 2023 года нового проекта, финансируемого Германией, для оказания дальнейшей поддержки странам Центральной Азии в приведении их законодательства в соответствие с Конвенцией и Протоколом и в укреплении их потенциала для эффективного осуществления стратегической экологической оценки. ОБСЕ также обеспечила перевод на казахский, кыргызский, таджикский, туркменский и узбекский языки публикации ЕЭК «Протокол по стратегической экологической оценке: факты и преимущества»</w:t>
      </w:r>
      <w:r w:rsidRPr="001401C6">
        <w:rPr>
          <w:rStyle w:val="aa"/>
        </w:rPr>
        <w:footnoteReference w:id="27"/>
      </w:r>
      <w:r>
        <w:t xml:space="preserve"> и иллюстрированного руководства ОБСЕ по Конвенции Эспо и Протоколу к ней в формате комикса</w:t>
      </w:r>
      <w:r w:rsidRPr="001401C6">
        <w:rPr>
          <w:rStyle w:val="aa"/>
        </w:rPr>
        <w:footnoteReference w:id="28"/>
      </w:r>
      <w:r>
        <w:t>.</w:t>
      </w:r>
    </w:p>
    <w:p w14:paraId="6F88FFDF" w14:textId="538EC10E" w:rsidR="001401C6" w:rsidRPr="004D1D34" w:rsidRDefault="001401C6" w:rsidP="001401C6">
      <w:pPr>
        <w:pStyle w:val="SingleTxtG"/>
      </w:pPr>
      <w:r>
        <w:t>82.</w:t>
      </w:r>
      <w:r>
        <w:tab/>
        <w:t xml:space="preserve">Рабочая группа также отметила деятельность, о которой рассказало Германское агентство по международному сотрудничеству, по содействию внедрению стратегической экологической оценки в Казахстане и Узбекистане в рамках проекта «Экологически ориентированное региональное развитие в регионе Аральского моря», который предполагает проведение двух пилотных проектов в каждой стране. </w:t>
      </w:r>
    </w:p>
    <w:p w14:paraId="75CCF9E8" w14:textId="77777777" w:rsidR="001401C6" w:rsidRPr="004D1D34" w:rsidRDefault="001401C6" w:rsidP="001401C6">
      <w:pPr>
        <w:pStyle w:val="SingleTxtG"/>
      </w:pPr>
      <w:r>
        <w:t>83.</w:t>
      </w:r>
      <w:r>
        <w:tab/>
        <w:t>Рабочая группа призвала других доноров на двусторонней основе финансировать пилотные проекты по практическому применению Конвенции и Протокола в Восточной Европе, на Кавказе и в Центральной Азии.</w:t>
      </w:r>
    </w:p>
    <w:p w14:paraId="539C28B3" w14:textId="77777777" w:rsidR="001401C6" w:rsidRPr="004D1D34" w:rsidRDefault="001401C6" w:rsidP="001401C6">
      <w:pPr>
        <w:pStyle w:val="H23G"/>
      </w:pPr>
      <w:r>
        <w:rPr>
          <w:bCs/>
        </w:rPr>
        <w:tab/>
        <w:t>4.</w:t>
      </w:r>
      <w:r>
        <w:tab/>
      </w:r>
      <w:r>
        <w:rPr>
          <w:bCs/>
        </w:rPr>
        <w:t>Краткие рекомендации</w:t>
      </w:r>
    </w:p>
    <w:p w14:paraId="28D238C4" w14:textId="6D04BE0F" w:rsidR="001401C6" w:rsidRPr="004D1D34" w:rsidRDefault="001401C6" w:rsidP="001401C6">
      <w:pPr>
        <w:pStyle w:val="SingleTxtG"/>
      </w:pPr>
      <w:r>
        <w:t>84.</w:t>
      </w:r>
      <w:r>
        <w:tab/>
        <w:t>Рабочая группа отметила полезную работу, проделанную МАОВ по продвижению передовой практики в области оценки воздействия, в том числе посредством двухстраничных неофициальных брошюр «FasTips» (краткие рекомендации)</w:t>
      </w:r>
      <w:r w:rsidRPr="001401C6">
        <w:rPr>
          <w:rStyle w:val="aa"/>
        </w:rPr>
        <w:footnoteReference w:id="29"/>
      </w:r>
      <w:r>
        <w:t>. Она также приняла к сведению информацию МАОВ о последних и будущих выпусках «кратких рекомендаций» по ключевым вопросам в практике стратегической экологической оценки. Рабочая группа призвала секретариат изучить возможности обеспечить неофициальный перевод новых выпусков «кратких рекомендаций» на русский язык.</w:t>
      </w:r>
    </w:p>
    <w:p w14:paraId="23D87399" w14:textId="77777777" w:rsidR="001401C6" w:rsidRPr="004D1D34" w:rsidRDefault="001401C6" w:rsidP="001401C6">
      <w:pPr>
        <w:pStyle w:val="HChG"/>
      </w:pPr>
      <w:r>
        <w:rPr>
          <w:bCs/>
        </w:rPr>
        <w:tab/>
        <w:t>VI.</w:t>
      </w:r>
      <w:r>
        <w:tab/>
      </w:r>
      <w:r>
        <w:tab/>
      </w:r>
      <w:r>
        <w:rPr>
          <w:bCs/>
        </w:rPr>
        <w:t>Управление, координация и информационное освещение деятельности в межсессионный период</w:t>
      </w:r>
    </w:p>
    <w:p w14:paraId="41D7777E" w14:textId="2C97B7DA" w:rsidR="001401C6" w:rsidRPr="004D1D34" w:rsidRDefault="001401C6" w:rsidP="001401C6">
      <w:pPr>
        <w:pStyle w:val="SingleTxtG"/>
      </w:pPr>
      <w:r>
        <w:t>85.</w:t>
      </w:r>
      <w:r>
        <w:tab/>
        <w:t>Председатель Президиума по вопросам, касающимся Конвенции, сообщил об обсуждении Президиумом возможной необходимости дополнительных разъяснений к неофициальной записке по процедурным вопросам, имеющим отношение к совещаниям с дистанционным участием в силу чрезвычайных обстоятельств, которую Президиум подготовил для сессий Совещаний Сторон в 2020 году при поддержке секретариата в консультации с Договорной секцией Управления по правовым вопросам</w:t>
      </w:r>
      <w:r w:rsidRPr="001401C6">
        <w:rPr>
          <w:rStyle w:val="aa"/>
        </w:rPr>
        <w:footnoteReference w:id="30"/>
      </w:r>
      <w:r>
        <w:t>. В соответствии с просьбой Рабочей группы, высказанной на ее последнем совещании</w:t>
      </w:r>
      <w:r w:rsidR="00FE5494" w:rsidRPr="001401C6">
        <w:rPr>
          <w:rStyle w:val="aa"/>
        </w:rPr>
        <w:footnoteReference w:id="31"/>
      </w:r>
      <w:r>
        <w:t>, Президиум вновь рассмотрел свою записку, приняв во внимание также аналогичные записки, подготовленные в рамках трех других многосторонних природоохранных соглашений ЕЭК, и информацию об их последующих совещаниях.</w:t>
      </w:r>
    </w:p>
    <w:p w14:paraId="020FFE7C" w14:textId="228FF8EE" w:rsidR="001401C6" w:rsidRPr="004D1D34" w:rsidRDefault="001401C6" w:rsidP="001401C6">
      <w:pPr>
        <w:pStyle w:val="SingleTxtG"/>
      </w:pPr>
      <w:r>
        <w:lastRenderedPageBreak/>
        <w:t>86.</w:t>
      </w:r>
      <w:r>
        <w:tab/>
        <w:t>Рабочая группа отметила, что такие записки по другим многосторонним природоохранным соглашениям относились только к конкретным сессиям их соответствующих руководящих органов в 2020 или 2021 годах и что ни одна из них не была повторно использована или изменена для каких-либо последующих совещаний.</w:t>
      </w:r>
    </w:p>
    <w:p w14:paraId="3AA28921" w14:textId="084D7EEF" w:rsidR="001401C6" w:rsidRPr="004D1D34" w:rsidRDefault="001401C6" w:rsidP="001401C6">
      <w:pPr>
        <w:pStyle w:val="SingleTxtG"/>
      </w:pPr>
      <w:r>
        <w:t>87.</w:t>
      </w:r>
      <w:r>
        <w:tab/>
        <w:t>Рабочая группа также отметила, что в 2022 году секретариат Организации Объединенных Наций вернулся к очной форме проведения совещаний и что с января 2023 года дистанционный синхронный перевод (платформа, устные переводчики и технический персонал) больше не будет предоставляться бесплатно для совещаний в гибридном/онлайновом формате. Она предложила всем делегациям планировать свои поездки в Женеву для участия в следующем совещании Рабочей группы в июне и следующих сессиях совещаний Сторон в декабре 2023 года.</w:t>
      </w:r>
    </w:p>
    <w:p w14:paraId="087385AB" w14:textId="77777777" w:rsidR="001401C6" w:rsidRPr="004D1D34" w:rsidRDefault="001401C6" w:rsidP="001401C6">
      <w:pPr>
        <w:pStyle w:val="SingleTxtG"/>
      </w:pPr>
      <w:r>
        <w:t>88.</w:t>
      </w:r>
      <w:r>
        <w:tab/>
        <w:t xml:space="preserve">Рабочая группа приняла к сведению выводы Президиума о том, что в соответствии с практикой других многосторонних природоохранных соглашений ЕЭК необходимость в пересмотре процедурной записки 2020 года в настоящее время отсутствует по следующим причинам: </w:t>
      </w:r>
    </w:p>
    <w:p w14:paraId="52DBB0F6" w14:textId="77777777" w:rsidR="001401C6" w:rsidRPr="004D1D34" w:rsidRDefault="001401C6" w:rsidP="001401C6">
      <w:pPr>
        <w:pStyle w:val="SingleTxtG"/>
        <w:ind w:firstLine="567"/>
      </w:pPr>
      <w:r>
        <w:t>a)</w:t>
      </w:r>
      <w:r>
        <w:tab/>
        <w:t xml:space="preserve">она относилась только к сессиям совещаний Сторон 2020 года и к любым аналогичным будущим исключительным случаям чрезвычайных обстоятельств; </w:t>
      </w:r>
    </w:p>
    <w:p w14:paraId="51209DEA" w14:textId="77777777" w:rsidR="001401C6" w:rsidRPr="004D1D34" w:rsidRDefault="001401C6" w:rsidP="001401C6">
      <w:pPr>
        <w:pStyle w:val="SingleTxtG"/>
        <w:ind w:firstLine="567"/>
      </w:pPr>
      <w:r>
        <w:t>b)</w:t>
      </w:r>
      <w:r>
        <w:tab/>
        <w:t xml:space="preserve">снова стало нормой проведение совещаний в очной форме; </w:t>
      </w:r>
    </w:p>
    <w:p w14:paraId="6B56FDF6" w14:textId="77777777" w:rsidR="001401C6" w:rsidRPr="004D1D34" w:rsidRDefault="001401C6" w:rsidP="001401C6">
      <w:pPr>
        <w:pStyle w:val="SingleTxtG"/>
        <w:ind w:firstLine="567"/>
      </w:pPr>
      <w:r>
        <w:t>c)</w:t>
      </w:r>
      <w:r>
        <w:tab/>
        <w:t>если в будущем вновь возникнут чрезвычайные обстоятельства, Рабочая группа вновь рассмотрит этот вопрос и при необходимости скорректирует записку.</w:t>
      </w:r>
    </w:p>
    <w:p w14:paraId="0359AC0D" w14:textId="69C9F930" w:rsidR="001401C6" w:rsidRPr="004D1D34" w:rsidRDefault="001401C6" w:rsidP="001401C6">
      <w:pPr>
        <w:pStyle w:val="SingleTxtG"/>
      </w:pPr>
      <w:r>
        <w:t>89.</w:t>
      </w:r>
      <w:r>
        <w:tab/>
        <w:t xml:space="preserve">Рабочая группа отметила, что делегация Европейского </w:t>
      </w:r>
      <w:r w:rsidR="00FE5494">
        <w:t>с</w:t>
      </w:r>
      <w:r>
        <w:t xml:space="preserve">оюза и его государств-членов выразила сожаление по поводу того, что Президиум не видит необходимости вносить изменения в записку, и придерживается мнения, что записка заслуживает должного рассмотрения, пересмотра и улучшения для будущего использования, не ограничиваясь чрезвычайными ситуациями, и оставляет за собой право вернуться к этому вопросу на более позднем этапе, если это будет необходимо. </w:t>
      </w:r>
    </w:p>
    <w:p w14:paraId="222A0E92" w14:textId="4C4BAB0A" w:rsidR="001401C6" w:rsidRPr="004D1D34" w:rsidRDefault="001401C6" w:rsidP="001401C6">
      <w:pPr>
        <w:pStyle w:val="SingleTxtG"/>
      </w:pPr>
      <w:r>
        <w:t>90.</w:t>
      </w:r>
      <w:r>
        <w:tab/>
        <w:t>Рабочая группа предложила Европейскому союзу и его государствам-членам представить четкие предложения по поправкам к тексту записки до 31 января 2023</w:t>
      </w:r>
      <w:r w:rsidR="006B7275">
        <w:t> </w:t>
      </w:r>
      <w:r>
        <w:t>года.</w:t>
      </w:r>
    </w:p>
    <w:p w14:paraId="427DB215" w14:textId="77777777" w:rsidR="001401C6" w:rsidRPr="004D1D34" w:rsidRDefault="001401C6" w:rsidP="001401C6">
      <w:pPr>
        <w:pStyle w:val="HChG"/>
      </w:pPr>
      <w:r>
        <w:rPr>
          <w:bCs/>
        </w:rPr>
        <w:tab/>
        <w:t>VII.</w:t>
      </w:r>
      <w:r>
        <w:tab/>
      </w:r>
      <w:r>
        <w:rPr>
          <w:bCs/>
        </w:rPr>
        <w:t>Подготовка к следующим сессиям Совещаний Сторон</w:t>
      </w:r>
    </w:p>
    <w:p w14:paraId="6B25AE90" w14:textId="77777777" w:rsidR="001401C6" w:rsidRPr="004D1D34" w:rsidRDefault="001401C6" w:rsidP="001401C6">
      <w:pPr>
        <w:pStyle w:val="H1G"/>
      </w:pPr>
      <w:r>
        <w:rPr>
          <w:bCs/>
        </w:rPr>
        <w:tab/>
        <w:t>A.</w:t>
      </w:r>
      <w:r>
        <w:tab/>
      </w:r>
      <w:r>
        <w:rPr>
          <w:bCs/>
        </w:rPr>
        <w:t>Практические меры</w:t>
      </w:r>
    </w:p>
    <w:p w14:paraId="1FA6A979" w14:textId="77777777" w:rsidR="001401C6" w:rsidRPr="004D1D34" w:rsidRDefault="001401C6" w:rsidP="001401C6">
      <w:pPr>
        <w:pStyle w:val="SingleTxtG"/>
      </w:pPr>
      <w:r>
        <w:t>91.</w:t>
      </w:r>
      <w:r>
        <w:tab/>
        <w:t>Рабочая группа рассмотрела практические меры для подготовки девятой сессии Совещания Сторон Конвенции и пятой сессии Совещания Сторон Протокола (Женева, 12–15 декабря 2023 года). Она отметила, что сессии будут проводиться в Женеве, поскольку ни одна из Сторон не выступила с инициативой о проведении их у себя в стране.</w:t>
      </w:r>
    </w:p>
    <w:p w14:paraId="57C054CE" w14:textId="77777777" w:rsidR="001401C6" w:rsidRPr="004D1D34" w:rsidRDefault="001401C6" w:rsidP="001401C6">
      <w:pPr>
        <w:pStyle w:val="SingleTxtG"/>
      </w:pPr>
      <w:r>
        <w:t>92.</w:t>
      </w:r>
      <w:r>
        <w:tab/>
        <w:t xml:space="preserve">Рабочая группа согласовала предварительный график подготовки к сессиям совещаний Сторон, включая сроки предоставления следующей информации, необходимой в период до совещаний Президиума 22 и 23 февраля 2023 года: </w:t>
      </w:r>
    </w:p>
    <w:p w14:paraId="0882587A" w14:textId="77777777" w:rsidR="001401C6" w:rsidRPr="004D1D34" w:rsidRDefault="001401C6" w:rsidP="001401C6">
      <w:pPr>
        <w:pStyle w:val="SingleTxtG"/>
        <w:ind w:firstLine="567"/>
      </w:pPr>
      <w:r>
        <w:t>a)</w:t>
      </w:r>
      <w:r>
        <w:tab/>
        <w:t xml:space="preserve">31 января 2023 года: просроченные доклады об осуществлении Конвенции и Протокола соответствующими Сторонами; и комментарии к документам и другие </w:t>
      </w:r>
      <w:r w:rsidRPr="00787172">
        <w:t>материалы всех делегаций для рассмотрения Президиумом</w:t>
      </w:r>
      <w:r>
        <w:t xml:space="preserve">; </w:t>
      </w:r>
    </w:p>
    <w:p w14:paraId="0B88FA8B" w14:textId="77777777" w:rsidR="001401C6" w:rsidRPr="004D1D34" w:rsidRDefault="001401C6" w:rsidP="001401C6">
      <w:pPr>
        <w:pStyle w:val="SingleTxtG"/>
        <w:ind w:firstLine="567"/>
      </w:pPr>
      <w:r>
        <w:t>b)</w:t>
      </w:r>
      <w:r>
        <w:tab/>
        <w:t xml:space="preserve">15 февраля 2023 года: первоначальная информация об объявленных финансовых взносах Сторон на 2024–2026 годы. </w:t>
      </w:r>
    </w:p>
    <w:p w14:paraId="21005F25" w14:textId="77777777" w:rsidR="001401C6" w:rsidRPr="004D1D34" w:rsidRDefault="001401C6" w:rsidP="001401C6">
      <w:pPr>
        <w:pStyle w:val="H1G"/>
      </w:pPr>
      <w:r>
        <w:rPr>
          <w:bCs/>
        </w:rPr>
        <w:tab/>
        <w:t>B.</w:t>
      </w:r>
      <w:r>
        <w:tab/>
      </w:r>
      <w:r>
        <w:rPr>
          <w:bCs/>
        </w:rPr>
        <w:t>Перечень проектов документов и решений</w:t>
      </w:r>
    </w:p>
    <w:p w14:paraId="264ECE35" w14:textId="0DED7BFF" w:rsidR="001401C6" w:rsidRPr="004D1D34" w:rsidRDefault="001401C6" w:rsidP="001401C6">
      <w:pPr>
        <w:pStyle w:val="SingleTxtG"/>
      </w:pPr>
      <w:r>
        <w:t>93.</w:t>
      </w:r>
      <w:r>
        <w:tab/>
        <w:t xml:space="preserve">Рабочая группа рассмотрела первоначальный перечень проектов решений и документов, подлежащих подготовке для рассмотрения Совещаниями Сторон на </w:t>
      </w:r>
      <w:r>
        <w:lastRenderedPageBreak/>
        <w:t>своих сессиях в декабре 2023 года. Она отметила, что перечень проектов решений о соблюдении, в частности, по-прежнему подлежит изменениям, в том числе в отношении решений по Украине, которые Комитет по осуществлению отложил из-за войны. Рабочая группа согласовала другие проекты решений и официальных документов и предложила</w:t>
      </w:r>
      <w:r>
        <w:rPr>
          <w:b/>
          <w:bCs/>
        </w:rPr>
        <w:t xml:space="preserve"> </w:t>
      </w:r>
      <w:r>
        <w:t xml:space="preserve">Президиуму при поддержке секретариата в рамках своих возможностей подготовить проекты для рассмотрения Рабочей группой до ее следующего совещания (за исключением проектов решений и документов по обзору соблюдения, которые должны быть подготовлены Комитетом по осуществлению), опираясь на материалы, представленные Рабочей группой в ходе и по завершении текущего совещания. Кроме того, она предложила секретариату и Президиуму подготовить предварительное расписание совещаний на следующий период </w:t>
      </w:r>
      <w:r w:rsidR="006B7275">
        <w:br/>
      </w:r>
      <w:r>
        <w:t>2024–2026 годов до его следующего совещания.</w:t>
      </w:r>
    </w:p>
    <w:p w14:paraId="384990D6" w14:textId="77777777" w:rsidR="001401C6" w:rsidRPr="004D1D34" w:rsidRDefault="001401C6" w:rsidP="001401C6">
      <w:pPr>
        <w:pStyle w:val="SingleTxtG"/>
      </w:pPr>
      <w:r>
        <w:t>94.</w:t>
      </w:r>
      <w:r>
        <w:tab/>
        <w:t>Рабочая группа отметила, что ни одна делегация не вызвалась участвовать в составлении документов. Она предложила делегациям представить любые материалы и предложения до конца января через секретариат.</w:t>
      </w:r>
    </w:p>
    <w:p w14:paraId="79462373" w14:textId="77777777" w:rsidR="001401C6" w:rsidRPr="004D1D34" w:rsidRDefault="001401C6" w:rsidP="001401C6">
      <w:pPr>
        <w:pStyle w:val="H1G"/>
      </w:pPr>
      <w:r>
        <w:rPr>
          <w:bCs/>
        </w:rPr>
        <w:tab/>
        <w:t>C.</w:t>
      </w:r>
      <w:r>
        <w:tab/>
      </w:r>
      <w:r>
        <w:rPr>
          <w:bCs/>
        </w:rPr>
        <w:t>Проект декларации</w:t>
      </w:r>
    </w:p>
    <w:p w14:paraId="12CAFE72" w14:textId="77777777" w:rsidR="001401C6" w:rsidRPr="004D1D34" w:rsidRDefault="001401C6" w:rsidP="001401C6">
      <w:pPr>
        <w:pStyle w:val="SingleTxtG"/>
      </w:pPr>
      <w:r>
        <w:t>95.</w:t>
      </w:r>
      <w:r>
        <w:tab/>
        <w:t>Рабочая группа отметила рекомендации Президиума сосредоточить внимание в проекте декларации на важности Конвенции и Протокола в качестве инструментов стимулирования энергетического перехода и создания экономики замкнутого цикла, низкоуглеродной экономики и достижения климатической нейтральности.</w:t>
      </w:r>
    </w:p>
    <w:p w14:paraId="10902512" w14:textId="77777777" w:rsidR="001401C6" w:rsidRPr="004D1D34" w:rsidRDefault="001401C6" w:rsidP="001401C6">
      <w:pPr>
        <w:pStyle w:val="SingleTxtG"/>
      </w:pPr>
      <w:r>
        <w:t>96.</w:t>
      </w:r>
      <w:r>
        <w:tab/>
        <w:t>В отсутствие материалов или замечаний относительно возможного содержания проекта декларации Рабочая группа предложила делегациям представить такие отзывы до 31 января 2023 года. Затем она предложила Президиуму при поддержке секретариата в рамках имеющихся у него возможностей подготовить проект декларации для рассмотрения Рабочей группой до ее следующего совещания, опираясь на материалы, полученные от делегаций.</w:t>
      </w:r>
    </w:p>
    <w:p w14:paraId="04EAEC39" w14:textId="77777777" w:rsidR="001401C6" w:rsidRPr="004D1D34" w:rsidRDefault="001401C6" w:rsidP="001401C6">
      <w:pPr>
        <w:pStyle w:val="H1G"/>
      </w:pPr>
      <w:r>
        <w:rPr>
          <w:bCs/>
        </w:rPr>
        <w:tab/>
        <w:t>D.</w:t>
      </w:r>
      <w:r>
        <w:tab/>
      </w:r>
      <w:r>
        <w:rPr>
          <w:bCs/>
        </w:rPr>
        <w:t>Предварительная программа работы</w:t>
      </w:r>
    </w:p>
    <w:p w14:paraId="43750187" w14:textId="77777777" w:rsidR="001401C6" w:rsidRPr="004D1D34" w:rsidRDefault="001401C6" w:rsidP="001401C6">
      <w:pPr>
        <w:pStyle w:val="SingleTxtG"/>
      </w:pPr>
      <w:r>
        <w:t>97.</w:t>
      </w:r>
      <w:r>
        <w:tab/>
        <w:t>Рабочая группа согласовала предварительную программу следующих сессий совещаний Сторон, предложенную Президиумом (ECE/MP.EIA/WG.2/2022/INF.11, раздел IV). Она предложила Президиуму при поддержке секретариата подготовить аннотированную предварительную повестку дня сессий на своем совещании в феврале, до начала следующего совещания Рабочей группы.</w:t>
      </w:r>
    </w:p>
    <w:p w14:paraId="7AC86212" w14:textId="77777777" w:rsidR="001401C6" w:rsidRPr="004D1D34" w:rsidRDefault="001401C6" w:rsidP="001401C6">
      <w:pPr>
        <w:pStyle w:val="SingleTxtG"/>
      </w:pPr>
      <w:r>
        <w:t>98.</w:t>
      </w:r>
      <w:r>
        <w:tab/>
        <w:t>Рабочая группа вновь приветствовала финансовую помощь Италии для организации тематического семинара/панели в рамках сегмента заседаний высокого уровня в пятницу, 15 декабря 2023 года, посвященного энергетическому переходу и экономике замкнутого цикла (см. пункт 58 выше), поблагодарив делегации, которые уже вызвались внести свой вклад в его проведение. Она предложила Президиуму на своем совещании в феврале начать обсуждение и дать указания по организации мероприятия, принимая во внимание любые замечания, которые будут представлены делегациями до конца января.</w:t>
      </w:r>
    </w:p>
    <w:p w14:paraId="7467380F" w14:textId="636A1BEA" w:rsidR="001401C6" w:rsidRPr="004D1D34" w:rsidRDefault="001401C6" w:rsidP="001401C6">
      <w:pPr>
        <w:pStyle w:val="SingleTxtG"/>
      </w:pPr>
      <w:r>
        <w:t>99.</w:t>
      </w:r>
      <w:r>
        <w:tab/>
        <w:t xml:space="preserve">Рабочая группа подтвердила, что если ни одна страна или организация не изъявит желание организовать тематическое мероприятие, посвященное «зеленому» финансированию, которое будет проведено в ходе общего сегмента сессии, то проведение этого мероприятия будет невозможным. Она вновь предложила делегациям выступить </w:t>
      </w:r>
      <w:r w:rsidR="00FE5494">
        <w:t>с</w:t>
      </w:r>
      <w:r>
        <w:t xml:space="preserve"> инициативой в отношении организации или участия в совместной организации этого мероприятия и связаться с секретариатом. </w:t>
      </w:r>
    </w:p>
    <w:p w14:paraId="36DE8A77" w14:textId="6ABAA58C" w:rsidR="001401C6" w:rsidRPr="004D1D34" w:rsidRDefault="001401C6" w:rsidP="001401C6">
      <w:pPr>
        <w:pStyle w:val="H1G"/>
      </w:pPr>
      <w:r>
        <w:rPr>
          <w:bCs/>
        </w:rPr>
        <w:lastRenderedPageBreak/>
        <w:tab/>
        <w:t>E.</w:t>
      </w:r>
      <w:r>
        <w:tab/>
      </w:r>
      <w:r>
        <w:rPr>
          <w:bCs/>
        </w:rPr>
        <w:t xml:space="preserve">Возможные мероприятия для следующего плана работы </w:t>
      </w:r>
      <w:r w:rsidR="006B7275">
        <w:rPr>
          <w:bCs/>
        </w:rPr>
        <w:br/>
      </w:r>
      <w:r>
        <w:rPr>
          <w:bCs/>
        </w:rPr>
        <w:t>(2024–2026 годы)</w:t>
      </w:r>
    </w:p>
    <w:p w14:paraId="1272CA2E" w14:textId="77777777" w:rsidR="001401C6" w:rsidRPr="004D1D34" w:rsidRDefault="001401C6" w:rsidP="001401C6">
      <w:pPr>
        <w:pStyle w:val="SingleTxtG"/>
      </w:pPr>
      <w:r>
        <w:t>100.</w:t>
      </w:r>
      <w:r>
        <w:tab/>
        <w:t>Рабочая группа согласилась с Президиумом в том, что план работы на следующий межсессионный период (2024–2026 годы) должен:</w:t>
      </w:r>
    </w:p>
    <w:p w14:paraId="58C2FD1C" w14:textId="156DE9BE" w:rsidR="001401C6" w:rsidRPr="004D1D34" w:rsidRDefault="001401C6" w:rsidP="001401C6">
      <w:pPr>
        <w:pStyle w:val="SingleTxtG"/>
        <w:ind w:firstLine="567"/>
      </w:pPr>
      <w:r>
        <w:t>a)</w:t>
      </w:r>
      <w:r>
        <w:tab/>
        <w:t xml:space="preserve">быть реалистичным и выполнимым, а также удовлетворять потребности Сторон, будущих Сторон и заинтересованных участников, при этом соответствовать имеющимся финансовым средствам и кадровым возможностям секретариата </w:t>
      </w:r>
      <w:r w:rsidR="006B7275">
        <w:br/>
      </w:r>
      <w:r>
        <w:t>(по каждому виду деятельности должны быть указаны финансовые и кадровые потребности, а также определена соответствующая ведущая страна или организация);</w:t>
      </w:r>
    </w:p>
    <w:p w14:paraId="4B74F011" w14:textId="77777777" w:rsidR="001401C6" w:rsidRPr="004D1D34" w:rsidRDefault="001401C6" w:rsidP="001401C6">
      <w:pPr>
        <w:pStyle w:val="SingleTxtG"/>
        <w:ind w:firstLine="567"/>
      </w:pPr>
      <w:r>
        <w:t>b)</w:t>
      </w:r>
      <w:r>
        <w:tab/>
        <w:t>учитывать стратегические цели и приоритетные задачи, определенные в долгосрочной стратегии; в том числе, в частности, с целью подготовки к присоединению стран, не входящих в ЕЭК, ввиду ожидаемого глобального открытия Конвенции и возможного будущего расширения сферы применения Протокола;</w:t>
      </w:r>
    </w:p>
    <w:p w14:paraId="602A8E4C" w14:textId="77777777" w:rsidR="001401C6" w:rsidRPr="004D1D34" w:rsidRDefault="001401C6" w:rsidP="001401C6">
      <w:pPr>
        <w:pStyle w:val="SingleTxtG"/>
        <w:ind w:firstLine="567"/>
      </w:pPr>
      <w:r>
        <w:t>c)</w:t>
      </w:r>
      <w:r>
        <w:tab/>
        <w:t>включать приоритетные виды деятельности по сотрудничеству в морских регионах;</w:t>
      </w:r>
    </w:p>
    <w:p w14:paraId="5BA1D672" w14:textId="77777777" w:rsidR="001401C6" w:rsidRPr="004D1D34" w:rsidRDefault="001401C6" w:rsidP="001401C6">
      <w:pPr>
        <w:pStyle w:val="SingleTxtG"/>
        <w:ind w:firstLine="567"/>
      </w:pPr>
      <w:r>
        <w:t>d)</w:t>
      </w:r>
      <w:r>
        <w:tab/>
        <w:t>по возможности устранять любые узкие места и недостатки, выявленные в проектах обзоров осуществления;</w:t>
      </w:r>
    </w:p>
    <w:p w14:paraId="6AACAF46" w14:textId="77777777" w:rsidR="001401C6" w:rsidRPr="004D1D34" w:rsidRDefault="001401C6" w:rsidP="001401C6">
      <w:pPr>
        <w:pStyle w:val="SingleTxtG"/>
        <w:ind w:firstLine="567"/>
      </w:pPr>
      <w:r>
        <w:t>e)</w:t>
      </w:r>
      <w:r>
        <w:tab/>
        <w:t>оказывать помощь странам в разработке законодательства и укрепления потенциала для осуществления Конвенции и Протокола в рамках двусторонней поддержки.</w:t>
      </w:r>
    </w:p>
    <w:p w14:paraId="7DCD04CA" w14:textId="77777777" w:rsidR="001401C6" w:rsidRPr="004D1D34" w:rsidRDefault="001401C6" w:rsidP="001401C6">
      <w:pPr>
        <w:pStyle w:val="SingleTxtG"/>
      </w:pPr>
      <w:r>
        <w:t>101.</w:t>
      </w:r>
      <w:r>
        <w:tab/>
        <w:t>Рабочая группа предложила делегациям подготовить предложения до 31 января 2023 года по видам деятельности для включения в план работы на следующий период и предложить возглавить их реализацию и/или профинансировать их. Рабочая группа вновь предложила делегациям проинформировать секретариат о своих обязательствах до начала/середины февраля и подтвердить их как минимум до двенадцатого совещания Рабочей группы, с учетом подготовки реалистичного проекта плана работы на 2024–2026 годы, который будет соответствовать ожидаемому будущему финансированию.</w:t>
      </w:r>
    </w:p>
    <w:p w14:paraId="3D3DBCF5" w14:textId="77777777" w:rsidR="001401C6" w:rsidRPr="004D1D34" w:rsidRDefault="001401C6" w:rsidP="001401C6">
      <w:pPr>
        <w:pStyle w:val="SingleTxtG"/>
      </w:pPr>
      <w:r>
        <w:t>102.</w:t>
      </w:r>
      <w:r>
        <w:tab/>
        <w:t>Рабочая группа напомнила о своем согласии (см. пункт 26 выше) с тем, что без дополнительного финансирования основных функций секретариата следующий план работы должен быть соответствующим образом скорректирован, а объем задач и услуг секретариата сокращен.</w:t>
      </w:r>
    </w:p>
    <w:p w14:paraId="0486DB59" w14:textId="77777777" w:rsidR="001401C6" w:rsidRPr="004D1D34" w:rsidRDefault="001401C6" w:rsidP="001401C6">
      <w:pPr>
        <w:pStyle w:val="SingleTxtG"/>
      </w:pPr>
      <w:r>
        <w:t>103.</w:t>
      </w:r>
      <w:r>
        <w:tab/>
        <w:t>Рабочая группа предложила Президиуму при поддержке секретариата подготовить проект плана работы с учетом предложений, которые будут внесены до ее следующего совещания.</w:t>
      </w:r>
    </w:p>
    <w:p w14:paraId="44999EBA" w14:textId="77777777" w:rsidR="001401C6" w:rsidRPr="004D1D34" w:rsidRDefault="001401C6" w:rsidP="001401C6">
      <w:pPr>
        <w:pStyle w:val="H1G"/>
      </w:pPr>
      <w:r>
        <w:rPr>
          <w:bCs/>
        </w:rPr>
        <w:tab/>
        <w:t>F.</w:t>
      </w:r>
      <w:r>
        <w:tab/>
      </w:r>
      <w:r>
        <w:rPr>
          <w:bCs/>
        </w:rPr>
        <w:t>Председатели сессий</w:t>
      </w:r>
    </w:p>
    <w:p w14:paraId="546B24A7" w14:textId="77777777" w:rsidR="001401C6" w:rsidRPr="004D1D34" w:rsidRDefault="001401C6" w:rsidP="001401C6">
      <w:pPr>
        <w:pStyle w:val="SingleTxtG"/>
      </w:pPr>
      <w:r>
        <w:t>104.</w:t>
      </w:r>
      <w:r>
        <w:tab/>
        <w:t xml:space="preserve">Рабочая группа приветствовала предложение нынешнего Председателя Президиума по вопросам Конвенции г-на Джорджа Кремлиса, представляющего Грецию, стать кандидатом на пост Председателя общего сегмента совещаний Сторон в случае необходимости. Она отметила, что, если Греция не ратифицирует Протокол до начала следующих совещаний, необходимо будет также выдвинуть кандидатуру и избрать сопредседателя, ответственного за вопросы Протокола. </w:t>
      </w:r>
    </w:p>
    <w:p w14:paraId="2D6A07C4" w14:textId="77777777" w:rsidR="001401C6" w:rsidRPr="004D1D34" w:rsidRDefault="001401C6" w:rsidP="001401C6">
      <w:pPr>
        <w:pStyle w:val="SingleTxtG"/>
      </w:pPr>
      <w:r>
        <w:t>105.</w:t>
      </w:r>
      <w:r>
        <w:tab/>
        <w:t>Рабочая группа предложила делегациям выдвинуть кандидатуры на пост председателя сегмента заседаний высокого уровня для утверждения Рабочей группой на ее следующем совещании.</w:t>
      </w:r>
    </w:p>
    <w:p w14:paraId="57B8AFA9" w14:textId="77777777" w:rsidR="001401C6" w:rsidRPr="004D1D34" w:rsidRDefault="001401C6" w:rsidP="00055813">
      <w:pPr>
        <w:pStyle w:val="H1G"/>
      </w:pPr>
      <w:r>
        <w:rPr>
          <w:bCs/>
        </w:rPr>
        <w:lastRenderedPageBreak/>
        <w:tab/>
        <w:t>G.</w:t>
      </w:r>
      <w:r>
        <w:tab/>
      </w:r>
      <w:r>
        <w:rPr>
          <w:bCs/>
        </w:rPr>
        <w:t>Должностные лица на следующий межсессионный период</w:t>
      </w:r>
    </w:p>
    <w:p w14:paraId="6337CED8" w14:textId="77777777" w:rsidR="001401C6" w:rsidRPr="004D1D34" w:rsidRDefault="001401C6" w:rsidP="00055813">
      <w:pPr>
        <w:pStyle w:val="SingleTxtG"/>
        <w:keepNext/>
        <w:keepLines/>
      </w:pPr>
      <w:r>
        <w:t>106.</w:t>
      </w:r>
      <w:r>
        <w:tab/>
        <w:t>Рабочая группа приветствовала готовность нынешних председателей Президиума и Рабочей группы продолжить выполнение своих функций в следующий межсессионный период, если они будут избраны на совещаниях Сторон, а также предварительную готовность Председателя Комитета по осуществлению</w:t>
      </w:r>
      <w:r>
        <w:rPr>
          <w:b/>
          <w:bCs/>
        </w:rPr>
        <w:t xml:space="preserve"> </w:t>
      </w:r>
      <w:r w:rsidRPr="00787172">
        <w:t xml:space="preserve">продолжать исполнять </w:t>
      </w:r>
      <w:r>
        <w:t xml:space="preserve">свои </w:t>
      </w:r>
      <w:r w:rsidRPr="00787172">
        <w:t xml:space="preserve">функции. </w:t>
      </w:r>
    </w:p>
    <w:p w14:paraId="6F07163F" w14:textId="77777777" w:rsidR="001401C6" w:rsidRPr="004D1D34" w:rsidRDefault="001401C6" w:rsidP="001401C6">
      <w:pPr>
        <w:pStyle w:val="SingleTxtG"/>
      </w:pPr>
      <w:r>
        <w:t>107.</w:t>
      </w:r>
      <w:r>
        <w:tab/>
        <w:t>Рабочая группа предложила Сторонам выдвинуть кандидатуры для избрания в качестве должностных лиц на совещаниях Сторон на следующий период, в частности: четырех постоянных членов Комитета по осуществлению и их заместителей; заместителей Председателя Рабочей группы и членов Президиума. Делегациям было предложено проинформировать секретариат о кандидатурах до начала совещания Президиума, до конца января, или, по крайней мере, до начала следующего совещания Рабочей группы в июне 2023 года.</w:t>
      </w:r>
    </w:p>
    <w:p w14:paraId="7DED70A9" w14:textId="77777777" w:rsidR="001401C6" w:rsidRPr="004D1D34" w:rsidRDefault="001401C6" w:rsidP="001401C6">
      <w:pPr>
        <w:pStyle w:val="SingleTxtG"/>
      </w:pPr>
      <w:r>
        <w:t>108.</w:t>
      </w:r>
      <w:r>
        <w:tab/>
        <w:t>Рабочая группа призвала Стороны, которые никогда не были представлены в договорных органах, или представлены в них недавно, выдвинуть свои кандидатуры. Она также постановила предложить совещаниям Сторон, чтобы при необходимости и в исключительных случаях путевые расходы должностных лиц из стран, не отвечающих критериям финансовой поддержки, финансировались из целевого фонда. Кроме того, Рабочая группа постановила, что при избрании членов Комитета по осуществлению Стороны должны учитывать возможность конфликта интересов.</w:t>
      </w:r>
    </w:p>
    <w:p w14:paraId="1907F450" w14:textId="77777777" w:rsidR="001401C6" w:rsidRPr="004D1D34" w:rsidRDefault="001401C6" w:rsidP="001401C6">
      <w:pPr>
        <w:pStyle w:val="HChG"/>
      </w:pPr>
      <w:r>
        <w:rPr>
          <w:bCs/>
        </w:rPr>
        <w:tab/>
        <w:t>VIII.</w:t>
      </w:r>
      <w:r>
        <w:tab/>
      </w:r>
      <w:r>
        <w:rPr>
          <w:bCs/>
        </w:rPr>
        <w:t>Вклад в смежные международные процессы</w:t>
      </w:r>
    </w:p>
    <w:p w14:paraId="613470B6" w14:textId="77777777" w:rsidR="001401C6" w:rsidRPr="004D1D34" w:rsidRDefault="001401C6" w:rsidP="001401C6">
      <w:pPr>
        <w:pStyle w:val="SingleTxtG"/>
      </w:pPr>
      <w:r>
        <w:t>109.</w:t>
      </w:r>
      <w:r>
        <w:tab/>
        <w:t>Рабочая группа приняла к сведению представленную секретариатом информацию о следующих соответствующих международных процессах:</w:t>
      </w:r>
    </w:p>
    <w:p w14:paraId="33D4D32E" w14:textId="65D3E2D3" w:rsidR="001401C6" w:rsidRPr="004D1D34" w:rsidRDefault="001401C6" w:rsidP="001401C6">
      <w:pPr>
        <w:pStyle w:val="SingleTxtG"/>
        <w:ind w:firstLine="567"/>
      </w:pPr>
      <w:r>
        <w:t>a)</w:t>
      </w:r>
      <w:r>
        <w:tab/>
        <w:t>региональные форумы по устойчивому развитию для региона Европейской экономической комиссии Организации Объединенных Наций (Женева (в</w:t>
      </w:r>
      <w:r w:rsidR="006B7275">
        <w:t> </w:t>
      </w:r>
      <w:r>
        <w:t>гибридном формате), 6‒7 апреля 2022 года и 29–30 марта 2023 года)</w:t>
      </w:r>
      <w:r w:rsidRPr="001401C6">
        <w:rPr>
          <w:rStyle w:val="aa"/>
        </w:rPr>
        <w:footnoteReference w:id="32"/>
      </w:r>
      <w:r>
        <w:t>;</w:t>
      </w:r>
    </w:p>
    <w:p w14:paraId="06B6561E" w14:textId="5D7EDDF1" w:rsidR="001401C6" w:rsidRPr="004D1D34" w:rsidRDefault="001401C6" w:rsidP="001401C6">
      <w:pPr>
        <w:pStyle w:val="SingleTxtG"/>
        <w:ind w:firstLine="567"/>
      </w:pPr>
      <w:r>
        <w:t>b)</w:t>
      </w:r>
      <w:r>
        <w:tab/>
        <w:t>девятая Конференция министров «Окружающая среда для Европы» (Никосия, 5–7 октября 2022 года)</w:t>
      </w:r>
      <w:r w:rsidRPr="001401C6">
        <w:rPr>
          <w:rStyle w:val="aa"/>
        </w:rPr>
        <w:footnoteReference w:id="33"/>
      </w:r>
      <w:r>
        <w:t xml:space="preserve">, на которой в качестве одной из главных тем обсуждалась «экологизация экономики в общеевропейском регионе: развитие устойчивой инфраструктуры», и в этой связи также была подчеркнута важная роль Конвенции Эспо и особенно Протокола к ней; </w:t>
      </w:r>
    </w:p>
    <w:p w14:paraId="1C127E8A" w14:textId="15926353" w:rsidR="001401C6" w:rsidRPr="004D1D34" w:rsidRDefault="001401C6" w:rsidP="001401C6">
      <w:pPr>
        <w:pStyle w:val="SingleTxtG"/>
        <w:ind w:firstLine="567"/>
      </w:pPr>
      <w:r>
        <w:t>c)</w:t>
      </w:r>
      <w:r>
        <w:tab/>
        <w:t>Рабочая группа по преобразованию добывающей промышленности в интересах устойчивого развития, координируемая ПРООН, Программой Организации Объединенных Наций по окружающей среде и региональными комиссиями, включая ЕЭК</w:t>
      </w:r>
      <w:r w:rsidRPr="001401C6">
        <w:rPr>
          <w:rStyle w:val="aa"/>
        </w:rPr>
        <w:footnoteReference w:id="34"/>
      </w:r>
      <w:r w:rsidR="006B7275">
        <w:t>;</w:t>
      </w:r>
    </w:p>
    <w:p w14:paraId="0C8D2C1C" w14:textId="77777777" w:rsidR="001401C6" w:rsidRPr="004D1D34" w:rsidRDefault="001401C6" w:rsidP="001401C6">
      <w:pPr>
        <w:pStyle w:val="SingleTxtG"/>
        <w:ind w:firstLine="567"/>
      </w:pPr>
      <w:r>
        <w:t>d)</w:t>
      </w:r>
      <w:r>
        <w:tab/>
        <w:t>седьмая Конференция министров по окружающей среде и охране здоровья, которая состоится в Будапеште 5–7 июля 2023 года и будет координироваться Европейским региональным бюро ВОЗ.</w:t>
      </w:r>
    </w:p>
    <w:p w14:paraId="1EE1D596" w14:textId="77777777" w:rsidR="001401C6" w:rsidRPr="004D1D34" w:rsidRDefault="001401C6" w:rsidP="001401C6">
      <w:pPr>
        <w:pStyle w:val="HChG"/>
      </w:pPr>
      <w:r>
        <w:rPr>
          <w:bCs/>
        </w:rPr>
        <w:tab/>
        <w:t>IX.</w:t>
      </w:r>
      <w:r>
        <w:tab/>
      </w:r>
      <w:r>
        <w:rPr>
          <w:bCs/>
        </w:rPr>
        <w:t>Представление основных принятых решений и закрытие совещания</w:t>
      </w:r>
    </w:p>
    <w:p w14:paraId="58CBA3CC" w14:textId="77777777" w:rsidR="001401C6" w:rsidRPr="004D1D34" w:rsidRDefault="001401C6" w:rsidP="001401C6">
      <w:pPr>
        <w:pStyle w:val="SingleTxtG"/>
      </w:pPr>
      <w:r>
        <w:t>110.</w:t>
      </w:r>
      <w:r>
        <w:tab/>
        <w:t xml:space="preserve">Рабочая группа одобрила основные согласованные на совещании решения, которые были представлены секретариатом, и просила секретариат разместить их на веб-странице совещания. В дополнение к этому она отметила, что на этой веб-странице размещаются замечания и заявления, представленные делегациями в секретариат в </w:t>
      </w:r>
      <w:r>
        <w:lastRenderedPageBreak/>
        <w:t>письменном виде. Секретариату было предложено подготовить доклад о работе совещания под руководством Председателя.</w:t>
      </w:r>
    </w:p>
    <w:p w14:paraId="1757ADD1" w14:textId="77777777" w:rsidR="001401C6" w:rsidRPr="004D1D34" w:rsidRDefault="001401C6" w:rsidP="001401C6">
      <w:pPr>
        <w:pStyle w:val="SingleTxtG"/>
      </w:pPr>
      <w:r>
        <w:t>111.</w:t>
      </w:r>
      <w:r>
        <w:tab/>
        <w:t>Председатель официально закрыла совещание в среду 21 декабря 2022 года.</w:t>
      </w:r>
    </w:p>
    <w:p w14:paraId="01B38FF3" w14:textId="77777777" w:rsidR="001401C6" w:rsidRDefault="001401C6" w:rsidP="001401C6">
      <w:pPr>
        <w:spacing w:before="240"/>
        <w:jc w:val="center"/>
        <w:rPr>
          <w:u w:val="single"/>
        </w:rPr>
      </w:pPr>
      <w:r w:rsidRPr="004D1D34">
        <w:rPr>
          <w:u w:val="single"/>
        </w:rPr>
        <w:tab/>
      </w:r>
      <w:r w:rsidRPr="004D1D34">
        <w:rPr>
          <w:u w:val="single"/>
        </w:rPr>
        <w:tab/>
      </w:r>
      <w:r w:rsidRPr="004D1D34">
        <w:rPr>
          <w:u w:val="single"/>
        </w:rPr>
        <w:tab/>
      </w:r>
    </w:p>
    <w:p w14:paraId="7660755F" w14:textId="5DFE5945" w:rsidR="00E12C5F" w:rsidRPr="008D53B6" w:rsidRDefault="00E12C5F" w:rsidP="00D9145B"/>
    <w:sectPr w:rsidR="00E12C5F" w:rsidRPr="008D53B6" w:rsidSect="001401C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E6BA" w14:textId="77777777" w:rsidR="00A2099A" w:rsidRPr="00A312BC" w:rsidRDefault="00A2099A" w:rsidP="00A312BC"/>
  </w:endnote>
  <w:endnote w:type="continuationSeparator" w:id="0">
    <w:p w14:paraId="6053C590" w14:textId="77777777" w:rsidR="00A2099A" w:rsidRPr="00A312BC" w:rsidRDefault="00A2099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F65F" w14:textId="48852EE0" w:rsidR="001401C6" w:rsidRPr="001401C6" w:rsidRDefault="001401C6">
    <w:pPr>
      <w:pStyle w:val="a8"/>
    </w:pPr>
    <w:r w:rsidRPr="001401C6">
      <w:rPr>
        <w:b/>
        <w:sz w:val="18"/>
      </w:rPr>
      <w:fldChar w:fldCharType="begin"/>
    </w:r>
    <w:r w:rsidRPr="001401C6">
      <w:rPr>
        <w:b/>
        <w:sz w:val="18"/>
      </w:rPr>
      <w:instrText xml:space="preserve"> PAGE  \* MERGEFORMAT </w:instrText>
    </w:r>
    <w:r w:rsidRPr="001401C6">
      <w:rPr>
        <w:b/>
        <w:sz w:val="18"/>
      </w:rPr>
      <w:fldChar w:fldCharType="separate"/>
    </w:r>
    <w:r w:rsidRPr="001401C6">
      <w:rPr>
        <w:b/>
        <w:noProof/>
        <w:sz w:val="18"/>
      </w:rPr>
      <w:t>2</w:t>
    </w:r>
    <w:r w:rsidRPr="001401C6">
      <w:rPr>
        <w:b/>
        <w:sz w:val="18"/>
      </w:rPr>
      <w:fldChar w:fldCharType="end"/>
    </w:r>
    <w:r>
      <w:rPr>
        <w:b/>
        <w:sz w:val="18"/>
      </w:rPr>
      <w:tab/>
    </w:r>
    <w:r>
      <w:t>GE.23-00866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1292" w14:textId="0D074668" w:rsidR="001401C6" w:rsidRPr="001401C6" w:rsidRDefault="001401C6" w:rsidP="001401C6">
    <w:pPr>
      <w:pStyle w:val="a8"/>
      <w:tabs>
        <w:tab w:val="clear" w:pos="9639"/>
        <w:tab w:val="right" w:pos="9638"/>
      </w:tabs>
      <w:rPr>
        <w:b/>
        <w:sz w:val="18"/>
      </w:rPr>
    </w:pPr>
    <w:r>
      <w:t>GE.23-00866</w:t>
    </w:r>
    <w:r>
      <w:tab/>
    </w:r>
    <w:r w:rsidRPr="001401C6">
      <w:rPr>
        <w:b/>
        <w:sz w:val="18"/>
      </w:rPr>
      <w:fldChar w:fldCharType="begin"/>
    </w:r>
    <w:r w:rsidRPr="001401C6">
      <w:rPr>
        <w:b/>
        <w:sz w:val="18"/>
      </w:rPr>
      <w:instrText xml:space="preserve"> PAGE  \* MERGEFORMAT </w:instrText>
    </w:r>
    <w:r w:rsidRPr="001401C6">
      <w:rPr>
        <w:b/>
        <w:sz w:val="18"/>
      </w:rPr>
      <w:fldChar w:fldCharType="separate"/>
    </w:r>
    <w:r w:rsidRPr="001401C6">
      <w:rPr>
        <w:b/>
        <w:noProof/>
        <w:sz w:val="18"/>
      </w:rPr>
      <w:t>3</w:t>
    </w:r>
    <w:r w:rsidRPr="001401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427F" w14:textId="28DA48BA" w:rsidR="00042B72" w:rsidRPr="001401C6" w:rsidRDefault="001401C6" w:rsidP="001401C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C9E9C0F" wp14:editId="72A3DAE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23-00866  (R)</w:t>
    </w:r>
    <w:r>
      <w:rPr>
        <w:noProof/>
      </w:rPr>
      <w:drawing>
        <wp:anchor distT="0" distB="0" distL="114300" distR="114300" simplePos="0" relativeHeight="251659264" behindDoc="0" locked="0" layoutInCell="1" allowOverlap="1" wp14:anchorId="0DB6E833" wp14:editId="085431A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030423  270423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AA63" w14:textId="77777777" w:rsidR="00A2099A" w:rsidRPr="001075E9" w:rsidRDefault="00A2099A" w:rsidP="001075E9">
      <w:pPr>
        <w:tabs>
          <w:tab w:val="right" w:pos="2155"/>
        </w:tabs>
        <w:spacing w:after="80" w:line="240" w:lineRule="auto"/>
        <w:ind w:left="680"/>
        <w:rPr>
          <w:u w:val="single"/>
        </w:rPr>
      </w:pPr>
      <w:r>
        <w:rPr>
          <w:u w:val="single"/>
        </w:rPr>
        <w:tab/>
      </w:r>
    </w:p>
  </w:footnote>
  <w:footnote w:type="continuationSeparator" w:id="0">
    <w:p w14:paraId="271EE4D3" w14:textId="77777777" w:rsidR="00A2099A" w:rsidRDefault="00A2099A" w:rsidP="00407B78">
      <w:pPr>
        <w:tabs>
          <w:tab w:val="right" w:pos="2155"/>
        </w:tabs>
        <w:spacing w:after="80"/>
        <w:ind w:left="680"/>
        <w:rPr>
          <w:u w:val="single"/>
        </w:rPr>
      </w:pPr>
      <w:r>
        <w:rPr>
          <w:u w:val="single"/>
        </w:rPr>
        <w:tab/>
      </w:r>
    </w:p>
  </w:footnote>
  <w:footnote w:id="1">
    <w:p w14:paraId="251FDED1" w14:textId="5AD050A3" w:rsidR="001401C6" w:rsidRPr="004D1D34" w:rsidRDefault="001401C6" w:rsidP="001401C6">
      <w:pPr>
        <w:pStyle w:val="ad"/>
      </w:pPr>
      <w:r>
        <w:tab/>
      </w:r>
      <w:r w:rsidRPr="001401C6">
        <w:rPr>
          <w:rStyle w:val="aa"/>
        </w:rPr>
        <w:footnoteRef/>
      </w:r>
      <w:r>
        <w:tab/>
        <w:t xml:space="preserve">Вся официальная и неофициальная документация совещания и другая информация, например презентации и заявления, предоставленные секретариату, URL: </w:t>
      </w:r>
      <w:hyperlink r:id="rId1" w:history="1">
        <w:r w:rsidRPr="00D530FB">
          <w:rPr>
            <w:rStyle w:val="af1"/>
          </w:rPr>
          <w:t>https://unece.org/info/Environmental-Policy/Environmental-Impact-Assessment/events/364357</w:t>
        </w:r>
      </w:hyperlink>
      <w:r>
        <w:t xml:space="preserve">. </w:t>
      </w:r>
    </w:p>
  </w:footnote>
  <w:footnote w:id="2">
    <w:p w14:paraId="52B3AFBF" w14:textId="77777777" w:rsidR="001401C6" w:rsidRPr="004D1D34" w:rsidRDefault="001401C6" w:rsidP="001401C6">
      <w:pPr>
        <w:pStyle w:val="ad"/>
      </w:pPr>
      <w:r>
        <w:tab/>
      </w:r>
      <w:r w:rsidRPr="001401C6">
        <w:rPr>
          <w:rStyle w:val="aa"/>
        </w:rPr>
        <w:footnoteRef/>
      </w:r>
      <w:r>
        <w:t xml:space="preserve"> </w:t>
      </w:r>
      <w:r>
        <w:tab/>
        <w:t>ECE/MP.EIA/30/Add.1–ECE/MP.EIA/SEA/13/Add.1, решение VIII/3-IV/3, приложение.</w:t>
      </w:r>
    </w:p>
  </w:footnote>
  <w:footnote w:id="3">
    <w:p w14:paraId="526A1897" w14:textId="77777777" w:rsidR="001401C6" w:rsidRPr="004D1D34" w:rsidRDefault="001401C6" w:rsidP="001401C6">
      <w:pPr>
        <w:pStyle w:val="ad"/>
      </w:pPr>
      <w:r w:rsidRPr="001416F9">
        <w:tab/>
      </w:r>
      <w:r w:rsidRPr="001401C6">
        <w:rPr>
          <w:rStyle w:val="aa"/>
        </w:rPr>
        <w:footnoteRef/>
      </w:r>
      <w:r>
        <w:t xml:space="preserve"> </w:t>
      </w:r>
      <w:r>
        <w:tab/>
        <w:t>15 декабря 2022 года Украина сдала на хранение грамоты о ратификации обеих поправок к Конвенции. Эти две поправки вступят в силу для Украины через 90 дней, 15 марта 2023 года, в соответствии с пунктом 4 статьи 14 Конвенции.</w:t>
      </w:r>
    </w:p>
  </w:footnote>
  <w:footnote w:id="4">
    <w:p w14:paraId="4B3E2967" w14:textId="77777777" w:rsidR="001401C6" w:rsidRPr="004D1D34" w:rsidRDefault="001401C6" w:rsidP="001401C6">
      <w:pPr>
        <w:pStyle w:val="ad"/>
        <w:rPr>
          <w:lang w:val="es-ES"/>
        </w:rPr>
      </w:pPr>
      <w:r w:rsidRPr="00F52FBD">
        <w:tab/>
      </w:r>
      <w:r w:rsidRPr="001401C6">
        <w:rPr>
          <w:rStyle w:val="aa"/>
        </w:rPr>
        <w:footnoteRef/>
      </w:r>
      <w:r w:rsidRPr="004D1D34">
        <w:rPr>
          <w:lang w:val="es-ES"/>
        </w:rPr>
        <w:tab/>
        <w:t xml:space="preserve">ECE/MP.EIA/30/Add.1–ECE/MP.EIA/SEA/13/Add.1, </w:t>
      </w:r>
      <w:r>
        <w:t>решение</w:t>
      </w:r>
      <w:r w:rsidRPr="004D1D34">
        <w:rPr>
          <w:lang w:val="es-ES"/>
        </w:rPr>
        <w:t xml:space="preserve"> VIII/1–IV/1, </w:t>
      </w:r>
      <w:r>
        <w:t>п</w:t>
      </w:r>
      <w:r w:rsidRPr="004D1D34">
        <w:rPr>
          <w:lang w:val="es-ES"/>
        </w:rPr>
        <w:t>. 1.</w:t>
      </w:r>
    </w:p>
  </w:footnote>
  <w:footnote w:id="5">
    <w:p w14:paraId="2AC73860" w14:textId="77777777" w:rsidR="001401C6" w:rsidRPr="004D1D34" w:rsidRDefault="001401C6" w:rsidP="001401C6">
      <w:pPr>
        <w:pStyle w:val="ad"/>
      </w:pPr>
      <w:r w:rsidRPr="004D1D34">
        <w:rPr>
          <w:lang w:val="es-ES"/>
        </w:rPr>
        <w:tab/>
      </w:r>
      <w:r w:rsidRPr="001401C6">
        <w:rPr>
          <w:rStyle w:val="aa"/>
        </w:rPr>
        <w:footnoteRef/>
      </w:r>
      <w:r>
        <w:tab/>
        <w:t>Эти задачи включают организацию совещаний договорных органов, подготовку документации и другие функции, необходимые для управления этими двумя договорами, координацию и освещение их деятельности, а также поддержку в рассмотрении соблюдения, отчетности и обзора работы, связанной с осуществлением.</w:t>
      </w:r>
    </w:p>
  </w:footnote>
  <w:footnote w:id="6">
    <w:p w14:paraId="37CA7A31" w14:textId="59873A22" w:rsidR="001401C6" w:rsidRPr="004D1D34" w:rsidRDefault="001401C6" w:rsidP="001401C6">
      <w:pPr>
        <w:pStyle w:val="ad"/>
      </w:pPr>
      <w:r>
        <w:tab/>
      </w:r>
      <w:r w:rsidRPr="001401C6">
        <w:rPr>
          <w:rStyle w:val="aa"/>
        </w:rPr>
        <w:footnoteRef/>
      </w:r>
      <w:r>
        <w:tab/>
        <w:t xml:space="preserve">С информацией о программе младших сотрудников категории специалистов можно ознакомиться на сайте </w:t>
      </w:r>
      <w:hyperlink r:id="rId2" w:history="1">
        <w:r w:rsidRPr="00D530FB">
          <w:rPr>
            <w:rStyle w:val="af1"/>
          </w:rPr>
          <w:t>www.un.org/development/desa/jpo/about/</w:t>
        </w:r>
      </w:hyperlink>
      <w:r>
        <w:t>.</w:t>
      </w:r>
    </w:p>
  </w:footnote>
  <w:footnote w:id="7">
    <w:p w14:paraId="6DBE6FEE" w14:textId="00C30624" w:rsidR="001401C6" w:rsidRPr="004D1D34" w:rsidRDefault="001401C6" w:rsidP="001401C6">
      <w:pPr>
        <w:pStyle w:val="ad"/>
      </w:pPr>
      <w:r>
        <w:tab/>
      </w:r>
      <w:r w:rsidRPr="001401C6">
        <w:rPr>
          <w:rStyle w:val="aa"/>
        </w:rPr>
        <w:footnoteRef/>
      </w:r>
      <w:r>
        <w:tab/>
        <w:t>См. также ECE/MP.EIA/WG.2/2021/INF.11, п. 1; ECE/MP.EIA/WG.2/2021/2, п. 55; и ECE/MP.EIA/30/Add.1–ECE/MP.EIA/SEA/13/Add.1, решение VIII/2–IV/2, п. 12.</w:t>
      </w:r>
    </w:p>
  </w:footnote>
  <w:footnote w:id="8">
    <w:p w14:paraId="3DD8FE43" w14:textId="4D1D9695" w:rsidR="001401C6" w:rsidRPr="004D1D34" w:rsidRDefault="001401C6" w:rsidP="001401C6">
      <w:pPr>
        <w:pStyle w:val="ad"/>
      </w:pPr>
      <w:r w:rsidRPr="00D15913">
        <w:tab/>
      </w:r>
      <w:r w:rsidRPr="001401C6">
        <w:rPr>
          <w:rStyle w:val="aa"/>
        </w:rPr>
        <w:footnoteRef/>
      </w:r>
      <w:r>
        <w:tab/>
        <w:t>Доклады о работе сессий Комитета по осуществлению в 2022 году см.</w:t>
      </w:r>
      <w:r w:rsidR="00FE5494">
        <w:t xml:space="preserve"> </w:t>
      </w:r>
      <w:r>
        <w:t xml:space="preserve">URL: </w:t>
      </w:r>
      <w:hyperlink r:id="rId3" w:history="1">
        <w:r w:rsidRPr="00D530FB">
          <w:rPr>
            <w:rStyle w:val="af1"/>
          </w:rPr>
          <w:t>https://unece.org/sessions-3</w:t>
        </w:r>
      </w:hyperlink>
      <w:r>
        <w:t>.</w:t>
      </w:r>
    </w:p>
  </w:footnote>
  <w:footnote w:id="9">
    <w:p w14:paraId="489F3378" w14:textId="4E37F74A" w:rsidR="001401C6" w:rsidRPr="001401C6" w:rsidRDefault="001401C6" w:rsidP="001401C6">
      <w:pPr>
        <w:pStyle w:val="ad"/>
        <w:rPr>
          <w:lang w:val="en-US"/>
        </w:rPr>
      </w:pPr>
      <w:r>
        <w:tab/>
      </w:r>
      <w:r w:rsidRPr="001401C6">
        <w:rPr>
          <w:rStyle w:val="aa"/>
        </w:rPr>
        <w:footnoteRef/>
      </w:r>
      <w:r w:rsidRPr="004D1D34">
        <w:rPr>
          <w:lang w:val="en-US"/>
        </w:rPr>
        <w:tab/>
        <w:t xml:space="preserve">URL: </w:t>
      </w:r>
      <w:hyperlink r:id="rId4" w:history="1">
        <w:r w:rsidRPr="00D530FB">
          <w:rPr>
            <w:rStyle w:val="af1"/>
            <w:lang w:val="en-US"/>
          </w:rPr>
          <w:t>https://oekobuero.at/files/823/oekobueroracse_lte_assessment_and_public_participation.pdf</w:t>
        </w:r>
      </w:hyperlink>
      <w:r w:rsidRPr="004D1D34">
        <w:rPr>
          <w:lang w:val="en-US"/>
        </w:rPr>
        <w:t>.</w:t>
      </w:r>
    </w:p>
  </w:footnote>
  <w:footnote w:id="10">
    <w:p w14:paraId="1E866859" w14:textId="2C46D3B0" w:rsidR="001401C6" w:rsidRPr="001401C6" w:rsidRDefault="001401C6" w:rsidP="001401C6">
      <w:pPr>
        <w:pStyle w:val="ad"/>
        <w:rPr>
          <w:lang w:val="en-US"/>
        </w:rPr>
      </w:pPr>
      <w:r w:rsidRPr="004D1D34">
        <w:rPr>
          <w:lang w:val="en-US"/>
        </w:rPr>
        <w:tab/>
      </w:r>
      <w:r w:rsidRPr="001401C6">
        <w:rPr>
          <w:rStyle w:val="aa"/>
        </w:rPr>
        <w:footnoteRef/>
      </w:r>
      <w:r w:rsidRPr="004D1D34">
        <w:rPr>
          <w:lang w:val="en-US"/>
        </w:rPr>
        <w:tab/>
        <w:t>ECE/MP.EIA/30/Add.2</w:t>
      </w:r>
      <w:r w:rsidR="00FE5494" w:rsidRPr="00FE5494">
        <w:rPr>
          <w:lang w:val="en-US"/>
        </w:rPr>
        <w:t>–</w:t>
      </w:r>
      <w:r w:rsidRPr="004D1D34">
        <w:rPr>
          <w:lang w:val="en-US"/>
        </w:rPr>
        <w:t xml:space="preserve">ECE/MP.EIA/SEA/13/Add.2, </w:t>
      </w:r>
      <w:r>
        <w:t>решение</w:t>
      </w:r>
      <w:r w:rsidRPr="004D1D34">
        <w:rPr>
          <w:lang w:val="en-US"/>
        </w:rPr>
        <w:t xml:space="preserve"> VIII/5, </w:t>
      </w:r>
      <w:r>
        <w:t>шестой</w:t>
      </w:r>
      <w:r w:rsidRPr="004D1D34">
        <w:rPr>
          <w:lang w:val="en-US"/>
        </w:rPr>
        <w:t xml:space="preserve"> </w:t>
      </w:r>
      <w:r>
        <w:t>пункт</w:t>
      </w:r>
      <w:r w:rsidRPr="004D1D34">
        <w:rPr>
          <w:lang w:val="en-US"/>
        </w:rPr>
        <w:t xml:space="preserve"> </w:t>
      </w:r>
      <w:r>
        <w:t>преамбулы</w:t>
      </w:r>
      <w:r w:rsidRPr="004D1D34">
        <w:rPr>
          <w:lang w:val="en-US"/>
        </w:rPr>
        <w:t xml:space="preserve">, </w:t>
      </w:r>
      <w:r>
        <w:t>и</w:t>
      </w:r>
      <w:r w:rsidRPr="004D1D34">
        <w:rPr>
          <w:lang w:val="en-US"/>
        </w:rPr>
        <w:t xml:space="preserve"> ECE/MP.EIA/30/Add.3</w:t>
      </w:r>
      <w:r w:rsidR="00FE5494" w:rsidRPr="00FE5494">
        <w:rPr>
          <w:lang w:val="en-US"/>
        </w:rPr>
        <w:t>–</w:t>
      </w:r>
      <w:r w:rsidRPr="004D1D34">
        <w:rPr>
          <w:lang w:val="en-US"/>
        </w:rPr>
        <w:t xml:space="preserve">ECE/MP.EIA/SEA/13/Add.3, </w:t>
      </w:r>
      <w:r>
        <w:t>решение</w:t>
      </w:r>
      <w:r w:rsidRPr="004D1D34">
        <w:rPr>
          <w:lang w:val="en-US"/>
        </w:rPr>
        <w:t xml:space="preserve"> IV/5, </w:t>
      </w:r>
      <w:r>
        <w:t>седьмой</w:t>
      </w:r>
      <w:r w:rsidRPr="004D1D34">
        <w:rPr>
          <w:lang w:val="en-US"/>
        </w:rPr>
        <w:t xml:space="preserve"> </w:t>
      </w:r>
      <w:r>
        <w:t>пункт</w:t>
      </w:r>
      <w:r w:rsidRPr="004D1D34">
        <w:rPr>
          <w:lang w:val="en-US"/>
        </w:rPr>
        <w:t xml:space="preserve"> </w:t>
      </w:r>
      <w:r>
        <w:t>преамбулы</w:t>
      </w:r>
      <w:r w:rsidRPr="004D1D34">
        <w:rPr>
          <w:lang w:val="en-US"/>
        </w:rPr>
        <w:t>.</w:t>
      </w:r>
    </w:p>
  </w:footnote>
  <w:footnote w:id="11">
    <w:p w14:paraId="296B3040" w14:textId="448B0C3E" w:rsidR="00FE5494" w:rsidRPr="001401C6" w:rsidRDefault="00FE5494" w:rsidP="00FE5494">
      <w:pPr>
        <w:pStyle w:val="ad"/>
        <w:rPr>
          <w:lang w:val="en-US"/>
        </w:rPr>
      </w:pPr>
      <w:r w:rsidRPr="004D1D34">
        <w:rPr>
          <w:lang w:val="en-US"/>
        </w:rPr>
        <w:tab/>
      </w:r>
      <w:r w:rsidRPr="001401C6">
        <w:rPr>
          <w:rStyle w:val="aa"/>
        </w:rPr>
        <w:footnoteRef/>
      </w:r>
      <w:r w:rsidRPr="004D1D34">
        <w:rPr>
          <w:lang w:val="en-US"/>
        </w:rPr>
        <w:tab/>
        <w:t xml:space="preserve">ECE/MP.EIA/30/Add.1–ECE/MP.EIA/SEA/13/Add.1, </w:t>
      </w:r>
      <w:r>
        <w:t>решение</w:t>
      </w:r>
      <w:r w:rsidRPr="004D1D34">
        <w:rPr>
          <w:lang w:val="en-US"/>
        </w:rPr>
        <w:t xml:space="preserve"> VIII/3</w:t>
      </w:r>
      <w:r w:rsidRPr="00FE5494">
        <w:rPr>
          <w:lang w:val="en-US"/>
        </w:rPr>
        <w:t>–</w:t>
      </w:r>
      <w:r w:rsidRPr="004D1D34">
        <w:rPr>
          <w:lang w:val="en-US"/>
        </w:rPr>
        <w:t xml:space="preserve">IV/3, </w:t>
      </w:r>
      <w:r>
        <w:t>приложение</w:t>
      </w:r>
      <w:r w:rsidRPr="004D1D34">
        <w:rPr>
          <w:lang w:val="en-US"/>
        </w:rPr>
        <w:t xml:space="preserve">, </w:t>
      </w:r>
      <w:r>
        <w:t>подраздел</w:t>
      </w:r>
      <w:r w:rsidRPr="004D1D34">
        <w:rPr>
          <w:lang w:val="en-US"/>
        </w:rPr>
        <w:t xml:space="preserve"> II A.9.</w:t>
      </w:r>
    </w:p>
  </w:footnote>
  <w:footnote w:id="12">
    <w:p w14:paraId="1F1DD7A5" w14:textId="77777777" w:rsidR="001401C6" w:rsidRPr="001401C6" w:rsidRDefault="001401C6" w:rsidP="001401C6">
      <w:pPr>
        <w:pStyle w:val="ad"/>
        <w:rPr>
          <w:lang w:val="en-US"/>
        </w:rPr>
      </w:pPr>
      <w:r w:rsidRPr="004D1D34">
        <w:rPr>
          <w:lang w:val="en-US"/>
        </w:rPr>
        <w:tab/>
      </w:r>
      <w:r w:rsidRPr="001401C6">
        <w:rPr>
          <w:rStyle w:val="aa"/>
        </w:rPr>
        <w:footnoteRef/>
      </w:r>
      <w:r w:rsidRPr="004D1D34">
        <w:rPr>
          <w:lang w:val="en-US"/>
        </w:rPr>
        <w:tab/>
      </w:r>
      <w:r>
        <w:t>См</w:t>
      </w:r>
      <w:r w:rsidRPr="004D1D34">
        <w:rPr>
          <w:lang w:val="en-US"/>
        </w:rPr>
        <w:t xml:space="preserve">. ECE/MP.EIA/WG.2/2022/INF.7 </w:t>
      </w:r>
      <w:r>
        <w:t>и</w:t>
      </w:r>
      <w:r w:rsidRPr="004D1D34">
        <w:rPr>
          <w:lang w:val="en-US"/>
        </w:rPr>
        <w:t xml:space="preserve"> ECE/MP.EIA/WG.2/2022/INF.8.</w:t>
      </w:r>
    </w:p>
  </w:footnote>
  <w:footnote w:id="13">
    <w:p w14:paraId="56E69202" w14:textId="01B8A1CC" w:rsidR="001401C6" w:rsidRPr="001401C6" w:rsidRDefault="001401C6" w:rsidP="001401C6">
      <w:pPr>
        <w:pStyle w:val="ad"/>
        <w:rPr>
          <w:lang w:val="en-US"/>
        </w:rPr>
      </w:pPr>
      <w:r w:rsidRPr="004D1D34">
        <w:rPr>
          <w:lang w:val="en-US"/>
        </w:rPr>
        <w:tab/>
      </w:r>
      <w:r w:rsidRPr="001401C6">
        <w:rPr>
          <w:rStyle w:val="aa"/>
        </w:rPr>
        <w:footnoteRef/>
      </w:r>
      <w:r w:rsidRPr="004D1D34">
        <w:rPr>
          <w:lang w:val="en-US"/>
        </w:rPr>
        <w:tab/>
        <w:t xml:space="preserve">ECE/MP.EIA/30/Add.1–ECE/MP.EIA/SEA/13/Add.1, </w:t>
      </w:r>
      <w:r>
        <w:t>решение</w:t>
      </w:r>
      <w:r w:rsidRPr="004D1D34">
        <w:rPr>
          <w:lang w:val="en-US"/>
        </w:rPr>
        <w:t xml:space="preserve"> VIII/2</w:t>
      </w:r>
      <w:r w:rsidR="00FE5494" w:rsidRPr="00FE5494">
        <w:rPr>
          <w:lang w:val="en-US"/>
        </w:rPr>
        <w:t>–</w:t>
      </w:r>
      <w:r w:rsidRPr="004D1D34">
        <w:rPr>
          <w:lang w:val="en-US"/>
        </w:rPr>
        <w:t xml:space="preserve">IV/2, </w:t>
      </w:r>
      <w:r>
        <w:t>приложение</w:t>
      </w:r>
      <w:r w:rsidRPr="004D1D34">
        <w:rPr>
          <w:lang w:val="en-US"/>
        </w:rPr>
        <w:t xml:space="preserve"> I, </w:t>
      </w:r>
      <w:r>
        <w:t>п</w:t>
      </w:r>
      <w:r w:rsidR="006B7275" w:rsidRPr="006B7275">
        <w:rPr>
          <w:lang w:val="en-US"/>
        </w:rPr>
        <w:t>.</w:t>
      </w:r>
      <w:r w:rsidRPr="004D1D34">
        <w:rPr>
          <w:lang w:val="en-US"/>
        </w:rPr>
        <w:t xml:space="preserve"> II.</w:t>
      </w:r>
      <w:r>
        <w:t>С</w:t>
      </w:r>
      <w:r w:rsidRPr="004D1D34">
        <w:rPr>
          <w:lang w:val="en-US"/>
        </w:rPr>
        <w:t>.</w:t>
      </w:r>
    </w:p>
  </w:footnote>
  <w:footnote w:id="14">
    <w:p w14:paraId="667C31FD" w14:textId="496D0316" w:rsidR="001401C6" w:rsidRPr="001401C6" w:rsidRDefault="001401C6" w:rsidP="001401C6">
      <w:pPr>
        <w:pStyle w:val="ad"/>
        <w:rPr>
          <w:lang w:val="en-US"/>
        </w:rPr>
      </w:pPr>
      <w:r w:rsidRPr="004D1D34">
        <w:rPr>
          <w:lang w:val="en-US"/>
        </w:rPr>
        <w:tab/>
      </w:r>
      <w:r w:rsidRPr="001401C6">
        <w:rPr>
          <w:rStyle w:val="aa"/>
        </w:rPr>
        <w:footnoteRef/>
      </w:r>
      <w:r w:rsidRPr="004D1D34">
        <w:rPr>
          <w:lang w:val="en-US"/>
        </w:rPr>
        <w:tab/>
      </w:r>
      <w:r>
        <w:t>См</w:t>
      </w:r>
      <w:r w:rsidRPr="004D1D34">
        <w:rPr>
          <w:lang w:val="en-US"/>
        </w:rPr>
        <w:t xml:space="preserve">. </w:t>
      </w:r>
      <w:hyperlink r:id="rId5" w:history="1">
        <w:r w:rsidR="006B7275" w:rsidRPr="00042270">
          <w:rPr>
            <w:rStyle w:val="af1"/>
            <w:lang w:val="en-US"/>
          </w:rPr>
          <w:t>unece.org/info/Environmental-Policy/Environmental-Impact-Assessment/events/368973</w:t>
        </w:r>
      </w:hyperlink>
      <w:r w:rsidRPr="004D1D34">
        <w:rPr>
          <w:lang w:val="en-US"/>
        </w:rPr>
        <w:t>.</w:t>
      </w:r>
    </w:p>
  </w:footnote>
  <w:footnote w:id="15">
    <w:p w14:paraId="459699E4" w14:textId="20B9974D" w:rsidR="001401C6" w:rsidRPr="001401C6" w:rsidRDefault="001401C6" w:rsidP="001401C6">
      <w:pPr>
        <w:pStyle w:val="ad"/>
        <w:rPr>
          <w:lang w:val="en-US"/>
        </w:rPr>
      </w:pPr>
      <w:r w:rsidRPr="004D1D34">
        <w:rPr>
          <w:lang w:val="en-US"/>
        </w:rPr>
        <w:tab/>
      </w:r>
      <w:r w:rsidRPr="001401C6">
        <w:rPr>
          <w:rStyle w:val="aa"/>
        </w:rPr>
        <w:footnoteRef/>
      </w:r>
      <w:r w:rsidRPr="004D1D34">
        <w:rPr>
          <w:lang w:val="en-US"/>
        </w:rPr>
        <w:tab/>
      </w:r>
      <w:r>
        <w:t>См</w:t>
      </w:r>
      <w:r w:rsidRPr="004D1D34">
        <w:rPr>
          <w:lang w:val="en-US"/>
        </w:rPr>
        <w:t xml:space="preserve">. </w:t>
      </w:r>
      <w:hyperlink r:id="rId6" w:history="1">
        <w:r w:rsidRPr="006B7275">
          <w:rPr>
            <w:rStyle w:val="af1"/>
            <w:lang w:val="en-US"/>
          </w:rPr>
          <w:t>unece.org/info/Environmental-Policy/Environmental-Impact-Assessment/events/367411</w:t>
        </w:r>
      </w:hyperlink>
      <w:r w:rsidRPr="004D1D34">
        <w:rPr>
          <w:lang w:val="en-US"/>
        </w:rPr>
        <w:t>.</w:t>
      </w:r>
    </w:p>
  </w:footnote>
  <w:footnote w:id="16">
    <w:p w14:paraId="3D9A97A5" w14:textId="2EA25396" w:rsidR="001401C6" w:rsidRPr="001401C6" w:rsidRDefault="001401C6" w:rsidP="001401C6">
      <w:pPr>
        <w:pStyle w:val="ad"/>
        <w:rPr>
          <w:lang w:val="en-US"/>
        </w:rPr>
      </w:pPr>
      <w:r w:rsidRPr="004D1D34">
        <w:rPr>
          <w:lang w:val="en-US"/>
        </w:rPr>
        <w:tab/>
      </w:r>
      <w:r w:rsidRPr="001401C6">
        <w:rPr>
          <w:rStyle w:val="aa"/>
        </w:rPr>
        <w:footnoteRef/>
      </w:r>
      <w:r w:rsidRPr="004D1D34">
        <w:rPr>
          <w:lang w:val="en-US"/>
        </w:rPr>
        <w:tab/>
        <w:t xml:space="preserve">ECE/MP.EIA/30/Add.1–ECE/MP.EIA/SEA/13/Add.1, </w:t>
      </w:r>
      <w:r>
        <w:t>решение</w:t>
      </w:r>
      <w:r w:rsidRPr="004D1D34">
        <w:rPr>
          <w:lang w:val="en-US"/>
        </w:rPr>
        <w:t xml:space="preserve"> VIII/2</w:t>
      </w:r>
      <w:r w:rsidR="00FE5494" w:rsidRPr="00FE5494">
        <w:rPr>
          <w:lang w:val="en-US"/>
        </w:rPr>
        <w:t>–</w:t>
      </w:r>
      <w:r w:rsidRPr="004D1D34">
        <w:rPr>
          <w:lang w:val="en-US"/>
        </w:rPr>
        <w:t xml:space="preserve">IV/2, </w:t>
      </w:r>
      <w:r>
        <w:t>приложение</w:t>
      </w:r>
      <w:r w:rsidRPr="004D1D34">
        <w:rPr>
          <w:lang w:val="en-US"/>
        </w:rPr>
        <w:t xml:space="preserve"> I, </w:t>
      </w:r>
      <w:r>
        <w:t>п</w:t>
      </w:r>
      <w:r w:rsidR="006B7275">
        <w:rPr>
          <w:lang w:val="en-US"/>
        </w:rPr>
        <w:t>.</w:t>
      </w:r>
      <w:r w:rsidRPr="004D1D34">
        <w:rPr>
          <w:lang w:val="en-US"/>
        </w:rPr>
        <w:t xml:space="preserve"> III.B.1. </w:t>
      </w:r>
    </w:p>
  </w:footnote>
  <w:footnote w:id="17">
    <w:p w14:paraId="6EB86A48" w14:textId="3661DE68" w:rsidR="001401C6" w:rsidRPr="004D1D34" w:rsidRDefault="001401C6" w:rsidP="001401C6">
      <w:pPr>
        <w:pStyle w:val="ad"/>
      </w:pPr>
      <w:r w:rsidRPr="004D1D34">
        <w:rPr>
          <w:lang w:val="en-US"/>
        </w:rPr>
        <w:tab/>
      </w:r>
      <w:r w:rsidRPr="001401C6">
        <w:rPr>
          <w:rStyle w:val="aa"/>
        </w:rPr>
        <w:footnoteRef/>
      </w:r>
      <w:r>
        <w:tab/>
        <w:t>Там же, п</w:t>
      </w:r>
      <w:r w:rsidR="006B7275">
        <w:t>п.</w:t>
      </w:r>
      <w:r>
        <w:t xml:space="preserve"> III.B.2 и 3.</w:t>
      </w:r>
    </w:p>
  </w:footnote>
  <w:footnote w:id="18">
    <w:p w14:paraId="33D24817" w14:textId="40C16467" w:rsidR="001401C6" w:rsidRPr="004D1D34" w:rsidRDefault="001401C6" w:rsidP="001401C6">
      <w:pPr>
        <w:pStyle w:val="ad"/>
      </w:pPr>
      <w:r>
        <w:tab/>
      </w:r>
      <w:r w:rsidRPr="001401C6">
        <w:rPr>
          <w:rStyle w:val="aa"/>
        </w:rPr>
        <w:footnoteRef/>
      </w:r>
      <w:r>
        <w:tab/>
      </w:r>
      <w:r w:rsidR="00FE5494" w:rsidRPr="001B24EB">
        <w:t>ECE/MP.EIA/23/Add.1–ECE/MP.EIA/SEA/7/Add.1</w:t>
      </w:r>
      <w:r>
        <w:t>, решение VII/3–III/3, приложение II, п</w:t>
      </w:r>
      <w:r w:rsidR="006B7275" w:rsidRPr="006B7275">
        <w:t>.</w:t>
      </w:r>
      <w:r w:rsidR="006B7275">
        <w:rPr>
          <w:lang w:val="en-US"/>
        </w:rPr>
        <w:t> </w:t>
      </w:r>
      <w:r>
        <w:t xml:space="preserve">IV.1. </w:t>
      </w:r>
    </w:p>
  </w:footnote>
  <w:footnote w:id="19">
    <w:p w14:paraId="25245E9E" w14:textId="768A1325" w:rsidR="001401C6" w:rsidRPr="004D1D34" w:rsidRDefault="001401C6" w:rsidP="001401C6">
      <w:pPr>
        <w:pStyle w:val="ad"/>
      </w:pPr>
      <w:r>
        <w:tab/>
      </w:r>
      <w:r w:rsidRPr="001401C6">
        <w:rPr>
          <w:rStyle w:val="aa"/>
        </w:rPr>
        <w:footnoteRef/>
      </w:r>
      <w:r>
        <w:tab/>
        <w:t xml:space="preserve">Доклад </w:t>
      </w:r>
      <w:r w:rsidR="00055813">
        <w:t>опубликован</w:t>
      </w:r>
      <w:r>
        <w:t xml:space="preserve"> на сайте </w:t>
      </w:r>
      <w:hyperlink r:id="rId7" w:history="1">
        <w:r w:rsidR="006B7275" w:rsidRPr="00D530FB">
          <w:rPr>
            <w:rStyle w:val="af1"/>
          </w:rPr>
          <w:t>https://unece.org/environmental-policy/events/enhancing-sea-selected-countries-eastern-europe-caucasus-and-central</w:t>
        </w:r>
      </w:hyperlink>
      <w:r>
        <w:t>.</w:t>
      </w:r>
    </w:p>
  </w:footnote>
  <w:footnote w:id="20">
    <w:p w14:paraId="7F4E9914" w14:textId="35C6E9F2" w:rsidR="001401C6" w:rsidRPr="004D1D34" w:rsidRDefault="001401C6" w:rsidP="001401C6">
      <w:pPr>
        <w:pStyle w:val="ad"/>
      </w:pPr>
      <w:r>
        <w:tab/>
      </w:r>
      <w:r w:rsidRPr="001401C6">
        <w:rPr>
          <w:rStyle w:val="aa"/>
        </w:rPr>
        <w:footnoteRef/>
      </w:r>
      <w:r>
        <w:tab/>
        <w:t xml:space="preserve">См. </w:t>
      </w:r>
      <w:hyperlink r:id="rId8" w:history="1">
        <w:r w:rsidR="006B7275" w:rsidRPr="00D530FB">
          <w:rPr>
            <w:rStyle w:val="af1"/>
          </w:rPr>
          <w:t>www.youtube.com/watch?v=4LntIVY_p-4&amp;list=PLFz_9icLLl-KfM-6Mg9wN1VQFmiQGeOiA&amp;index=7</w:t>
        </w:r>
      </w:hyperlink>
      <w:r>
        <w:t>.</w:t>
      </w:r>
    </w:p>
  </w:footnote>
  <w:footnote w:id="21">
    <w:p w14:paraId="055391A0" w14:textId="2B09C620" w:rsidR="001401C6" w:rsidRPr="004D1D34" w:rsidRDefault="001401C6" w:rsidP="001401C6">
      <w:pPr>
        <w:pStyle w:val="ad"/>
      </w:pPr>
      <w:r>
        <w:tab/>
      </w:r>
      <w:r w:rsidRPr="001401C6">
        <w:rPr>
          <w:rStyle w:val="aa"/>
        </w:rPr>
        <w:footnoteRef/>
      </w:r>
      <w:r>
        <w:tab/>
        <w:t>Руководство по оценке воздействия планов и программ на здоровье человека и по привлечению органов здравоохранения к</w:t>
      </w:r>
      <w:r w:rsidR="006B7275">
        <w:t xml:space="preserve"> </w:t>
      </w:r>
      <w:r>
        <w:t>проведению стратегической экологической оценки: концептуальная записка (Guidance on addressing health impacts of plans and programmes and for the involvement of health authorities in strategic environmental assessment: a concept note) (ECE/MP.EIA/WG.2/2018/INF.9)</w:t>
      </w:r>
    </w:p>
  </w:footnote>
  <w:footnote w:id="22">
    <w:p w14:paraId="72065641" w14:textId="77777777" w:rsidR="001401C6" w:rsidRPr="004D1D34" w:rsidRDefault="001401C6" w:rsidP="001401C6">
      <w:pPr>
        <w:pStyle w:val="ad"/>
      </w:pPr>
      <w:r w:rsidRPr="00C835E6">
        <w:tab/>
      </w:r>
      <w:r w:rsidRPr="001401C6">
        <w:rPr>
          <w:rStyle w:val="aa"/>
        </w:rPr>
        <w:footnoteRef/>
      </w:r>
      <w:r>
        <w:t xml:space="preserve"> </w:t>
      </w:r>
      <w:r>
        <w:tab/>
      </w:r>
      <w:r>
        <w:tab/>
        <w:t>См. документ ECE/MP.EIA/WG.2/2019/2, пп. 42‒44.</w:t>
      </w:r>
    </w:p>
  </w:footnote>
  <w:footnote w:id="23">
    <w:p w14:paraId="7827DF1D" w14:textId="77777777" w:rsidR="001401C6" w:rsidRPr="004D1D34" w:rsidRDefault="001401C6" w:rsidP="001401C6">
      <w:pPr>
        <w:pStyle w:val="ad"/>
      </w:pPr>
      <w:r>
        <w:tab/>
      </w:r>
      <w:r w:rsidRPr="001401C6">
        <w:rPr>
          <w:rStyle w:val="aa"/>
        </w:rPr>
        <w:footnoteRef/>
      </w:r>
      <w:r>
        <w:t xml:space="preserve"> </w:t>
      </w:r>
      <w:r>
        <w:tab/>
      </w:r>
      <w:r>
        <w:tab/>
        <w:t>См. документ ECE/MP.EIA/WG.2/2020/2, пп. 38‒44.</w:t>
      </w:r>
    </w:p>
  </w:footnote>
  <w:footnote w:id="24">
    <w:p w14:paraId="2CA76422" w14:textId="77777777" w:rsidR="001401C6" w:rsidRPr="004D1D34" w:rsidRDefault="001401C6" w:rsidP="001401C6">
      <w:pPr>
        <w:pStyle w:val="ad"/>
      </w:pPr>
      <w:r w:rsidRPr="001B4E9E">
        <w:tab/>
      </w:r>
      <w:r w:rsidRPr="001401C6">
        <w:rPr>
          <w:rStyle w:val="aa"/>
        </w:rPr>
        <w:footnoteRef/>
      </w:r>
      <w:r>
        <w:tab/>
        <w:t>ECE/MP.EIA/30/Add.1–ECE/MP.EIA/SEA/13/Add.1, Вильнюсская декларация, п. 13.</w:t>
      </w:r>
    </w:p>
  </w:footnote>
  <w:footnote w:id="25">
    <w:p w14:paraId="2CB924ED" w14:textId="77777777" w:rsidR="001401C6" w:rsidRPr="004D1D34" w:rsidRDefault="001401C6" w:rsidP="001401C6">
      <w:pPr>
        <w:pStyle w:val="ad"/>
      </w:pPr>
      <w:r w:rsidRPr="0069565F">
        <w:tab/>
      </w:r>
      <w:r w:rsidRPr="001401C6">
        <w:rPr>
          <w:rStyle w:val="aa"/>
        </w:rPr>
        <w:footnoteRef/>
      </w:r>
      <w:r>
        <w:tab/>
        <w:t>Там же, решение VIII/2–IV/2; и ECE/MP.EIA/30–ECE/MP.EIA/SEA/13, п. 33.</w:t>
      </w:r>
    </w:p>
  </w:footnote>
  <w:footnote w:id="26">
    <w:p w14:paraId="55CA50E4" w14:textId="0FC2A9F6" w:rsidR="001401C6" w:rsidRPr="004D1D34" w:rsidRDefault="001401C6" w:rsidP="001401C6">
      <w:pPr>
        <w:pStyle w:val="ad"/>
      </w:pPr>
      <w:r>
        <w:tab/>
      </w:r>
      <w:r w:rsidRPr="001401C6">
        <w:rPr>
          <w:rStyle w:val="aa"/>
        </w:rPr>
        <w:footnoteRef/>
      </w:r>
      <w:r>
        <w:tab/>
        <w:t xml:space="preserve">Европейское региональное бюро Всемирной организации здравоохранения, </w:t>
      </w:r>
      <w:r w:rsidR="006B7275">
        <w:t>«</w:t>
      </w:r>
      <w:r>
        <w:t>Изучение практического опыта. Примеры из практики рассмотрения вопросов здоровья в рамках стратегической экологической оценки и оценки воздействия на окружающую среду в Европейском регионе ВОЗ</w:t>
      </w:r>
      <w:r w:rsidR="006B7275">
        <w:t>»</w:t>
      </w:r>
      <w:r>
        <w:t xml:space="preserve"> (Копенгаген, 2022 год).</w:t>
      </w:r>
    </w:p>
  </w:footnote>
  <w:footnote w:id="27">
    <w:p w14:paraId="4D8E2EE4" w14:textId="77777777" w:rsidR="001401C6" w:rsidRPr="004D1D34" w:rsidRDefault="001401C6" w:rsidP="001401C6">
      <w:pPr>
        <w:pStyle w:val="ad"/>
      </w:pPr>
      <w:r>
        <w:tab/>
      </w:r>
      <w:r w:rsidRPr="001401C6">
        <w:rPr>
          <w:rStyle w:val="aa"/>
        </w:rPr>
        <w:footnoteRef/>
      </w:r>
      <w:r>
        <w:tab/>
        <w:t>Европейская экономическая комиссия Организации Объединенных Наций, 2022 год.</w:t>
      </w:r>
    </w:p>
  </w:footnote>
  <w:footnote w:id="28">
    <w:p w14:paraId="62A9C887" w14:textId="77777777" w:rsidR="001401C6" w:rsidRPr="004D1D34" w:rsidRDefault="001401C6" w:rsidP="001401C6">
      <w:pPr>
        <w:pStyle w:val="ad"/>
      </w:pPr>
      <w:r>
        <w:tab/>
      </w:r>
      <w:r w:rsidRPr="001401C6">
        <w:rPr>
          <w:rStyle w:val="aa"/>
        </w:rPr>
        <w:footnoteRef/>
      </w:r>
      <w:r>
        <w:t xml:space="preserve"> </w:t>
      </w:r>
      <w:r>
        <w:tab/>
        <w:t>Организация по безопасности и сотрудничеству в Европе, Конвенция ЕЭК ООН об оценке воздействия на окружающую среду в трансграничном контексте. Конвенция Эспо. Избранные тезисы в иллюстрациях (2021 год).</w:t>
      </w:r>
    </w:p>
  </w:footnote>
  <w:footnote w:id="29">
    <w:p w14:paraId="267ECBDF" w14:textId="072D44C8" w:rsidR="001401C6" w:rsidRPr="004D1D34" w:rsidRDefault="001401C6" w:rsidP="001401C6">
      <w:pPr>
        <w:pStyle w:val="ad"/>
      </w:pPr>
      <w:r w:rsidRPr="00D845B2">
        <w:tab/>
      </w:r>
      <w:r w:rsidRPr="001401C6">
        <w:rPr>
          <w:rStyle w:val="aa"/>
        </w:rPr>
        <w:footnoteRef/>
      </w:r>
      <w:r>
        <w:tab/>
        <w:t xml:space="preserve">Краткие рекомендации (FasTips) на английском языке см. на сайте </w:t>
      </w:r>
      <w:hyperlink r:id="rId9" w:history="1">
        <w:r w:rsidR="006B7275" w:rsidRPr="00D530FB">
          <w:rPr>
            <w:rStyle w:val="af1"/>
          </w:rPr>
          <w:t>www.iaia.org/fasttips.php</w:t>
        </w:r>
      </w:hyperlink>
      <w:r>
        <w:t xml:space="preserve">; </w:t>
      </w:r>
      <w:r w:rsidR="006B7275">
        <w:br/>
      </w:r>
      <w:r>
        <w:t xml:space="preserve">их переводы см. на сайте </w:t>
      </w:r>
      <w:hyperlink r:id="rId10" w:history="1">
        <w:r w:rsidR="006B7275" w:rsidRPr="00D530FB">
          <w:rPr>
            <w:rStyle w:val="af1"/>
          </w:rPr>
          <w:t>www.iaia.org/translated-documents.php</w:t>
        </w:r>
      </w:hyperlink>
      <w:r>
        <w:t>.</w:t>
      </w:r>
    </w:p>
  </w:footnote>
  <w:footnote w:id="30">
    <w:p w14:paraId="695FE1E8" w14:textId="4B2D43D4" w:rsidR="001401C6" w:rsidRPr="004D1D34" w:rsidRDefault="001401C6" w:rsidP="001401C6">
      <w:pPr>
        <w:pStyle w:val="ad"/>
      </w:pPr>
      <w:r>
        <w:tab/>
      </w:r>
      <w:r w:rsidRPr="001401C6">
        <w:rPr>
          <w:rStyle w:val="aa"/>
        </w:rPr>
        <w:footnoteRef/>
      </w:r>
      <w:r>
        <w:tab/>
        <w:t xml:space="preserve">См. записку от 10 ноября 2020 года с изменениями от 27 ноября 2020 года, доступную по адресу </w:t>
      </w:r>
      <w:hyperlink r:id="rId11" w:history="1">
        <w:r w:rsidR="006B7275" w:rsidRPr="00D530FB">
          <w:rPr>
            <w:rStyle w:val="af1"/>
          </w:rPr>
          <w:t>https://unece.org/environmental-policy/events/meeting-parties-espoo-convention-8th-session-and-meeting-parties</w:t>
        </w:r>
      </w:hyperlink>
      <w:r>
        <w:t xml:space="preserve"> (в разделе </w:t>
      </w:r>
      <w:r w:rsidR="006B7275">
        <w:t>«</w:t>
      </w:r>
      <w:r>
        <w:t>informal documents</w:t>
      </w:r>
      <w:r w:rsidR="006B7275">
        <w:t>»</w:t>
      </w:r>
      <w:r w:rsidR="00FE5494">
        <w:t>,</w:t>
      </w:r>
      <w:r>
        <w:t xml:space="preserve"> </w:t>
      </w:r>
      <w:r w:rsidR="006B7275">
        <w:t>«</w:t>
      </w:r>
      <w:r>
        <w:t>item 2</w:t>
      </w:r>
      <w:r w:rsidR="006B7275">
        <w:t>»</w:t>
      </w:r>
      <w:r>
        <w:t>).</w:t>
      </w:r>
    </w:p>
  </w:footnote>
  <w:footnote w:id="31">
    <w:p w14:paraId="53750428" w14:textId="77777777" w:rsidR="00FE5494" w:rsidRPr="00943799" w:rsidRDefault="00FE5494" w:rsidP="00FE5494">
      <w:pPr>
        <w:pStyle w:val="ad"/>
        <w:rPr>
          <w:lang w:val="en-US"/>
        </w:rPr>
      </w:pPr>
      <w:r w:rsidRPr="00C835E6">
        <w:tab/>
      </w:r>
      <w:r w:rsidRPr="001401C6">
        <w:rPr>
          <w:rStyle w:val="aa"/>
        </w:rPr>
        <w:footnoteRef/>
      </w:r>
      <w:r w:rsidRPr="004D1D34">
        <w:rPr>
          <w:lang w:val="en-US"/>
        </w:rPr>
        <w:t xml:space="preserve"> </w:t>
      </w:r>
      <w:r w:rsidRPr="004D1D34">
        <w:rPr>
          <w:lang w:val="en-US"/>
        </w:rPr>
        <w:tab/>
      </w:r>
      <w:r w:rsidRPr="004D1D34">
        <w:rPr>
          <w:lang w:val="en-US"/>
        </w:rPr>
        <w:tab/>
        <w:t xml:space="preserve">ECE/MP.EIA/WG.2/2021/2, </w:t>
      </w:r>
      <w:r>
        <w:t>п</w:t>
      </w:r>
      <w:r w:rsidRPr="004D1D34">
        <w:rPr>
          <w:lang w:val="en-US"/>
        </w:rPr>
        <w:t>. 60</w:t>
      </w:r>
      <w:r w:rsidRPr="00943799">
        <w:rPr>
          <w:lang w:val="en-US"/>
        </w:rPr>
        <w:t>.</w:t>
      </w:r>
    </w:p>
  </w:footnote>
  <w:footnote w:id="32">
    <w:p w14:paraId="741C2491" w14:textId="1B0EE22B" w:rsidR="001401C6" w:rsidRPr="004D1D34" w:rsidRDefault="001401C6" w:rsidP="001401C6">
      <w:pPr>
        <w:pStyle w:val="ad"/>
      </w:pPr>
      <w:r w:rsidRPr="004D1D34">
        <w:rPr>
          <w:lang w:val="en-US"/>
        </w:rPr>
        <w:tab/>
      </w:r>
      <w:r w:rsidRPr="001401C6">
        <w:rPr>
          <w:rStyle w:val="aa"/>
        </w:rPr>
        <w:footnoteRef/>
      </w:r>
      <w:r>
        <w:t xml:space="preserve"> </w:t>
      </w:r>
      <w:r>
        <w:tab/>
        <w:t xml:space="preserve">См. </w:t>
      </w:r>
      <w:hyperlink r:id="rId12" w:history="1">
        <w:r w:rsidR="00055813" w:rsidRPr="00D530FB">
          <w:rPr>
            <w:rStyle w:val="af1"/>
          </w:rPr>
          <w:t>https://regionalforum.unece.org/</w:t>
        </w:r>
      </w:hyperlink>
      <w:r>
        <w:t>.</w:t>
      </w:r>
    </w:p>
  </w:footnote>
  <w:footnote w:id="33">
    <w:p w14:paraId="76B3B300" w14:textId="4D272583" w:rsidR="001401C6" w:rsidRPr="004D1D34" w:rsidRDefault="001401C6" w:rsidP="001401C6">
      <w:pPr>
        <w:pStyle w:val="ad"/>
      </w:pPr>
      <w:r w:rsidRPr="00B9268B">
        <w:tab/>
      </w:r>
      <w:r w:rsidRPr="001401C6">
        <w:rPr>
          <w:rStyle w:val="aa"/>
        </w:rPr>
        <w:footnoteRef/>
      </w:r>
      <w:r>
        <w:t xml:space="preserve"> </w:t>
      </w:r>
      <w:r>
        <w:tab/>
        <w:t xml:space="preserve">См. </w:t>
      </w:r>
      <w:hyperlink r:id="rId13" w:history="1">
        <w:r w:rsidR="00055813" w:rsidRPr="00D530FB">
          <w:rPr>
            <w:rStyle w:val="af1"/>
          </w:rPr>
          <w:t>https://unece.org/nicosia-conference</w:t>
        </w:r>
      </w:hyperlink>
      <w:r>
        <w:t>.</w:t>
      </w:r>
    </w:p>
  </w:footnote>
  <w:footnote w:id="34">
    <w:p w14:paraId="66E70F98" w14:textId="7145B8F6" w:rsidR="001401C6" w:rsidRPr="004D1D34" w:rsidRDefault="001401C6" w:rsidP="001401C6">
      <w:pPr>
        <w:pStyle w:val="ad"/>
      </w:pPr>
      <w:r>
        <w:tab/>
      </w:r>
      <w:r w:rsidRPr="001401C6">
        <w:rPr>
          <w:rStyle w:val="aa"/>
        </w:rPr>
        <w:footnoteRef/>
      </w:r>
      <w:r>
        <w:tab/>
        <w:t xml:space="preserve">См. </w:t>
      </w:r>
      <w:hyperlink r:id="rId14" w:history="1">
        <w:r w:rsidR="00055813" w:rsidRPr="00D530FB">
          <w:rPr>
            <w:rStyle w:val="af1"/>
          </w:rPr>
          <w:t>https://unece.org/unece-and-sdgs/working-group-transforming-extractive-industries-sustainable-development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3ED" w14:textId="5CF02218" w:rsidR="001401C6" w:rsidRPr="001401C6" w:rsidRDefault="00B47B9C">
    <w:pPr>
      <w:pStyle w:val="a5"/>
    </w:pPr>
    <w:r>
      <w:fldChar w:fldCharType="begin"/>
    </w:r>
    <w:r>
      <w:instrText xml:space="preserve"> TITLE  \* MERGEFORMAT </w:instrText>
    </w:r>
    <w:r>
      <w:fldChar w:fldCharType="separate"/>
    </w:r>
    <w:r>
      <w:t>ECE/MP.EIA/WG.2/2022/2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3E3F" w14:textId="023BE9A6" w:rsidR="001401C6" w:rsidRPr="001401C6" w:rsidRDefault="00B47B9C" w:rsidP="001401C6">
    <w:pPr>
      <w:pStyle w:val="a5"/>
      <w:jc w:val="right"/>
    </w:pPr>
    <w:r>
      <w:fldChar w:fldCharType="begin"/>
    </w:r>
    <w:r>
      <w:instrText xml:space="preserve"> TITLE </w:instrText>
    </w:r>
    <w:r>
      <w:instrText xml:space="preserve"> \* MERGEFORMAT </w:instrText>
    </w:r>
    <w:r>
      <w:fldChar w:fldCharType="separate"/>
    </w:r>
    <w:r>
      <w:t>ECE/MP.EIA/WG.2/2022/2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5934926">
    <w:abstractNumId w:val="16"/>
  </w:num>
  <w:num w:numId="2" w16cid:durableId="852035797">
    <w:abstractNumId w:val="11"/>
  </w:num>
  <w:num w:numId="3" w16cid:durableId="1113551364">
    <w:abstractNumId w:val="10"/>
  </w:num>
  <w:num w:numId="4" w16cid:durableId="238372558">
    <w:abstractNumId w:val="17"/>
  </w:num>
  <w:num w:numId="5" w16cid:durableId="1586500816">
    <w:abstractNumId w:val="13"/>
  </w:num>
  <w:num w:numId="6" w16cid:durableId="1965116247">
    <w:abstractNumId w:val="8"/>
  </w:num>
  <w:num w:numId="7" w16cid:durableId="1529297980">
    <w:abstractNumId w:val="3"/>
  </w:num>
  <w:num w:numId="8" w16cid:durableId="1391688997">
    <w:abstractNumId w:val="2"/>
  </w:num>
  <w:num w:numId="9" w16cid:durableId="1819883985">
    <w:abstractNumId w:val="1"/>
  </w:num>
  <w:num w:numId="10" w16cid:durableId="1083185087">
    <w:abstractNumId w:val="0"/>
  </w:num>
  <w:num w:numId="11" w16cid:durableId="936403171">
    <w:abstractNumId w:val="9"/>
  </w:num>
  <w:num w:numId="12" w16cid:durableId="1998605219">
    <w:abstractNumId w:val="7"/>
  </w:num>
  <w:num w:numId="13" w16cid:durableId="1708218562">
    <w:abstractNumId w:val="6"/>
  </w:num>
  <w:num w:numId="14" w16cid:durableId="228617771">
    <w:abstractNumId w:val="5"/>
  </w:num>
  <w:num w:numId="15" w16cid:durableId="1344210936">
    <w:abstractNumId w:val="4"/>
  </w:num>
  <w:num w:numId="16" w16cid:durableId="500898125">
    <w:abstractNumId w:val="15"/>
  </w:num>
  <w:num w:numId="17" w16cid:durableId="741024650">
    <w:abstractNumId w:val="12"/>
  </w:num>
  <w:num w:numId="18" w16cid:durableId="1448742210">
    <w:abstractNumId w:val="14"/>
  </w:num>
  <w:num w:numId="19" w16cid:durableId="236941978">
    <w:abstractNumId w:val="15"/>
  </w:num>
  <w:num w:numId="20" w16cid:durableId="1311906072">
    <w:abstractNumId w:val="12"/>
  </w:num>
  <w:num w:numId="21" w16cid:durableId="791037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9A"/>
    <w:rsid w:val="00033EE1"/>
    <w:rsid w:val="00042270"/>
    <w:rsid w:val="00042B72"/>
    <w:rsid w:val="00055813"/>
    <w:rsid w:val="000558BD"/>
    <w:rsid w:val="00087E42"/>
    <w:rsid w:val="000B57E7"/>
    <w:rsid w:val="000B6373"/>
    <w:rsid w:val="000E4E5B"/>
    <w:rsid w:val="000F09DF"/>
    <w:rsid w:val="000F61B2"/>
    <w:rsid w:val="001075E9"/>
    <w:rsid w:val="001401C6"/>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7275"/>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2585"/>
    <w:rsid w:val="008B6909"/>
    <w:rsid w:val="008D53B6"/>
    <w:rsid w:val="008F7609"/>
    <w:rsid w:val="00906890"/>
    <w:rsid w:val="00911BE4"/>
    <w:rsid w:val="00951972"/>
    <w:rsid w:val="009608F3"/>
    <w:rsid w:val="009A24AC"/>
    <w:rsid w:val="009C59D7"/>
    <w:rsid w:val="009C6FE6"/>
    <w:rsid w:val="009D7E7D"/>
    <w:rsid w:val="00A14DA8"/>
    <w:rsid w:val="00A2099A"/>
    <w:rsid w:val="00A312BC"/>
    <w:rsid w:val="00A84021"/>
    <w:rsid w:val="00A84D35"/>
    <w:rsid w:val="00A917B3"/>
    <w:rsid w:val="00AB4B51"/>
    <w:rsid w:val="00B10CC7"/>
    <w:rsid w:val="00B36DF7"/>
    <w:rsid w:val="00B47B9C"/>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1889"/>
    <w:rsid w:val="00F2523A"/>
    <w:rsid w:val="00F43903"/>
    <w:rsid w:val="00F94155"/>
    <w:rsid w:val="00F9783F"/>
    <w:rsid w:val="00FD2EF7"/>
    <w:rsid w:val="00FE447E"/>
    <w:rsid w:val="00FE549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E2E87"/>
  <w15:docId w15:val="{F94B68C9-42EC-4547-8467-3944E4B5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1401C6"/>
    <w:rPr>
      <w:b/>
      <w:lang w:val="ru-RU" w:eastAsia="ru-RU"/>
    </w:rPr>
  </w:style>
  <w:style w:type="character" w:styleId="af3">
    <w:name w:val="Unresolved Mention"/>
    <w:basedOn w:val="a0"/>
    <w:uiPriority w:val="99"/>
    <w:semiHidden/>
    <w:unhideWhenUsed/>
    <w:rsid w:val="0014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4LntIVY_p-4&amp;list=PLFz_9icLLl-KfM-6Mg9wN1VQFmiQGeOiA&amp;index=7" TargetMode="External"/><Relationship Id="rId13" Type="http://schemas.openxmlformats.org/officeDocument/2006/relationships/hyperlink" Target="https://unece.org/nicosia-conference" TargetMode="External"/><Relationship Id="rId3" Type="http://schemas.openxmlformats.org/officeDocument/2006/relationships/hyperlink" Target="https://unece.org/sessions-3" TargetMode="External"/><Relationship Id="rId7" Type="http://schemas.openxmlformats.org/officeDocument/2006/relationships/hyperlink" Target="https://unece.org/environmental-policy/events/enhancing-sea-selected-countries-eastern-europe-caucasus-and-central" TargetMode="External"/><Relationship Id="rId12" Type="http://schemas.openxmlformats.org/officeDocument/2006/relationships/hyperlink" Target="https://regionalforum.unece.org/" TargetMode="External"/><Relationship Id="rId2" Type="http://schemas.openxmlformats.org/officeDocument/2006/relationships/hyperlink" Target="http://www.un.org/development/desa/jpo/about/" TargetMode="External"/><Relationship Id="rId1" Type="http://schemas.openxmlformats.org/officeDocument/2006/relationships/hyperlink" Target="https://unece.org/info/Environmental-Policy/Environmental-Impact-Assessment/events/364357" TargetMode="External"/><Relationship Id="rId6" Type="http://schemas.openxmlformats.org/officeDocument/2006/relationships/hyperlink" Target="http://unece.org/info/Environmental-Policy/Environmental-Impact-Assessment/events/367411" TargetMode="External"/><Relationship Id="rId11" Type="http://schemas.openxmlformats.org/officeDocument/2006/relationships/hyperlink" Target="https://unece.org/environmental-policy/events/meeting-parties-espoo-convention-8th-session-and-meeting-parties" TargetMode="External"/><Relationship Id="rId5" Type="http://schemas.openxmlformats.org/officeDocument/2006/relationships/hyperlink" Target="http://unece.org/info/Environmental-Policy/Environmental-Impact-Assessment/events/368973" TargetMode="External"/><Relationship Id="rId10" Type="http://schemas.openxmlformats.org/officeDocument/2006/relationships/hyperlink" Target="http://www.iaia.org/translated-documents.php" TargetMode="External"/><Relationship Id="rId4" Type="http://schemas.openxmlformats.org/officeDocument/2006/relationships/hyperlink" Target="https://oekobuero.at/files/823/oekobueroracse_lte_assessment_and_public_participation.pdf" TargetMode="External"/><Relationship Id="rId9" Type="http://schemas.openxmlformats.org/officeDocument/2006/relationships/hyperlink" Target="http://www.iaia.org/fasttips.php" TargetMode="External"/><Relationship Id="rId14" Type="http://schemas.openxmlformats.org/officeDocument/2006/relationships/hyperlink" Target="https://unece.org/unece-and-sdgs/working-group-transforming-extractive-industries-sustainable-develo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F6B61-778E-4DBF-97FF-3DAA409F9BA8}"/>
</file>

<file path=customXml/itemProps2.xml><?xml version="1.0" encoding="utf-8"?>
<ds:datastoreItem xmlns:ds="http://schemas.openxmlformats.org/officeDocument/2006/customXml" ds:itemID="{A8CB838C-70A4-4574-A8B7-B770DA6BB81C}"/>
</file>

<file path=docProps/app.xml><?xml version="1.0" encoding="utf-8"?>
<Properties xmlns="http://schemas.openxmlformats.org/officeDocument/2006/extended-properties" xmlns:vt="http://schemas.openxmlformats.org/officeDocument/2006/docPropsVTypes">
  <Template>ECE.dotm</Template>
  <TotalTime>8</TotalTime>
  <Pages>20</Pages>
  <Words>7778</Words>
  <Characters>53057</Characters>
  <Application>Microsoft Office Word</Application>
  <DocSecurity>0</DocSecurity>
  <Lines>901</Lines>
  <Paragraphs>176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ECE/MP.EIA/WG.2/2022/2</vt:lpstr>
      <vt:lpstr>A/</vt:lpstr>
      <vt:lpstr>A/</vt:lpstr>
    </vt:vector>
  </TitlesOfParts>
  <Company>DCM</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ECE/MP.EIA/WG.2/2022/2</dc:title>
  <dc:subject/>
  <dc:creator>Anna BLAGODATSKIKH</dc:creator>
  <cp:keywords/>
  <cp:lastModifiedBy>Anna Blagodatskikh</cp:lastModifiedBy>
  <cp:revision>3</cp:revision>
  <cp:lastPrinted>2023-04-27T14:13:00Z</cp:lastPrinted>
  <dcterms:created xsi:type="dcterms:W3CDTF">2023-04-27T14:13:00Z</dcterms:created>
  <dcterms:modified xsi:type="dcterms:W3CDTF">2023-04-27T14:16:00Z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