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B49A719" w14:textId="77777777" w:rsidTr="00387CD4">
        <w:trPr>
          <w:trHeight w:hRule="exact" w:val="851"/>
        </w:trPr>
        <w:tc>
          <w:tcPr>
            <w:tcW w:w="142" w:type="dxa"/>
            <w:tcBorders>
              <w:bottom w:val="single" w:sz="4" w:space="0" w:color="auto"/>
            </w:tcBorders>
          </w:tcPr>
          <w:p w14:paraId="44F7D0F3" w14:textId="77777777" w:rsidR="002D5AAC" w:rsidRDefault="002D5AAC" w:rsidP="0062730B">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217E6D9"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9FFF43E" w14:textId="01DB671C" w:rsidR="002D5AAC" w:rsidRDefault="0062730B" w:rsidP="0062730B">
            <w:pPr>
              <w:jc w:val="right"/>
            </w:pPr>
            <w:r w:rsidRPr="0062730B">
              <w:rPr>
                <w:sz w:val="40"/>
              </w:rPr>
              <w:t>ECE</w:t>
            </w:r>
            <w:r>
              <w:t>/MP.EIA/IC/2023/2</w:t>
            </w:r>
          </w:p>
        </w:tc>
      </w:tr>
      <w:tr w:rsidR="002D5AAC" w:rsidRPr="00C80D30" w14:paraId="7A58C5C9" w14:textId="77777777" w:rsidTr="00387CD4">
        <w:trPr>
          <w:trHeight w:hRule="exact" w:val="2835"/>
        </w:trPr>
        <w:tc>
          <w:tcPr>
            <w:tcW w:w="1280" w:type="dxa"/>
            <w:gridSpan w:val="2"/>
            <w:tcBorders>
              <w:top w:val="single" w:sz="4" w:space="0" w:color="auto"/>
              <w:bottom w:val="single" w:sz="12" w:space="0" w:color="auto"/>
            </w:tcBorders>
          </w:tcPr>
          <w:p w14:paraId="239C22E1" w14:textId="77777777" w:rsidR="002D5AAC" w:rsidRDefault="002E5067" w:rsidP="00387CD4">
            <w:pPr>
              <w:spacing w:before="120"/>
              <w:jc w:val="center"/>
            </w:pPr>
            <w:r>
              <w:rPr>
                <w:noProof/>
                <w:lang w:val="fr-CH" w:eastAsia="fr-CH"/>
              </w:rPr>
              <w:drawing>
                <wp:inline distT="0" distB="0" distL="0" distR="0" wp14:anchorId="5E6BAFF0" wp14:editId="64496AEB">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37F2DF71"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3C61BE67" w14:textId="77777777" w:rsidR="002D5AAC" w:rsidRDefault="0062730B" w:rsidP="00387CD4">
            <w:pPr>
              <w:spacing w:before="240"/>
              <w:rPr>
                <w:lang w:val="en-US"/>
              </w:rPr>
            </w:pPr>
            <w:r>
              <w:rPr>
                <w:lang w:val="en-US"/>
              </w:rPr>
              <w:t>Distr.: General</w:t>
            </w:r>
          </w:p>
          <w:p w14:paraId="375BE5C9" w14:textId="77777777" w:rsidR="0062730B" w:rsidRDefault="0062730B" w:rsidP="0062730B">
            <w:pPr>
              <w:spacing w:line="240" w:lineRule="exact"/>
              <w:rPr>
                <w:lang w:val="en-US"/>
              </w:rPr>
            </w:pPr>
            <w:r>
              <w:rPr>
                <w:lang w:val="en-US"/>
              </w:rPr>
              <w:t>15 February 2023</w:t>
            </w:r>
          </w:p>
          <w:p w14:paraId="4FD6DFEB" w14:textId="77777777" w:rsidR="0062730B" w:rsidRDefault="0062730B" w:rsidP="0062730B">
            <w:pPr>
              <w:spacing w:line="240" w:lineRule="exact"/>
              <w:rPr>
                <w:lang w:val="en-US"/>
              </w:rPr>
            </w:pPr>
            <w:r>
              <w:rPr>
                <w:lang w:val="en-US"/>
              </w:rPr>
              <w:t>Russian</w:t>
            </w:r>
          </w:p>
          <w:p w14:paraId="7B72B363" w14:textId="54BEE6E1" w:rsidR="0062730B" w:rsidRPr="008D53B6" w:rsidRDefault="0062730B" w:rsidP="0062730B">
            <w:pPr>
              <w:spacing w:line="240" w:lineRule="exact"/>
              <w:rPr>
                <w:lang w:val="en-US"/>
              </w:rPr>
            </w:pPr>
            <w:r>
              <w:rPr>
                <w:lang w:val="en-US"/>
              </w:rPr>
              <w:t>Original: English</w:t>
            </w:r>
          </w:p>
        </w:tc>
      </w:tr>
    </w:tbl>
    <w:p w14:paraId="3AA8B4B8"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5E6ACDAE" w14:textId="0DE92F38" w:rsidR="0062730B" w:rsidRPr="00B97A7F" w:rsidRDefault="0062730B" w:rsidP="0062730B">
      <w:pPr>
        <w:spacing w:before="120"/>
        <w:rPr>
          <w:bCs/>
          <w:sz w:val="28"/>
          <w:szCs w:val="28"/>
        </w:rPr>
      </w:pPr>
      <w:r w:rsidRPr="00B97A7F">
        <w:rPr>
          <w:bCs/>
          <w:sz w:val="28"/>
          <w:szCs w:val="28"/>
        </w:rPr>
        <w:t xml:space="preserve">Совещание Сторон Конвенции об оценке </w:t>
      </w:r>
      <w:r w:rsidR="00837CDA">
        <w:rPr>
          <w:bCs/>
          <w:sz w:val="28"/>
          <w:szCs w:val="28"/>
        </w:rPr>
        <w:br/>
      </w:r>
      <w:r w:rsidRPr="00B97A7F">
        <w:rPr>
          <w:bCs/>
          <w:sz w:val="28"/>
          <w:szCs w:val="28"/>
        </w:rPr>
        <w:t xml:space="preserve">воздействия на окружающую среду </w:t>
      </w:r>
      <w:r w:rsidR="00837CDA">
        <w:rPr>
          <w:bCs/>
          <w:sz w:val="28"/>
          <w:szCs w:val="28"/>
        </w:rPr>
        <w:br/>
      </w:r>
      <w:r w:rsidRPr="00B97A7F">
        <w:rPr>
          <w:bCs/>
          <w:sz w:val="28"/>
          <w:szCs w:val="28"/>
        </w:rPr>
        <w:t>в трансграничном контексте</w:t>
      </w:r>
    </w:p>
    <w:p w14:paraId="42617BEE" w14:textId="4B270894" w:rsidR="0062730B" w:rsidRPr="00B97A7F" w:rsidRDefault="0062730B" w:rsidP="0062730B">
      <w:pPr>
        <w:spacing w:before="120"/>
        <w:rPr>
          <w:bCs/>
          <w:sz w:val="28"/>
          <w:szCs w:val="28"/>
        </w:rPr>
      </w:pPr>
      <w:r w:rsidRPr="00B97A7F">
        <w:rPr>
          <w:bCs/>
          <w:sz w:val="28"/>
          <w:szCs w:val="28"/>
        </w:rPr>
        <w:t xml:space="preserve">Совещание Сторон Конвенции об оценке </w:t>
      </w:r>
      <w:r w:rsidR="00837CDA">
        <w:rPr>
          <w:bCs/>
          <w:sz w:val="28"/>
          <w:szCs w:val="28"/>
        </w:rPr>
        <w:br/>
      </w:r>
      <w:r w:rsidRPr="00B97A7F">
        <w:rPr>
          <w:bCs/>
          <w:sz w:val="28"/>
          <w:szCs w:val="28"/>
        </w:rPr>
        <w:t xml:space="preserve">воздействия на окружающую среду </w:t>
      </w:r>
      <w:r w:rsidR="00837CDA">
        <w:rPr>
          <w:bCs/>
          <w:sz w:val="28"/>
          <w:szCs w:val="28"/>
        </w:rPr>
        <w:br/>
      </w:r>
      <w:r w:rsidRPr="00B97A7F">
        <w:rPr>
          <w:bCs/>
          <w:sz w:val="28"/>
          <w:szCs w:val="28"/>
        </w:rPr>
        <w:t xml:space="preserve">в трансграничном контексте, действующее </w:t>
      </w:r>
      <w:r w:rsidR="00837CDA">
        <w:rPr>
          <w:bCs/>
          <w:sz w:val="28"/>
          <w:szCs w:val="28"/>
        </w:rPr>
        <w:br/>
      </w:r>
      <w:r w:rsidRPr="00B97A7F">
        <w:rPr>
          <w:bCs/>
          <w:sz w:val="28"/>
          <w:szCs w:val="28"/>
        </w:rPr>
        <w:t xml:space="preserve">в качестве Совещания Сторон Протокола </w:t>
      </w:r>
      <w:r w:rsidR="00837CDA">
        <w:rPr>
          <w:bCs/>
          <w:sz w:val="28"/>
          <w:szCs w:val="28"/>
        </w:rPr>
        <w:br/>
      </w:r>
      <w:r w:rsidRPr="00B97A7F">
        <w:rPr>
          <w:bCs/>
          <w:sz w:val="28"/>
          <w:szCs w:val="28"/>
        </w:rPr>
        <w:t>по стратегической экологической оценке</w:t>
      </w:r>
    </w:p>
    <w:p w14:paraId="30DC2CA2" w14:textId="77777777" w:rsidR="0062730B" w:rsidRPr="00B97A7F" w:rsidRDefault="0062730B" w:rsidP="0062730B">
      <w:pPr>
        <w:spacing w:before="120"/>
        <w:rPr>
          <w:b/>
          <w:sz w:val="24"/>
          <w:szCs w:val="24"/>
        </w:rPr>
      </w:pPr>
      <w:r w:rsidRPr="00B97A7F">
        <w:rPr>
          <w:b/>
          <w:sz w:val="24"/>
          <w:szCs w:val="24"/>
        </w:rPr>
        <w:t>Комитет по осуществлению</w:t>
      </w:r>
    </w:p>
    <w:p w14:paraId="09A90E28" w14:textId="77777777" w:rsidR="0062730B" w:rsidRPr="00F54036" w:rsidRDefault="0062730B" w:rsidP="0062730B">
      <w:pPr>
        <w:spacing w:before="120"/>
        <w:rPr>
          <w:rFonts w:eastAsia="SimSun"/>
          <w:b/>
        </w:rPr>
      </w:pPr>
      <w:r>
        <w:rPr>
          <w:b/>
          <w:bCs/>
        </w:rPr>
        <w:t>Пятьдесят пятая сессия</w:t>
      </w:r>
    </w:p>
    <w:p w14:paraId="3590DD10" w14:textId="0677B790" w:rsidR="0062730B" w:rsidRPr="00F54036" w:rsidRDefault="0062730B" w:rsidP="0062730B">
      <w:pPr>
        <w:rPr>
          <w:rFonts w:eastAsia="SimSun"/>
        </w:rPr>
      </w:pPr>
      <w:r>
        <w:t xml:space="preserve">Женева, 31 января </w:t>
      </w:r>
      <w:r w:rsidR="00C80D30">
        <w:t>—</w:t>
      </w:r>
      <w:r>
        <w:t xml:space="preserve"> 3 февраля 2023 года</w:t>
      </w:r>
      <w:bookmarkStart w:id="0" w:name="_Hlk84947916"/>
      <w:bookmarkEnd w:id="0"/>
    </w:p>
    <w:p w14:paraId="117D8210" w14:textId="3380E68A" w:rsidR="0062730B" w:rsidRPr="00F54036" w:rsidRDefault="0062730B" w:rsidP="0062730B">
      <w:pPr>
        <w:pStyle w:val="HChG"/>
        <w:rPr>
          <w:rFonts w:eastAsia="SimSun"/>
        </w:rPr>
      </w:pPr>
      <w:r>
        <w:tab/>
      </w:r>
      <w:r>
        <w:tab/>
      </w:r>
      <w:r>
        <w:rPr>
          <w:bCs/>
        </w:rPr>
        <w:t xml:space="preserve">Доклад Комитета по осуществлению о работе </w:t>
      </w:r>
      <w:r w:rsidR="00837CDA">
        <w:rPr>
          <w:bCs/>
        </w:rPr>
        <w:br/>
      </w:r>
      <w:r>
        <w:rPr>
          <w:bCs/>
        </w:rPr>
        <w:t>его пятьдесят пятой сессии</w:t>
      </w:r>
      <w:bookmarkStart w:id="1" w:name="_Hlk70942064"/>
      <w:bookmarkEnd w:id="1"/>
    </w:p>
    <w:p w14:paraId="16F34BB9" w14:textId="77777777" w:rsidR="0062730B" w:rsidRPr="00F54036" w:rsidRDefault="0062730B" w:rsidP="0062730B">
      <w:pPr>
        <w:pStyle w:val="HChG"/>
        <w:rPr>
          <w:rFonts w:eastAsia="SimSun"/>
        </w:rPr>
      </w:pPr>
      <w:r>
        <w:tab/>
      </w:r>
      <w:r>
        <w:tab/>
      </w:r>
      <w:r>
        <w:rPr>
          <w:bCs/>
        </w:rPr>
        <w:t>Введение</w:t>
      </w:r>
    </w:p>
    <w:p w14:paraId="0EACBC9F" w14:textId="77777777" w:rsidR="0062730B" w:rsidRPr="00F54036" w:rsidRDefault="0062730B" w:rsidP="0062730B">
      <w:pPr>
        <w:pStyle w:val="SingleTxtG"/>
        <w:rPr>
          <w:rFonts w:eastAsia="SimSun"/>
        </w:rPr>
      </w:pPr>
      <w:r>
        <w:t>1.</w:t>
      </w:r>
      <w:r>
        <w:tab/>
        <w:t>Пятьдесят пятая сессия Комитета по осуществлению, действующего в рамках Конвенции об оценке воздействия на окружающую среду в трансграничном контексте (Конвенция Эспо) и Протокола по стратегической экологической оценке к ней, состоялась онлайн в период с 31 января по 3 февраля 2023 года.</w:t>
      </w:r>
    </w:p>
    <w:p w14:paraId="13CCCD05" w14:textId="3118A064" w:rsidR="0062730B" w:rsidRPr="00F54036" w:rsidRDefault="00837CDA" w:rsidP="0062730B">
      <w:pPr>
        <w:pStyle w:val="H1G"/>
        <w:rPr>
          <w:rFonts w:eastAsia="SimSun"/>
        </w:rPr>
      </w:pPr>
      <w:r>
        <w:rPr>
          <w:bCs/>
        </w:rPr>
        <w:tab/>
      </w:r>
      <w:r w:rsidR="0062730B">
        <w:rPr>
          <w:bCs/>
        </w:rPr>
        <w:t>A.</w:t>
      </w:r>
      <w:r w:rsidR="0062730B">
        <w:tab/>
      </w:r>
      <w:r w:rsidR="0062730B">
        <w:tab/>
      </w:r>
      <w:r w:rsidR="0062730B">
        <w:rPr>
          <w:bCs/>
        </w:rPr>
        <w:t>Участники</w:t>
      </w:r>
    </w:p>
    <w:p w14:paraId="32E20791" w14:textId="77777777" w:rsidR="0062730B" w:rsidRPr="00F54036" w:rsidRDefault="0062730B" w:rsidP="0062730B">
      <w:pPr>
        <w:pStyle w:val="SingleTxtG"/>
        <w:rPr>
          <w:rFonts w:asciiTheme="majorBidi" w:eastAsiaTheme="majorEastAsia" w:hAnsiTheme="majorBidi" w:cstheme="majorBidi"/>
        </w:rPr>
      </w:pPr>
      <w:r>
        <w:t>2.</w:t>
      </w:r>
      <w:r>
        <w:tab/>
        <w:t>В работе сессии приняли участие следующие члены Комитета по осуществлению Конвенции и Протокола к ней: г-н Кристиан Баумгартнер (Австрия), г-н Андерс Бенгтссон (Швеция), г-н Ральф Бодл (Германия), г-н Жо Дюкомбль (Люксембург), г-жа Мария ду Карму Фигейра (Португалия), г-жа Барбора Павлачич Донева (Словакия), г-жа Жужанна Почаи (Венгрия) и г-н Лассе Таллског (Финляндия). Представители Азербайджана отсутствовали.</w:t>
      </w:r>
    </w:p>
    <w:p w14:paraId="24491BD8" w14:textId="18CDD7C0" w:rsidR="0062730B" w:rsidRPr="00F54036" w:rsidRDefault="00837CDA" w:rsidP="0062730B">
      <w:pPr>
        <w:pStyle w:val="H1G"/>
        <w:rPr>
          <w:rFonts w:eastAsia="SimSun"/>
        </w:rPr>
      </w:pPr>
      <w:r>
        <w:rPr>
          <w:bCs/>
        </w:rPr>
        <w:tab/>
      </w:r>
      <w:r w:rsidR="0062730B">
        <w:rPr>
          <w:bCs/>
        </w:rPr>
        <w:t>B.</w:t>
      </w:r>
      <w:r w:rsidR="0062730B">
        <w:rPr>
          <w:bCs/>
        </w:rPr>
        <w:tab/>
      </w:r>
      <w:r w:rsidR="0062730B">
        <w:tab/>
      </w:r>
      <w:r w:rsidR="0062730B">
        <w:rPr>
          <w:bCs/>
        </w:rPr>
        <w:t>Организационные вопросы</w:t>
      </w:r>
      <w:bookmarkStart w:id="2" w:name="_Hlk63774409"/>
    </w:p>
    <w:bookmarkEnd w:id="2"/>
    <w:p w14:paraId="23BE02F7" w14:textId="2BDA95CD" w:rsidR="0062730B" w:rsidRPr="00F54036" w:rsidRDefault="00837CDA" w:rsidP="0062730B">
      <w:pPr>
        <w:pStyle w:val="HChG"/>
        <w:rPr>
          <w:rFonts w:eastAsia="SimSun"/>
        </w:rPr>
      </w:pPr>
      <w:r>
        <w:rPr>
          <w:bCs/>
        </w:rPr>
        <w:tab/>
      </w:r>
      <w:r w:rsidR="0062730B">
        <w:rPr>
          <w:bCs/>
        </w:rPr>
        <w:t>I.</w:t>
      </w:r>
      <w:r w:rsidR="0062730B">
        <w:tab/>
      </w:r>
      <w:r w:rsidR="0062730B">
        <w:tab/>
      </w:r>
      <w:r w:rsidR="0062730B">
        <w:rPr>
          <w:bCs/>
        </w:rPr>
        <w:t>Утверждение повестки дня</w:t>
      </w:r>
    </w:p>
    <w:p w14:paraId="4B847ADF" w14:textId="77777777" w:rsidR="0062730B" w:rsidRPr="00F54036" w:rsidRDefault="0062730B" w:rsidP="0062730B">
      <w:pPr>
        <w:pStyle w:val="SingleTxtG"/>
        <w:rPr>
          <w:rFonts w:eastAsia="SimSun"/>
        </w:rPr>
      </w:pPr>
      <w:r>
        <w:t>3.</w:t>
      </w:r>
      <w:r>
        <w:tab/>
        <w:t>Сессию открыл Председатель Комитета.</w:t>
      </w:r>
    </w:p>
    <w:p w14:paraId="346A9F3E" w14:textId="77777777" w:rsidR="0062730B" w:rsidRPr="00F54036" w:rsidRDefault="0062730B" w:rsidP="0062730B">
      <w:pPr>
        <w:pStyle w:val="SingleTxtG"/>
        <w:rPr>
          <w:rFonts w:eastAsia="SimSun"/>
        </w:rPr>
      </w:pPr>
      <w:r>
        <w:lastRenderedPageBreak/>
        <w:t>4.</w:t>
      </w:r>
      <w:r>
        <w:tab/>
        <w:t>Комитет утвердил повестку дня, изложенную в документе ECE/MP.EIA/IC/2023/1.</w:t>
      </w:r>
    </w:p>
    <w:p w14:paraId="796BEC61" w14:textId="50BD7A80" w:rsidR="0062730B" w:rsidRPr="00F54036" w:rsidRDefault="0062730B" w:rsidP="0062730B">
      <w:pPr>
        <w:pStyle w:val="SingleTxtG"/>
        <w:rPr>
          <w:rFonts w:eastAsia="SimSun"/>
        </w:rPr>
      </w:pPr>
      <w:r>
        <w:t>5.</w:t>
      </w:r>
      <w:r>
        <w:tab/>
        <w:t>Секретарь Конвенции и Протокола проинформировала Комитет об итогах одиннадцатого совещания Рабочей группы по оценке воздействия на окружающую среду и стратегической экологической оценке (Женева, 19–21 декабря 2022 года)</w:t>
      </w:r>
      <w:r w:rsidRPr="00837CDA">
        <w:rPr>
          <w:rStyle w:val="aa"/>
          <w:rFonts w:eastAsia="SimSun"/>
        </w:rPr>
        <w:footnoteReference w:id="1"/>
      </w:r>
      <w:r>
        <w:t>. Она</w:t>
      </w:r>
      <w:r w:rsidR="00837CDA">
        <w:rPr>
          <w:lang w:val="en-US"/>
        </w:rPr>
        <w:t> </w:t>
      </w:r>
      <w:r>
        <w:t>также сообщила о предстоящих шагах по подготовке к следующим сессиям Совещаний Сторон Конвенции и Протокола (Женева, 12–15 декабря 2023 года), включая совещание Бюро (Женева, 22–23 февраля 2023 года), на котором будут согласованы подготовительная работа, а также проекты документов и решений, помимо тех, которые будут подготовлены Комитетом, для рассмотрения и доработки Рабочей группой на ее двенадцатом совещании (Женева, 13–15 июня 2023 года) до их представления на следующих сессиях Совещаний Сторон. Комитет отметил критическую ограниченность ресурсов секретариата для выполнения его основных функций, в том числе для продолжения обзора работы, связанной с соблюдением Конвенции и Протокола, и необходимость предоставления Сторонами финансирования на дополнительный персонал для укрепления потенциала секретариата.</w:t>
      </w:r>
    </w:p>
    <w:p w14:paraId="3C5843CB" w14:textId="0E9E35E6" w:rsidR="0062730B" w:rsidRPr="00F54036" w:rsidRDefault="0062730B" w:rsidP="0062730B">
      <w:pPr>
        <w:pStyle w:val="SingleTxtG"/>
        <w:rPr>
          <w:rFonts w:eastAsia="SimSun"/>
        </w:rPr>
      </w:pPr>
      <w:r>
        <w:t>6.</w:t>
      </w:r>
      <w:r>
        <w:tab/>
        <w:t>Комитет рассмотрел перечень проектов решений о соблюдении и других официальных документов, которые он представит для информации Рабочей группе на ее двенадцатом совещании, а затем доработает для рассмотрения на следующих сессиях Совещаний Сторон в ходе пятьдесят седьмой сессии Комитета (Женева, 29</w:t>
      </w:r>
      <w:r w:rsidR="00837CDA">
        <w:rPr>
          <w:lang w:val="en-US"/>
        </w:rPr>
        <w:t> </w:t>
      </w:r>
      <w:r>
        <w:t xml:space="preserve">августа </w:t>
      </w:r>
      <w:r w:rsidR="00837CDA" w:rsidRPr="00837CDA">
        <w:t>—</w:t>
      </w:r>
      <w:r>
        <w:t xml:space="preserve"> 1 сентября 2023 года). Он отметил, что крайний срок представления доработанных проектов документов для Совещаний Сторон </w:t>
      </w:r>
      <w:r w:rsidR="00C80D30">
        <w:t>—</w:t>
      </w:r>
      <w:r>
        <w:t xml:space="preserve"> 19 сентября 2023 года.</w:t>
      </w:r>
    </w:p>
    <w:p w14:paraId="212D94A5" w14:textId="0A4D30E3" w:rsidR="0062730B" w:rsidRPr="00F54036" w:rsidRDefault="00837CDA" w:rsidP="0062730B">
      <w:pPr>
        <w:pStyle w:val="HChG"/>
        <w:rPr>
          <w:rFonts w:eastAsia="SimSun"/>
        </w:rPr>
      </w:pPr>
      <w:r>
        <w:rPr>
          <w:bCs/>
        </w:rPr>
        <w:tab/>
      </w:r>
      <w:r w:rsidR="0062730B">
        <w:rPr>
          <w:bCs/>
        </w:rPr>
        <w:t>II.</w:t>
      </w:r>
      <w:r w:rsidR="0062730B">
        <w:rPr>
          <w:bCs/>
        </w:rPr>
        <w:tab/>
      </w:r>
      <w:r w:rsidR="0062730B">
        <w:tab/>
      </w:r>
      <w:r w:rsidR="0062730B">
        <w:rPr>
          <w:bCs/>
        </w:rPr>
        <w:t>Последующие меры в связи с решениями VIII/4 а–с</w:t>
      </w:r>
    </w:p>
    <w:p w14:paraId="6CAC45DF" w14:textId="77777777" w:rsidR="0062730B" w:rsidRPr="00F54036" w:rsidRDefault="0062730B" w:rsidP="0062730B">
      <w:pPr>
        <w:pStyle w:val="SingleTxtG"/>
        <w:rPr>
          <w:rFonts w:eastAsia="SimSun"/>
        </w:rPr>
      </w:pPr>
      <w:r>
        <w:t>7.</w:t>
      </w:r>
      <w:r>
        <w:tab/>
        <w:t>В соответствии с пунктом 1 правила 17 рабочих правил Комитета обсуждения по этому пункту повестки дня не были открытыми для наблюдателей</w:t>
      </w:r>
      <w:r w:rsidRPr="00837CDA">
        <w:rPr>
          <w:rStyle w:val="aa"/>
          <w:rFonts w:eastAsia="SimSun"/>
        </w:rPr>
        <w:footnoteReference w:id="2"/>
      </w:r>
      <w:r>
        <w:t>.</w:t>
      </w:r>
    </w:p>
    <w:p w14:paraId="2801643D" w14:textId="4E5938E0" w:rsidR="0062730B" w:rsidRPr="00F54036" w:rsidRDefault="00837CDA" w:rsidP="0062730B">
      <w:pPr>
        <w:pStyle w:val="H1G"/>
        <w:rPr>
          <w:rFonts w:eastAsia="SimSun"/>
        </w:rPr>
      </w:pPr>
      <w:r>
        <w:rPr>
          <w:bCs/>
        </w:rPr>
        <w:tab/>
      </w:r>
      <w:r w:rsidR="0062730B">
        <w:rPr>
          <w:bCs/>
        </w:rPr>
        <w:t>A.</w:t>
      </w:r>
      <w:r w:rsidR="0062730B">
        <w:rPr>
          <w:bCs/>
        </w:rPr>
        <w:tab/>
      </w:r>
      <w:r w:rsidR="0062730B">
        <w:tab/>
      </w:r>
      <w:r w:rsidR="0062730B">
        <w:rPr>
          <w:bCs/>
        </w:rPr>
        <w:t>Армения (EIA/IC/CI/1)</w:t>
      </w:r>
      <w:bookmarkStart w:id="3" w:name="_Hlk115439755"/>
      <w:bookmarkEnd w:id="3"/>
    </w:p>
    <w:p w14:paraId="586F451C" w14:textId="77777777" w:rsidR="0062730B" w:rsidRPr="00F54036" w:rsidRDefault="0062730B" w:rsidP="0062730B">
      <w:pPr>
        <w:pStyle w:val="SingleTxtG"/>
        <w:rPr>
          <w:rFonts w:eastAsia="SimSun"/>
        </w:rPr>
      </w:pPr>
      <w:r>
        <w:t>8.</w:t>
      </w:r>
      <w:r>
        <w:tab/>
        <w:t>Комитет продолжил принимать последующие меры в связи с решением VIII/4a о соблюдении Арменией ее обязательств по Конвенции в отношении своего национального законодательства.</w:t>
      </w:r>
    </w:p>
    <w:p w14:paraId="3FBB31EB" w14:textId="77777777" w:rsidR="0062730B" w:rsidRPr="00F54036" w:rsidRDefault="0062730B" w:rsidP="0062730B">
      <w:pPr>
        <w:pStyle w:val="SingleTxtG"/>
        <w:rPr>
          <w:rFonts w:eastAsia="SimSun"/>
        </w:rPr>
      </w:pPr>
      <w:r>
        <w:t>9.</w:t>
      </w:r>
      <w:r>
        <w:tab/>
        <w:t>Он принял к сведению ответ Армении от 27 декабря 2022 года на письмо Комитета от 21 октября 2022 года, в котором она информирует Комитет, что подготовленный законопроект еще не принят и что в отсутствие переноса Конвенции и Протокола к ней в национальное законодательство они будут применяться в Армении напрямую. Комитет просил своего Председателя направить Армении письмо, с тем чтобы:</w:t>
      </w:r>
    </w:p>
    <w:p w14:paraId="0B76C9AF" w14:textId="66867C83" w:rsidR="0062730B" w:rsidRPr="00F54036" w:rsidRDefault="0062730B" w:rsidP="0062730B">
      <w:pPr>
        <w:pStyle w:val="SingleTxtG"/>
        <w:ind w:firstLine="567"/>
      </w:pPr>
      <w:r>
        <w:t>a)</w:t>
      </w:r>
      <w:r>
        <w:tab/>
        <w:t>напомнить Армении о пункте 28 приложения II к решению IV/2 Совещания Сторон 2008 года, в котором говорится, что включения в Конституцию Армении положения о прямом применении международных соглашений «в отсутствие в законодательстве более подробных положений недостаточно для должного выполнения Конвенции»</w:t>
      </w:r>
      <w:r w:rsidRPr="00837CDA">
        <w:rPr>
          <w:rStyle w:val="aa"/>
        </w:rPr>
        <w:footnoteReference w:id="3"/>
      </w:r>
      <w:r>
        <w:t xml:space="preserve"> и что в последующий период Армении неоднократно предлагалось принять законодательные меры в целях обеспечения соблюдения и выполнения Конвенции в полном объеме, опираясь на предоставленную ей </w:t>
      </w:r>
      <w:r>
        <w:lastRenderedPageBreak/>
        <w:t>законодательную помощь (решения: IV/2, приложение II, пункт 33 b); V/4, пункт 27</w:t>
      </w:r>
      <w:r w:rsidRPr="00837CDA">
        <w:rPr>
          <w:rStyle w:val="aa"/>
        </w:rPr>
        <w:footnoteReference w:id="4"/>
      </w:r>
      <w:r>
        <w:t>; VI/2, пункт 31</w:t>
      </w:r>
      <w:r w:rsidRPr="00837CDA">
        <w:rPr>
          <w:rStyle w:val="aa"/>
        </w:rPr>
        <w:footnoteReference w:id="5"/>
      </w:r>
      <w:r>
        <w:t>; IS/1a, пункты 4 и 6</w:t>
      </w:r>
      <w:r w:rsidRPr="00837CDA">
        <w:rPr>
          <w:rStyle w:val="aa"/>
        </w:rPr>
        <w:footnoteReference w:id="6"/>
      </w:r>
      <w:r>
        <w:t>; VIII/4a, пункт 4);</w:t>
      </w:r>
    </w:p>
    <w:p w14:paraId="6723F2B9" w14:textId="0F371528" w:rsidR="0062730B" w:rsidRPr="00F54036" w:rsidRDefault="0062730B" w:rsidP="0062730B">
      <w:pPr>
        <w:pStyle w:val="SingleTxtG"/>
        <w:ind w:firstLine="567"/>
      </w:pPr>
      <w:r>
        <w:t>b)</w:t>
      </w:r>
      <w:r>
        <w:tab/>
        <w:t xml:space="preserve">выразить сожаление, что, несмотря на техническую помощь, </w:t>
      </w:r>
      <w:r w:rsidR="00837CDA">
        <w:t>предоставляемую</w:t>
      </w:r>
      <w:r>
        <w:t xml:space="preserve"> Армении секретариатом на протяжении более 13 лет для приведения ее законодательства в соответствие с Конвенцией и Протоколом, и многочисленные решения Совещаний Сторон, просивших ее сделать это, Армения еще не приняла ни полностью соответствующее законодательство, ни полностью соответствующие подзаконные акты;</w:t>
      </w:r>
    </w:p>
    <w:p w14:paraId="69238D3A" w14:textId="77777777" w:rsidR="0062730B" w:rsidRPr="00F54036" w:rsidRDefault="0062730B" w:rsidP="0062730B">
      <w:pPr>
        <w:pStyle w:val="SingleTxtG"/>
        <w:ind w:firstLine="567"/>
      </w:pPr>
      <w:r>
        <w:t>c)</w:t>
      </w:r>
      <w:r>
        <w:tab/>
        <w:t>напомнить Армении, что в 2019 и 2020 годах Совещание Сторон просило Армению как можно скорее пересмотреть свое законодательство и соответствующие подзаконные акты (соответственно, решения IS/1a, пункт 6, и VIII/4a, пункт 4), а после их принятия представить Комитету их переводы на английский язык (решение VIII/4a, пункт 5);</w:t>
      </w:r>
    </w:p>
    <w:p w14:paraId="13EDEB1A" w14:textId="77777777" w:rsidR="0062730B" w:rsidRPr="00F54036" w:rsidRDefault="0062730B" w:rsidP="0062730B">
      <w:pPr>
        <w:pStyle w:val="SingleTxtG"/>
        <w:ind w:firstLine="567"/>
      </w:pPr>
      <w:r>
        <w:t>d)</w:t>
      </w:r>
      <w:r>
        <w:tab/>
        <w:t>информировать Армению о том, что на своей пятьдесят шестой сессии (Женева, 2–5 мая 2023 года) Комитет подготовит текст проекта решения о выполнении Арменией своих обязательств по Конвенции в отношении ее национального законодательства и что до принятия соответствующего законодательства и подзаконных актов Армения не выполнит свои обязательства по Конвенции и не удовлетворит неоднократные просьбы Совещаний Сторон;</w:t>
      </w:r>
    </w:p>
    <w:p w14:paraId="2960EFAE" w14:textId="77777777" w:rsidR="0062730B" w:rsidRPr="00F54036" w:rsidRDefault="0062730B" w:rsidP="0062730B">
      <w:pPr>
        <w:pStyle w:val="SingleTxtG"/>
        <w:ind w:firstLine="567"/>
      </w:pPr>
      <w:r>
        <w:t>e)</w:t>
      </w:r>
      <w:r>
        <w:tab/>
        <w:t>предложить Армении представить Комитету обновленную информацию о достигнутом прогрессе не позднее 31 марта 2023 года.</w:t>
      </w:r>
    </w:p>
    <w:p w14:paraId="06D7B8A3" w14:textId="5DCCCD71" w:rsidR="0062730B" w:rsidRPr="00F54036" w:rsidRDefault="00837CDA" w:rsidP="0062730B">
      <w:pPr>
        <w:pStyle w:val="H1G"/>
        <w:rPr>
          <w:rFonts w:eastAsia="SimSun"/>
        </w:rPr>
      </w:pPr>
      <w:r>
        <w:rPr>
          <w:bCs/>
        </w:rPr>
        <w:tab/>
      </w:r>
      <w:r w:rsidR="0062730B">
        <w:rPr>
          <w:bCs/>
        </w:rPr>
        <w:t>B.</w:t>
      </w:r>
      <w:r w:rsidR="0062730B">
        <w:tab/>
      </w:r>
      <w:r w:rsidR="0062730B">
        <w:tab/>
      </w:r>
      <w:r w:rsidR="0062730B">
        <w:rPr>
          <w:bCs/>
        </w:rPr>
        <w:t>Азербайджан (EIA/IC/CI/2)</w:t>
      </w:r>
    </w:p>
    <w:p w14:paraId="1CD2F133" w14:textId="77777777" w:rsidR="0062730B" w:rsidRPr="00F54036" w:rsidRDefault="0062730B" w:rsidP="0062730B">
      <w:pPr>
        <w:pStyle w:val="SingleTxtG"/>
        <w:rPr>
          <w:rFonts w:eastAsia="SimSun"/>
        </w:rPr>
      </w:pPr>
      <w:r>
        <w:t>10.</w:t>
      </w:r>
      <w:r>
        <w:tab/>
        <w:t xml:space="preserve">Комитет продолжил принимать последующие меры в связи с решением VIII/4b о соблюдении Азербайджаном его обязательств по Конвенции в отношении своего национального законодательства. </w:t>
      </w:r>
    </w:p>
    <w:p w14:paraId="637BFCE7" w14:textId="77777777" w:rsidR="0062730B" w:rsidRPr="00F54036" w:rsidRDefault="0062730B" w:rsidP="0062730B">
      <w:pPr>
        <w:pStyle w:val="SingleTxtG"/>
        <w:rPr>
          <w:rFonts w:eastAsia="SimSun"/>
        </w:rPr>
      </w:pPr>
      <w:r>
        <w:t>11.</w:t>
      </w:r>
      <w:r>
        <w:tab/>
        <w:t>Комитет с сожалением отметил, что после принятия шести нормативных актов по оценке воздействия на окружающую среду и стратегической оценке последствий для окружающей среды в 2022 году Азербайджан не предоставил Комитету их перевод на английский язык, как требуется в пункте 8 решения VIII/4b, несмотря на переводческую помощь, оказанную программой «Европейский союз за окружающую среду».</w:t>
      </w:r>
    </w:p>
    <w:p w14:paraId="26A21FC8" w14:textId="77777777" w:rsidR="0062730B" w:rsidRPr="00F54036" w:rsidRDefault="0062730B" w:rsidP="0062730B">
      <w:pPr>
        <w:pStyle w:val="SingleTxtG"/>
        <w:rPr>
          <w:rFonts w:eastAsia="SimSun"/>
        </w:rPr>
      </w:pPr>
      <w:r>
        <w:t>12.</w:t>
      </w:r>
      <w:r>
        <w:tab/>
        <w:t>В связи с этим Комитет выразил сожаление по поводу того, что он не смог проанализировать недавно принятое законодательство.</w:t>
      </w:r>
    </w:p>
    <w:p w14:paraId="34AA0AC8" w14:textId="77777777" w:rsidR="0062730B" w:rsidRPr="00F54036" w:rsidRDefault="0062730B" w:rsidP="0062730B">
      <w:pPr>
        <w:tabs>
          <w:tab w:val="left" w:pos="1701"/>
          <w:tab w:val="left" w:pos="2268"/>
          <w:tab w:val="left" w:pos="2835"/>
        </w:tabs>
        <w:spacing w:after="120"/>
        <w:ind w:left="1138" w:right="1138"/>
        <w:jc w:val="both"/>
        <w:rPr>
          <w:rFonts w:eastAsia="SimSun"/>
        </w:rPr>
      </w:pPr>
      <w:r>
        <w:t>13.</w:t>
      </w:r>
      <w:r>
        <w:tab/>
        <w:t>Комитет решил продолжить принимать последующие меры по решению VIII/4b на своей пятьдесят шестой сессии и с этой целью просил своего Председателя направить Азербайджану письмо, с тем чтобы:</w:t>
      </w:r>
    </w:p>
    <w:p w14:paraId="7A6C6D4D" w14:textId="77777777" w:rsidR="0062730B" w:rsidRPr="00F54036" w:rsidRDefault="0062730B" w:rsidP="0062730B">
      <w:pPr>
        <w:pStyle w:val="SingleTxtG"/>
        <w:ind w:firstLine="567"/>
      </w:pPr>
      <w:r>
        <w:t>a)</w:t>
      </w:r>
      <w:r>
        <w:tab/>
        <w:t>настоятельно призвать Азербайджан предоставить для оценки Комитетом текст недавно принятого законодательства и соответствующих подзаконных актов вместе с их переводом на английский язык не позднее 31 марта 2023 года;</w:t>
      </w:r>
    </w:p>
    <w:p w14:paraId="2CAA0A3A" w14:textId="77777777" w:rsidR="0062730B" w:rsidRPr="00F54036" w:rsidRDefault="0062730B" w:rsidP="0062730B">
      <w:pPr>
        <w:pStyle w:val="SingleTxtG"/>
        <w:ind w:firstLine="567"/>
      </w:pPr>
      <w:r>
        <w:t>b)</w:t>
      </w:r>
      <w:r>
        <w:tab/>
        <w:t>информировать Азербайджан о намерении Комитета подготовить на своей следующей сессии проект решения для представления Совещанию Сторон, в котором будут сделаны выводы о соблюдении Азербайджаном требований о выполнении Конвенции в своем национальном законодательстве, и указать на крайнюю необходимость наличия нового законодательства на рабочем языке Комитета.</w:t>
      </w:r>
    </w:p>
    <w:p w14:paraId="1257123D" w14:textId="2A90188F" w:rsidR="0062730B" w:rsidRPr="00F54036" w:rsidRDefault="00837CDA" w:rsidP="0062730B">
      <w:pPr>
        <w:pStyle w:val="H1G"/>
        <w:rPr>
          <w:rFonts w:eastAsia="SimSun"/>
        </w:rPr>
      </w:pPr>
      <w:r>
        <w:rPr>
          <w:bCs/>
        </w:rPr>
        <w:lastRenderedPageBreak/>
        <w:tab/>
      </w:r>
      <w:r w:rsidR="0062730B">
        <w:rPr>
          <w:bCs/>
        </w:rPr>
        <w:t>C.</w:t>
      </w:r>
      <w:r w:rsidR="0062730B">
        <w:tab/>
      </w:r>
      <w:r w:rsidR="0062730B">
        <w:tab/>
      </w:r>
      <w:r w:rsidR="0062730B">
        <w:rPr>
          <w:bCs/>
        </w:rPr>
        <w:t>Беларусь (EIA/IC/S/4)</w:t>
      </w:r>
    </w:p>
    <w:p w14:paraId="3163665C" w14:textId="77777777" w:rsidR="0062730B" w:rsidRPr="00F54036" w:rsidRDefault="0062730B" w:rsidP="0062730B">
      <w:pPr>
        <w:pStyle w:val="SingleTxtG"/>
        <w:rPr>
          <w:rFonts w:eastAsia="DengXian Light"/>
        </w:rPr>
      </w:pPr>
      <w:r>
        <w:t>14.</w:t>
      </w:r>
      <w:r>
        <w:tab/>
        <w:t>Комитет принял последующие меры в связи с решением VIII/4с о соблюдении Беларусью ее обязательств по Конвенции в отношении Белорусской АЭС в Островце. 18 ноября 2022 года, в продолжение неофициальных онлайн-консультаций с Беларусью и Литвой, которые, по просьбе Литвы, Комитет провел отдельно с каждой из Сторон в ходе своей пятьдесят четвертой сессии (Женева, 4–7 октября 2022 года)</w:t>
      </w:r>
      <w:r w:rsidRPr="00837CDA">
        <w:rPr>
          <w:rStyle w:val="aa"/>
          <w:rFonts w:eastAsia="SimSun"/>
        </w:rPr>
        <w:footnoteReference w:id="7"/>
      </w:r>
      <w:r>
        <w:t>, обе Стороны представили замечания к заявлениям друг друга на основе записей. Приветствуя представление замечаний, Комитет отметил, что в отсутствие прямых контактов между ними возможности двух Сторон по улучшению диалога и сотрудничества ограничены.</w:t>
      </w:r>
    </w:p>
    <w:p w14:paraId="4D5A93BD" w14:textId="77777777" w:rsidR="0062730B" w:rsidRPr="00F54036" w:rsidRDefault="0062730B" w:rsidP="0062730B">
      <w:pPr>
        <w:pStyle w:val="SingleTxtG"/>
        <w:rPr>
          <w:rFonts w:eastAsia="DengXian Light"/>
        </w:rPr>
      </w:pPr>
      <w:r>
        <w:t>15.</w:t>
      </w:r>
      <w:r>
        <w:tab/>
        <w:t>Комитет просил своего Председателя направить заинтересованным Сторонам письмо, с тем чтобы:</w:t>
      </w:r>
    </w:p>
    <w:p w14:paraId="26E29BF8" w14:textId="77777777" w:rsidR="0062730B" w:rsidRPr="00F54036" w:rsidRDefault="0062730B" w:rsidP="0062730B">
      <w:pPr>
        <w:pStyle w:val="SingleTxtG"/>
        <w:ind w:firstLine="567"/>
      </w:pPr>
      <w:r>
        <w:t>a)</w:t>
      </w:r>
      <w:r>
        <w:tab/>
        <w:t>вновь призвать Стороны к сотрудничеству и задать Литве вопрос, готова ли она провести двустороннюю встречу на уровне экспертов с Беларусью, очно или онлайн, возможно, под председательством независимого лица, которое будет определено заинтересованными Сторонами;</w:t>
      </w:r>
    </w:p>
    <w:p w14:paraId="5E86388E" w14:textId="77777777" w:rsidR="0062730B" w:rsidRPr="00F54036" w:rsidRDefault="0062730B" w:rsidP="0062730B">
      <w:pPr>
        <w:pStyle w:val="SingleTxtG"/>
        <w:ind w:firstLine="567"/>
      </w:pPr>
      <w:r>
        <w:t>b)</w:t>
      </w:r>
      <w:r>
        <w:tab/>
        <w:t>просить их сообщить Комитету, согласовали ли они отчет о работе совещания экспертов, состоявшегося 3 февраля 2022 года, и представить его Комитету на английском языке через секретариат не позднее 31 марта 2023 года;</w:t>
      </w:r>
    </w:p>
    <w:p w14:paraId="5E349A04" w14:textId="40884B20" w:rsidR="0062730B" w:rsidRPr="00F54036" w:rsidRDefault="0062730B" w:rsidP="0062730B">
      <w:pPr>
        <w:pStyle w:val="SingleTxtG"/>
        <w:ind w:firstLine="567"/>
      </w:pPr>
      <w:r>
        <w:t>c)</w:t>
      </w:r>
      <w:r>
        <w:tab/>
        <w:t>информировать их о том, что на своей следующей сессии Комитет подготовит текст проекта решения о последующих мерах по выполнению решения</w:t>
      </w:r>
      <w:r w:rsidR="00837CDA">
        <w:t> </w:t>
      </w:r>
      <w:r>
        <w:t>VIII/4c о соблюдении Беларусью своих обязательств по Конвенции в отношении Белорусской АЭС в Островце, в котором он, в частности:</w:t>
      </w:r>
    </w:p>
    <w:p w14:paraId="23058404" w14:textId="77777777" w:rsidR="0062730B" w:rsidRPr="00F54036" w:rsidRDefault="0062730B" w:rsidP="0062730B">
      <w:pPr>
        <w:pStyle w:val="SingleTxtG"/>
        <w:ind w:left="1701"/>
        <w:rPr>
          <w:rFonts w:eastAsia="DengXian Light"/>
        </w:rPr>
      </w:pPr>
      <w:r>
        <w:t>i)</w:t>
      </w:r>
      <w:r>
        <w:tab/>
        <w:t>выразит признательность за предоставление Сторонами своих ежегодных докладов, несмотря на эпизодические задержки;</w:t>
      </w:r>
    </w:p>
    <w:p w14:paraId="25A64AE5" w14:textId="77777777" w:rsidR="0062730B" w:rsidRPr="00F54036" w:rsidRDefault="0062730B" w:rsidP="0062730B">
      <w:pPr>
        <w:pStyle w:val="SingleTxtG"/>
        <w:ind w:left="1701"/>
        <w:rPr>
          <w:rFonts w:eastAsia="DengXian Light"/>
        </w:rPr>
      </w:pPr>
      <w:r>
        <w:t>ii)</w:t>
      </w:r>
      <w:r>
        <w:tab/>
        <w:t>напомнит о пункте 4 решения VIII/4c, в котором от обеих Сторон требуется заключить двустороннее соглашение об осуществлении Конвенции в соответствии со статьей 8 Конвенции, провести постпроектный анализ и продолжить двусторонние консультации экспертов по вопросам, вызывающим разногласия;</w:t>
      </w:r>
    </w:p>
    <w:p w14:paraId="77940AEE" w14:textId="77777777" w:rsidR="0062730B" w:rsidRPr="00F54036" w:rsidRDefault="0062730B" w:rsidP="0062730B">
      <w:pPr>
        <w:pStyle w:val="SingleTxtG"/>
        <w:ind w:left="1701"/>
        <w:rPr>
          <w:rFonts w:eastAsia="DengXian Light"/>
        </w:rPr>
      </w:pPr>
      <w:r>
        <w:t>iii)</w:t>
      </w:r>
      <w:r>
        <w:tab/>
        <w:t>примет к сведению, что в межсессионный период Стороны провели одно двустороннее совещание экспертов для обсуждения оставшихся разногласий и достижения прогресса в соответствии с решением VIII/4c, отмечая, однако, что на данный момент итоги этого совещания все еще не согласованы, и учитывая, что, несмотря на пандемию, у Сторон было достаточно возможностей для проведения других совещаний онлайн;</w:t>
      </w:r>
    </w:p>
    <w:p w14:paraId="05744134" w14:textId="77777777" w:rsidR="0062730B" w:rsidRPr="00F54036" w:rsidRDefault="0062730B" w:rsidP="0062730B">
      <w:pPr>
        <w:pStyle w:val="SingleTxtG"/>
        <w:ind w:left="1701"/>
        <w:rPr>
          <w:rFonts w:eastAsia="DengXian Light"/>
        </w:rPr>
      </w:pPr>
      <w:r>
        <w:t>iv)</w:t>
      </w:r>
      <w:r>
        <w:tab/>
        <w:t>проинформирует Совещание Сторон о неофициальных онлайн-консультациях Комитета с Беларусью и Литвой, проведенных в ходе его пятьдесят четвертой сессии, и выразить признательность за замечания обеих Сторон после этой встречи, которые указывают на определенную готовность продолжать сотрудничество;</w:t>
      </w:r>
    </w:p>
    <w:p w14:paraId="57F61B5D" w14:textId="77777777" w:rsidR="0062730B" w:rsidRPr="00F54036" w:rsidRDefault="0062730B" w:rsidP="0062730B">
      <w:pPr>
        <w:pStyle w:val="SingleTxtG"/>
        <w:ind w:left="1701"/>
        <w:rPr>
          <w:rFonts w:eastAsia="SimSun"/>
        </w:rPr>
      </w:pPr>
      <w:r>
        <w:t>v)</w:t>
      </w:r>
      <w:r>
        <w:tab/>
        <w:t>вместе с тем выразит сожаление по поводу отсутствия прогресса в выполнении требований, изложенных в решении VIII/4c;</w:t>
      </w:r>
    </w:p>
    <w:p w14:paraId="1784B6D3" w14:textId="77777777" w:rsidR="0062730B" w:rsidRPr="00F54036" w:rsidRDefault="0062730B" w:rsidP="0062730B">
      <w:pPr>
        <w:pStyle w:val="SingleTxtG"/>
        <w:ind w:left="1701"/>
        <w:rPr>
          <w:rFonts w:eastAsia="SimSun"/>
        </w:rPr>
      </w:pPr>
      <w:r>
        <w:t>vi)</w:t>
      </w:r>
      <w:r>
        <w:tab/>
        <w:t>настоятельно призовет обе Стороны активизировать двустороннее сотрудничество с целью выполнения требований решения VIII/4c не позднее десятой сессии Совещания Сторон;</w:t>
      </w:r>
    </w:p>
    <w:p w14:paraId="59666FAD" w14:textId="77777777" w:rsidR="0062730B" w:rsidRPr="00F54036" w:rsidRDefault="0062730B" w:rsidP="0062730B">
      <w:pPr>
        <w:pStyle w:val="SingleTxtG"/>
        <w:ind w:left="1701"/>
        <w:rPr>
          <w:rFonts w:eastAsia="DengXian Light"/>
        </w:rPr>
      </w:pPr>
      <w:r>
        <w:t>vii)</w:t>
      </w:r>
      <w:r>
        <w:tab/>
        <w:t xml:space="preserve">попросит обе Стороны продолжить представление Комитету по осуществлению ежегодных докладов о достигнутом прогрессе; </w:t>
      </w:r>
    </w:p>
    <w:p w14:paraId="49D73470" w14:textId="77777777" w:rsidR="0062730B" w:rsidRPr="00F54036" w:rsidRDefault="0062730B" w:rsidP="0062730B">
      <w:pPr>
        <w:pStyle w:val="SingleTxtG"/>
        <w:ind w:firstLine="567"/>
        <w:rPr>
          <w:rFonts w:eastAsia="DengXian Light"/>
        </w:rPr>
      </w:pPr>
      <w:r>
        <w:lastRenderedPageBreak/>
        <w:t>d)</w:t>
      </w:r>
      <w:r>
        <w:tab/>
        <w:t>а также информировать Стороны о том, что Комитет решил отложить рассмотрение этого вопроса до тех пор, пока заинтересованные Стороны не проинформируют Комитет о своей готовности вести диалог друг с другом напрямую.</w:t>
      </w:r>
    </w:p>
    <w:p w14:paraId="60037870" w14:textId="47B6EB0F" w:rsidR="0062730B" w:rsidRPr="00F54036" w:rsidRDefault="00837CDA" w:rsidP="0062730B">
      <w:pPr>
        <w:pStyle w:val="HChG"/>
        <w:rPr>
          <w:rFonts w:eastAsia="SimSun"/>
        </w:rPr>
      </w:pPr>
      <w:r>
        <w:rPr>
          <w:bCs/>
        </w:rPr>
        <w:tab/>
      </w:r>
      <w:r w:rsidR="0062730B">
        <w:rPr>
          <w:bCs/>
        </w:rPr>
        <w:t>III.</w:t>
      </w:r>
      <w:r w:rsidR="0062730B">
        <w:tab/>
      </w:r>
      <w:r w:rsidR="0062730B">
        <w:tab/>
      </w:r>
      <w:r w:rsidR="0062730B">
        <w:rPr>
          <w:bCs/>
        </w:rPr>
        <w:t>Представленные материалы</w:t>
      </w:r>
      <w:r w:rsidR="0062730B" w:rsidRPr="00C80D30">
        <w:rPr>
          <w:rStyle w:val="aa"/>
          <w:rFonts w:eastAsia="SimSun"/>
          <w:b w:val="0"/>
          <w:bCs/>
        </w:rPr>
        <w:footnoteReference w:id="8"/>
      </w:r>
    </w:p>
    <w:p w14:paraId="00305308" w14:textId="77777777" w:rsidR="0062730B" w:rsidRPr="00F54036" w:rsidRDefault="0062730B" w:rsidP="0062730B">
      <w:pPr>
        <w:pStyle w:val="SingleTxtG"/>
        <w:rPr>
          <w:rFonts w:eastAsia="SimSun"/>
        </w:rPr>
      </w:pPr>
      <w:r>
        <w:t>16.</w:t>
      </w:r>
      <w:r>
        <w:tab/>
        <w:t>В соответствии с пунктом 1 правила 17 рабочих правил Комитета обсуждение по этому пункту повестки дня не было открытым для наблюдателей.</w:t>
      </w:r>
    </w:p>
    <w:p w14:paraId="58EE146D" w14:textId="4F646F85" w:rsidR="0062730B" w:rsidRPr="00837CDA" w:rsidRDefault="00837CDA" w:rsidP="0062730B">
      <w:pPr>
        <w:pStyle w:val="H1G"/>
        <w:rPr>
          <w:rFonts w:eastAsia="SimSun"/>
          <w:lang w:val="en-US"/>
        </w:rPr>
      </w:pPr>
      <w:r w:rsidRPr="00C80D30">
        <w:rPr>
          <w:bCs/>
        </w:rPr>
        <w:tab/>
      </w:r>
      <w:r w:rsidR="0062730B" w:rsidRPr="00F54036">
        <w:rPr>
          <w:bCs/>
          <w:lang w:val="en-US"/>
        </w:rPr>
        <w:t>A.</w:t>
      </w:r>
      <w:r w:rsidR="0062730B" w:rsidRPr="00F54036">
        <w:rPr>
          <w:lang w:val="en-US"/>
        </w:rPr>
        <w:tab/>
      </w:r>
      <w:r w:rsidR="0062730B">
        <w:rPr>
          <w:lang w:val="en-US"/>
        </w:rPr>
        <w:tab/>
      </w:r>
      <w:r w:rsidR="0062730B">
        <w:rPr>
          <w:bCs/>
        </w:rPr>
        <w:t>Албания</w:t>
      </w:r>
      <w:r w:rsidR="0062730B" w:rsidRPr="00F54036">
        <w:rPr>
          <w:bCs/>
          <w:lang w:val="en-US"/>
        </w:rPr>
        <w:t xml:space="preserve"> (EIA/IC/S/7)</w:t>
      </w:r>
    </w:p>
    <w:p w14:paraId="40926E1E" w14:textId="77777777" w:rsidR="0062730B" w:rsidRPr="00F54036" w:rsidRDefault="0062730B" w:rsidP="0062730B">
      <w:pPr>
        <w:pStyle w:val="SingleTxtG"/>
        <w:rPr>
          <w:rFonts w:eastAsia="SimSun"/>
        </w:rPr>
      </w:pPr>
      <w:r>
        <w:t>17.</w:t>
      </w:r>
      <w:r>
        <w:tab/>
        <w:t xml:space="preserve">Комитет продолжил рассмотрение представления Черногории, полученного секретариатом 25 сентября 2019 года, в котором выражена озабоченность по поводу соблюдения Албанией ее обязательств по Конвенции и Протоколу в отношении запланированного строительства нескольких малых гидроэлектростанций на реке Циевна. </w:t>
      </w:r>
    </w:p>
    <w:p w14:paraId="4C9758ED" w14:textId="6EA96F6E" w:rsidR="0062730B" w:rsidRPr="00F54036" w:rsidRDefault="0062730B" w:rsidP="0062730B">
      <w:pPr>
        <w:pStyle w:val="SingleTxtG"/>
        <w:rPr>
          <w:rFonts w:eastAsia="SimSun"/>
        </w:rPr>
      </w:pPr>
      <w:r>
        <w:t>18.</w:t>
      </w:r>
      <w:r>
        <w:tab/>
        <w:t>Комитет рассмотрел обновленную информацию, предоставленную Албанией и Черногорией соответственно 1 декабря 2022 года и 13 января 2023 года в ответ на письмо Комитета от 21 октября 2022 года, и принял к сведению, что диалог между заинтересованными Сторонами еще продолжается. Он также отметил пожелание Черногории, чтобы посредником в дальнейшем рассмотрении данного вопроса выступил «Комитет по осуществлению ЕЭК ООН», что Комитет по осуществлению Конвенции Эспо понимает как указание на Комитет по осуществлению Конвенции по охране и использованию трансграничных водотоков и международных озер (Конвенция по трансграничным водам). Принимая во внимание обновленную информацию и тот факт, что в настоящее время проводится консультативная процедура в рамках Комитета по осуществлению Конвенции по трансграничным водам, Комитет по осуществлению Конвенции Эспо решил завершить рассмотрение со своей стороны и согласовать проект выводов и рекомендаций с использованием своей электронной процедуры принятия решений после текущей сессии.</w:t>
      </w:r>
    </w:p>
    <w:p w14:paraId="653B68BE" w14:textId="77777777" w:rsidR="0062730B" w:rsidRPr="00F54036" w:rsidRDefault="0062730B" w:rsidP="0062730B">
      <w:pPr>
        <w:pStyle w:val="SingleTxtG"/>
        <w:rPr>
          <w:rFonts w:eastAsia="SimSun"/>
        </w:rPr>
      </w:pPr>
      <w:r>
        <w:t>19.</w:t>
      </w:r>
      <w:r>
        <w:tab/>
        <w:t xml:space="preserve">После принятия решения Комитет просил секретариат препроводить завершенный проект текста Албании и Черногории для получения их замечаний или представлений до 31 марта 2023 года, с тем чтобы на своей пятьдесят шестой сессии определить окончательную формулировку выводов и рекомендаций с учетом сделанных замечаний. Эти выводы и рекомендации будут упоминаться в проекте решения о соблюдении, который будет представлен Совещанию Сторон Конвенции на его девятой сессии (Женева, 12–15 декабря 2023 года). Все рекомендации также будут включены в сам проект решения. </w:t>
      </w:r>
    </w:p>
    <w:p w14:paraId="332E2966" w14:textId="1A5A0B40" w:rsidR="0062730B" w:rsidRPr="00F54036" w:rsidRDefault="00837CDA" w:rsidP="0062730B">
      <w:pPr>
        <w:pStyle w:val="H1G"/>
        <w:rPr>
          <w:rFonts w:eastAsia="SimSun"/>
        </w:rPr>
      </w:pPr>
      <w:r>
        <w:rPr>
          <w:bCs/>
        </w:rPr>
        <w:tab/>
      </w:r>
      <w:r w:rsidR="0062730B">
        <w:rPr>
          <w:bCs/>
        </w:rPr>
        <w:t>B.</w:t>
      </w:r>
      <w:r w:rsidR="0062730B">
        <w:tab/>
      </w:r>
      <w:r w:rsidR="0062730B">
        <w:tab/>
      </w:r>
      <w:r w:rsidR="0062730B">
        <w:rPr>
          <w:bCs/>
        </w:rPr>
        <w:t>Босния и Герцеговина (EIA/IC/S/8</w:t>
      </w:r>
      <w:r w:rsidR="00C80D30">
        <w:rPr>
          <w:bCs/>
        </w:rPr>
        <w:t>–</w:t>
      </w:r>
      <w:r w:rsidR="0062730B">
        <w:rPr>
          <w:bCs/>
        </w:rPr>
        <w:t>SEA/IC/S/1)</w:t>
      </w:r>
      <w:r w:rsidR="0062730B" w:rsidRPr="00C80D30">
        <w:rPr>
          <w:rStyle w:val="aa"/>
          <w:rFonts w:eastAsia="SimSun"/>
          <w:b w:val="0"/>
          <w:bCs/>
        </w:rPr>
        <w:footnoteReference w:id="9"/>
      </w:r>
    </w:p>
    <w:p w14:paraId="0CF708DF" w14:textId="20CA3959" w:rsidR="0062730B" w:rsidRPr="00F54036" w:rsidRDefault="0062730B" w:rsidP="0062730B">
      <w:pPr>
        <w:pStyle w:val="SingleTxtG"/>
        <w:rPr>
          <w:rFonts w:eastAsia="SimSun"/>
        </w:rPr>
      </w:pPr>
      <w:r>
        <w:t>20.</w:t>
      </w:r>
      <w:r>
        <w:tab/>
        <w:t>Комитет продолжил рассмотрение полученного секретариатом 11 декабря 2020</w:t>
      </w:r>
      <w:r w:rsidR="00C80D30">
        <w:t> </w:t>
      </w:r>
      <w:r>
        <w:t>года представления Черногории, в котором она выразила озабоченность по поводу соблюдения Боснией и Герцеговиной своих обязательств по Конвенции и Протоколу в отношении строительства гидроэлектростанции «Бук-Биела» на реке Дрина.</w:t>
      </w:r>
    </w:p>
    <w:p w14:paraId="7C1C0C2E" w14:textId="6614775D" w:rsidR="0062730B" w:rsidRPr="00F54036" w:rsidRDefault="0062730B" w:rsidP="0062730B">
      <w:pPr>
        <w:pStyle w:val="SingleTxtG"/>
        <w:rPr>
          <w:rFonts w:eastAsia="SimSun"/>
        </w:rPr>
      </w:pPr>
      <w:r>
        <w:t>21.</w:t>
      </w:r>
      <w:r>
        <w:tab/>
        <w:t xml:space="preserve">Комитет принял к сведению замечания и представления Боснии и Герцеговины и Черногории соответственно от 13 и 17 января 2023 года по ранее переданным им проектам выводов и рекомендаций. Принимая во внимание полученные замечания, Комитет доработал свои выводы и рекомендации по представленному материалу и просил секретариат опубликовать их в качестве официального документа до начала своей пятьдесят шестой сессии и довести их до сведения заинтересованных Сторон. </w:t>
      </w:r>
      <w:r>
        <w:lastRenderedPageBreak/>
        <w:t xml:space="preserve">Впоследствии секретариат должен был препроводить выводы и рекомендации Совещанию Сторон Конвенции на его девятой сессии для рассмотрения и учета при рассмотрении соответствующего проекта решения. </w:t>
      </w:r>
    </w:p>
    <w:p w14:paraId="5B0C3140" w14:textId="3138A869" w:rsidR="0062730B" w:rsidRPr="00837CDA" w:rsidRDefault="00837CDA" w:rsidP="0062730B">
      <w:pPr>
        <w:pStyle w:val="H1G"/>
        <w:rPr>
          <w:rFonts w:eastAsia="SimSun"/>
          <w:lang w:val="en-US"/>
        </w:rPr>
      </w:pPr>
      <w:r w:rsidRPr="00C80D30">
        <w:rPr>
          <w:bCs/>
        </w:rPr>
        <w:tab/>
      </w:r>
      <w:r w:rsidR="0062730B" w:rsidRPr="00F54036">
        <w:rPr>
          <w:bCs/>
          <w:lang w:val="en-US"/>
        </w:rPr>
        <w:t>C.</w:t>
      </w:r>
      <w:r w:rsidR="0062730B" w:rsidRPr="00F54036">
        <w:rPr>
          <w:lang w:val="en-US"/>
        </w:rPr>
        <w:tab/>
      </w:r>
      <w:r w:rsidR="0062730B">
        <w:rPr>
          <w:lang w:val="en-US"/>
        </w:rPr>
        <w:tab/>
      </w:r>
      <w:r w:rsidR="0062730B">
        <w:rPr>
          <w:bCs/>
        </w:rPr>
        <w:t>Сербия</w:t>
      </w:r>
      <w:r w:rsidR="0062730B" w:rsidRPr="00F54036">
        <w:rPr>
          <w:bCs/>
          <w:lang w:val="en-US"/>
        </w:rPr>
        <w:t xml:space="preserve"> (EIA/IC/S/6)</w:t>
      </w:r>
    </w:p>
    <w:p w14:paraId="7DCA5DDB" w14:textId="77777777" w:rsidR="0062730B" w:rsidRPr="00F54036" w:rsidRDefault="0062730B" w:rsidP="0062730B">
      <w:pPr>
        <w:pStyle w:val="SingleTxtG"/>
        <w:rPr>
          <w:rFonts w:eastAsia="SimSun"/>
        </w:rPr>
      </w:pPr>
      <w:bookmarkStart w:id="4" w:name="_Hlk116304465"/>
      <w:r>
        <w:t>22.</w:t>
      </w:r>
      <w:r>
        <w:tab/>
        <w:t>Завершив работу над своими выводами и рекомендациями в связи с представлением Болгарии, в котором она выразила озабоченность касательно соблюдения Сербией своих обязательств по Конвенции в отношении нескольких видов деятельности, связанных с добычей полезных ископаемых в Караманице, Поповице, Подвирови и на шахте «Грот», на своей пятьдесят четвертой сессии</w:t>
      </w:r>
      <w:r w:rsidRPr="00837CDA">
        <w:rPr>
          <w:rStyle w:val="aa"/>
          <w:rFonts w:eastAsia="SimSun"/>
        </w:rPr>
        <w:footnoteReference w:id="10"/>
      </w:r>
      <w:r>
        <w:t xml:space="preserve"> Комитет принял соответствующий проект решения о соблюдении, который будет представлен Совещанию Сторон Конвенции на его девятой сессии. Комитет просил секретариат представить проект решения для информации Рабочей группе по оценке воздействия на окружающую среду и стратегической экологической оценке на ее двенадцатом совещании в качестве неофициального документа.</w:t>
      </w:r>
    </w:p>
    <w:bookmarkEnd w:id="4"/>
    <w:p w14:paraId="577F9331" w14:textId="65A19571" w:rsidR="0062730B" w:rsidRPr="00F54036" w:rsidRDefault="00837CDA" w:rsidP="0062730B">
      <w:pPr>
        <w:pStyle w:val="HChG"/>
        <w:rPr>
          <w:rFonts w:eastAsia="SimSun"/>
        </w:rPr>
      </w:pPr>
      <w:r>
        <w:rPr>
          <w:bCs/>
        </w:rPr>
        <w:tab/>
      </w:r>
      <w:r w:rsidR="0062730B">
        <w:rPr>
          <w:bCs/>
        </w:rPr>
        <w:t>IV.</w:t>
      </w:r>
      <w:r w:rsidR="0062730B">
        <w:tab/>
      </w:r>
      <w:r w:rsidR="0062730B">
        <w:tab/>
      </w:r>
      <w:r w:rsidR="0062730B">
        <w:rPr>
          <w:bCs/>
        </w:rPr>
        <w:t>Инициативы Комитета</w:t>
      </w:r>
      <w:r w:rsidR="0062730B" w:rsidRPr="00837CDA">
        <w:rPr>
          <w:rStyle w:val="aa"/>
          <w:rFonts w:eastAsia="SimSun"/>
          <w:b w:val="0"/>
          <w:bCs/>
        </w:rPr>
        <w:footnoteReference w:id="11"/>
      </w:r>
    </w:p>
    <w:p w14:paraId="543EA9B9" w14:textId="77777777" w:rsidR="0062730B" w:rsidRPr="00F54036" w:rsidRDefault="0062730B" w:rsidP="0062730B">
      <w:pPr>
        <w:pStyle w:val="SingleTxtG"/>
        <w:rPr>
          <w:rFonts w:eastAsia="SimSun"/>
        </w:rPr>
      </w:pPr>
      <w:r>
        <w:t>23.</w:t>
      </w:r>
      <w:r>
        <w:tab/>
        <w:t>В соответствии с пунктом 1 правила 17 рабочих правил Комитета обсуждение по этому пункту повестки дня не было открытым для наблюдателей.</w:t>
      </w:r>
    </w:p>
    <w:p w14:paraId="0301FFC5" w14:textId="73B55A29" w:rsidR="0062730B" w:rsidRPr="00F54036" w:rsidRDefault="00837CDA" w:rsidP="0062730B">
      <w:pPr>
        <w:pStyle w:val="H1G"/>
        <w:rPr>
          <w:rFonts w:eastAsia="SimSun"/>
        </w:rPr>
      </w:pPr>
      <w:r>
        <w:rPr>
          <w:bCs/>
        </w:rPr>
        <w:tab/>
      </w:r>
      <w:r w:rsidR="0062730B">
        <w:rPr>
          <w:bCs/>
        </w:rPr>
        <w:t>A.</w:t>
      </w:r>
      <w:r w:rsidR="0062730B">
        <w:tab/>
      </w:r>
      <w:r w:rsidR="0062730B">
        <w:tab/>
      </w:r>
      <w:r w:rsidR="0062730B">
        <w:rPr>
          <w:bCs/>
        </w:rPr>
        <w:t>Болгария (EIA/IC/CI/8)</w:t>
      </w:r>
    </w:p>
    <w:p w14:paraId="7EBDC8B5" w14:textId="3A3424B2" w:rsidR="0062730B" w:rsidRPr="00F54036" w:rsidRDefault="0062730B" w:rsidP="0062730B">
      <w:pPr>
        <w:pStyle w:val="SingleTxtG"/>
        <w:rPr>
          <w:rFonts w:eastAsia="SimSun"/>
        </w:rPr>
      </w:pPr>
      <w:r>
        <w:t>24.</w:t>
      </w:r>
      <w:r>
        <w:tab/>
        <w:t>Комитет продолжил рассмотрение своей инициативы о соблюдении Болгарией ее обязательств по Конвенции в отношении продления срока эксплуатации энергоблоков № 5 и № 6 атомной электростанции «Козлодуй»</w:t>
      </w:r>
      <w:r w:rsidR="00C80D30">
        <w:t>.</w:t>
      </w:r>
    </w:p>
    <w:p w14:paraId="51C9C509" w14:textId="77777777" w:rsidR="0062730B" w:rsidRPr="00F54036" w:rsidRDefault="0062730B" w:rsidP="0062730B">
      <w:pPr>
        <w:pStyle w:val="SingleTxtG"/>
        <w:rPr>
          <w:rFonts w:eastAsia="SimSun"/>
        </w:rPr>
      </w:pPr>
      <w:r>
        <w:t>25.</w:t>
      </w:r>
      <w:r>
        <w:tab/>
        <w:t>Комитет принял к сведению замечания Румынии от 29 ноября 2022 года, Австрии от 9 декабря 2022 года и Болгарии от 3 января 2023 года по ранее переданным им проектам выводов и рекомендаций. Комитет доработал свои выводы и рекомендации в рамках инициативы Комитета с учетом полученных замечаний после текущей сессии, используя свою электронную процедуру принятия решений, и поручил секретариату выпустить их в качестве официального документа до начала своей пятьдесят шестой сессии, довести их до сведения заинтересованных Сторон и впоследствии препроводить выводы и рекомендации Совещанию Сторон Конвенции на его девятой сессии для рассмотрения и учета при рассмотрении соответствующего проекта решения.</w:t>
      </w:r>
    </w:p>
    <w:p w14:paraId="4498CFCC" w14:textId="35FF71C3" w:rsidR="0062730B" w:rsidRPr="00F54036" w:rsidRDefault="00837CDA" w:rsidP="0062730B">
      <w:pPr>
        <w:pStyle w:val="H1G"/>
        <w:rPr>
          <w:rFonts w:eastAsia="SimSun"/>
        </w:rPr>
      </w:pPr>
      <w:r>
        <w:rPr>
          <w:bCs/>
        </w:rPr>
        <w:tab/>
      </w:r>
      <w:r w:rsidR="0062730B">
        <w:rPr>
          <w:bCs/>
        </w:rPr>
        <w:t>B.</w:t>
      </w:r>
      <w:r w:rsidR="0062730B">
        <w:tab/>
      </w:r>
      <w:r w:rsidR="0062730B">
        <w:tab/>
      </w:r>
      <w:r w:rsidR="0062730B">
        <w:rPr>
          <w:bCs/>
        </w:rPr>
        <w:t>Бельгия (EIA/IC/CI/9)</w:t>
      </w:r>
    </w:p>
    <w:p w14:paraId="3568A3AB" w14:textId="77777777" w:rsidR="0062730B" w:rsidRPr="00F54036" w:rsidRDefault="0062730B" w:rsidP="0062730B">
      <w:pPr>
        <w:pStyle w:val="SingleTxtG"/>
        <w:rPr>
          <w:rFonts w:eastAsia="SimSun"/>
        </w:rPr>
      </w:pPr>
      <w:r>
        <w:t>26.</w:t>
      </w:r>
      <w:r>
        <w:tab/>
        <w:t xml:space="preserve">Комитет, в отсутствие своего члена, выдвинутого Люксембургом, продолжил рассмотрение своей инициативы о соблюдении Бельгией своих обязательств по Конвенции в отношении продления срока эксплуатации энергоблока № 1 атомной электростанции «Тианж». Он принял основные положения своего проекта выводов и рекомендаций по данному вопросу. Комитет постановил согласовать текст проекта выводов и рекомендаций с использованием своей электронной процедуры принятия решений после текущей сессии. Он просил секретариат препроводить завершенный проект выводов и рекомендаций после согласования Бельгии и Германии для получения замечаний или представлений до 31 марта 2023 года. Далее Комитет доработает их на своей пятьдесят шестой сессии с учетом предоставленных замечаний и представлений. Эти выводы и рекомендации будут упоминаться в проекте решения </w:t>
      </w:r>
      <w:r>
        <w:lastRenderedPageBreak/>
        <w:t>о соблюдении, который будет представлен Совещанию Сторон Конвенции на его девятой сессии. Все рекомендации также будут включены в сам проект решения.</w:t>
      </w:r>
    </w:p>
    <w:p w14:paraId="0A5BB9CE" w14:textId="1048D052" w:rsidR="0062730B" w:rsidRPr="00837CDA" w:rsidRDefault="00837CDA" w:rsidP="0062730B">
      <w:pPr>
        <w:pStyle w:val="H1G"/>
        <w:rPr>
          <w:rFonts w:eastAsia="SimSun"/>
          <w:lang w:val="fr-FR"/>
        </w:rPr>
      </w:pPr>
      <w:r w:rsidRPr="00C80D30">
        <w:rPr>
          <w:bCs/>
        </w:rPr>
        <w:tab/>
      </w:r>
      <w:r w:rsidR="0062730B" w:rsidRPr="00F54036">
        <w:rPr>
          <w:bCs/>
          <w:lang w:val="fr-FR"/>
        </w:rPr>
        <w:t>C</w:t>
      </w:r>
      <w:r w:rsidR="0062730B" w:rsidRPr="00837CDA">
        <w:rPr>
          <w:bCs/>
          <w:lang w:val="fr-FR"/>
        </w:rPr>
        <w:t>.</w:t>
      </w:r>
      <w:r w:rsidR="0062730B" w:rsidRPr="00837CDA">
        <w:rPr>
          <w:lang w:val="fr-FR"/>
        </w:rPr>
        <w:tab/>
      </w:r>
      <w:r w:rsidR="0062730B" w:rsidRPr="00837CDA">
        <w:rPr>
          <w:lang w:val="fr-FR"/>
        </w:rPr>
        <w:tab/>
      </w:r>
      <w:r w:rsidR="0062730B">
        <w:rPr>
          <w:bCs/>
        </w:rPr>
        <w:t>Чехия</w:t>
      </w:r>
      <w:r w:rsidR="0062730B" w:rsidRPr="00837CDA">
        <w:rPr>
          <w:bCs/>
          <w:lang w:val="fr-FR"/>
        </w:rPr>
        <w:t xml:space="preserve"> (</w:t>
      </w:r>
      <w:r w:rsidR="0062730B" w:rsidRPr="00F54036">
        <w:rPr>
          <w:bCs/>
          <w:lang w:val="fr-FR"/>
        </w:rPr>
        <w:t>EIA</w:t>
      </w:r>
      <w:r w:rsidR="0062730B" w:rsidRPr="00837CDA">
        <w:rPr>
          <w:bCs/>
          <w:lang w:val="fr-FR"/>
        </w:rPr>
        <w:t>/</w:t>
      </w:r>
      <w:r w:rsidR="0062730B" w:rsidRPr="00F54036">
        <w:rPr>
          <w:bCs/>
          <w:lang w:val="fr-FR"/>
        </w:rPr>
        <w:t>IC</w:t>
      </w:r>
      <w:r w:rsidR="0062730B" w:rsidRPr="00837CDA">
        <w:rPr>
          <w:bCs/>
          <w:lang w:val="fr-FR"/>
        </w:rPr>
        <w:t>/</w:t>
      </w:r>
      <w:r w:rsidR="0062730B" w:rsidRPr="00F54036">
        <w:rPr>
          <w:bCs/>
          <w:lang w:val="fr-FR"/>
        </w:rPr>
        <w:t>CI</w:t>
      </w:r>
      <w:r w:rsidR="0062730B" w:rsidRPr="00837CDA">
        <w:rPr>
          <w:bCs/>
          <w:lang w:val="fr-FR"/>
        </w:rPr>
        <w:t>/10)</w:t>
      </w:r>
    </w:p>
    <w:p w14:paraId="7BF3CFC6" w14:textId="32482F25" w:rsidR="0062730B" w:rsidRPr="00F54036" w:rsidRDefault="0062730B" w:rsidP="0062730B">
      <w:pPr>
        <w:pStyle w:val="SingleTxtG"/>
        <w:rPr>
          <w:rFonts w:eastAsia="SimSun"/>
        </w:rPr>
      </w:pPr>
      <w:r>
        <w:t>27.</w:t>
      </w:r>
      <w:r>
        <w:tab/>
        <w:t>Комитет продолжил рассмотрение своей инициативы о соблюдении Чехией ее обязательств по Конвенции в отношении продления срока эксплуатации энергоблоков блоков №№</w:t>
      </w:r>
      <w:r w:rsidR="00890F75">
        <w:t> </w:t>
      </w:r>
      <w:r>
        <w:t>1–4 атомной электростанции «Дукованы». Он принял основные положения своего проекта выводов и рекомендаций по данному вопросу. Комитет решил согласовать текст проекта выводов и рекомендаций с использованием своей электронной процедуры принятия решений после текущей сессии. Он просил секретариат препроводить завершенный проект выводов и рекомендаций после согласования Австрии и Чехии для получения замечаний или представлений до 31</w:t>
      </w:r>
      <w:r w:rsidR="00837CDA">
        <w:t> </w:t>
      </w:r>
      <w:r>
        <w:t>марта 2023 года. Далее Комитет доработает их на своей пятьдесят шестой сессии с учетом представленных замечаний и представлений. Эти выводы и рекомендации будут упоминаться в проекте решения о соблюдении, который будет представлен Совещанию Сторон Конвенции на его девятой сессии. Все рекомендации также будут включены в сам проект решения.</w:t>
      </w:r>
    </w:p>
    <w:p w14:paraId="5376EB1F" w14:textId="546C840C" w:rsidR="0062730B" w:rsidRPr="00837CDA" w:rsidRDefault="00837CDA" w:rsidP="0062730B">
      <w:pPr>
        <w:pStyle w:val="H1G"/>
        <w:rPr>
          <w:rFonts w:eastAsia="SimSun"/>
          <w:lang w:val="fr-FR"/>
        </w:rPr>
      </w:pPr>
      <w:r w:rsidRPr="00C80D30">
        <w:rPr>
          <w:bCs/>
        </w:rPr>
        <w:tab/>
      </w:r>
      <w:r w:rsidR="0062730B" w:rsidRPr="00F54036">
        <w:rPr>
          <w:bCs/>
          <w:lang w:val="fr-FR"/>
        </w:rPr>
        <w:t>D</w:t>
      </w:r>
      <w:r w:rsidR="0062730B" w:rsidRPr="00837CDA">
        <w:rPr>
          <w:bCs/>
          <w:lang w:val="fr-FR"/>
        </w:rPr>
        <w:t>.</w:t>
      </w:r>
      <w:r w:rsidR="0062730B" w:rsidRPr="00837CDA">
        <w:rPr>
          <w:lang w:val="fr-FR"/>
        </w:rPr>
        <w:tab/>
      </w:r>
      <w:r w:rsidR="0062730B" w:rsidRPr="00837CDA">
        <w:rPr>
          <w:lang w:val="fr-FR"/>
        </w:rPr>
        <w:tab/>
      </w:r>
      <w:r w:rsidR="0062730B">
        <w:rPr>
          <w:bCs/>
        </w:rPr>
        <w:t>Сербия</w:t>
      </w:r>
      <w:r w:rsidR="0062730B" w:rsidRPr="00837CDA">
        <w:rPr>
          <w:bCs/>
          <w:lang w:val="fr-FR"/>
        </w:rPr>
        <w:t xml:space="preserve"> (</w:t>
      </w:r>
      <w:r w:rsidR="0062730B" w:rsidRPr="00F54036">
        <w:rPr>
          <w:bCs/>
          <w:lang w:val="fr-FR"/>
        </w:rPr>
        <w:t>SEA</w:t>
      </w:r>
      <w:r w:rsidR="0062730B" w:rsidRPr="00837CDA">
        <w:rPr>
          <w:bCs/>
          <w:lang w:val="fr-FR"/>
        </w:rPr>
        <w:t>/</w:t>
      </w:r>
      <w:r w:rsidR="0062730B" w:rsidRPr="00F54036">
        <w:rPr>
          <w:bCs/>
          <w:lang w:val="fr-FR"/>
        </w:rPr>
        <w:t>IC</w:t>
      </w:r>
      <w:r w:rsidR="0062730B" w:rsidRPr="00837CDA">
        <w:rPr>
          <w:bCs/>
          <w:lang w:val="fr-FR"/>
        </w:rPr>
        <w:t>/</w:t>
      </w:r>
      <w:r w:rsidR="0062730B" w:rsidRPr="00F54036">
        <w:rPr>
          <w:bCs/>
          <w:lang w:val="fr-FR"/>
        </w:rPr>
        <w:t>CI</w:t>
      </w:r>
      <w:r w:rsidR="0062730B" w:rsidRPr="00837CDA">
        <w:rPr>
          <w:bCs/>
          <w:lang w:val="fr-FR"/>
        </w:rPr>
        <w:t>/1)</w:t>
      </w:r>
    </w:p>
    <w:p w14:paraId="1426D869" w14:textId="23FCF3B7" w:rsidR="0062730B" w:rsidRPr="00F54036" w:rsidRDefault="0062730B" w:rsidP="0062730B">
      <w:pPr>
        <w:pStyle w:val="SingleTxtG"/>
        <w:rPr>
          <w:rFonts w:eastAsia="SimSun"/>
        </w:rPr>
      </w:pPr>
      <w:r>
        <w:t>28.</w:t>
      </w:r>
      <w:r>
        <w:tab/>
        <w:t xml:space="preserve">После завершения подготовки и публикации выводов и рекомендаций Комитета о соблюдении Сербией ее обязательств по Протоколу в отношении Стратегии развития энергетического сектора Республики Сербия на период до 2025 года с прогнозами на период до 2030 года и Программы осуществления Стратегии на период </w:t>
      </w:r>
      <w:r w:rsidR="00837CDA">
        <w:br/>
      </w:r>
      <w:r>
        <w:t>2017–2023</w:t>
      </w:r>
      <w:r w:rsidR="00837CDA">
        <w:t> </w:t>
      </w:r>
      <w:r>
        <w:t>годов на своей пятьдесят третьей сессии (Женева (онлайн), 10–13 мая 2022</w:t>
      </w:r>
      <w:r w:rsidR="00837CDA">
        <w:t> </w:t>
      </w:r>
      <w:r>
        <w:t>года)</w:t>
      </w:r>
      <w:r w:rsidRPr="00837CDA">
        <w:rPr>
          <w:rStyle w:val="aa"/>
          <w:rFonts w:eastAsia="SimSun"/>
        </w:rPr>
        <w:footnoteReference w:id="12"/>
      </w:r>
      <w:r>
        <w:t xml:space="preserve"> Комитет, в отсутствие своего члена, назначенного Венгрией, согласовал текст соответствующего проекта решения о соблюдении, который будет представлен Совещанию Сторон Конвенции об оценке воздействия на окружающую среду в трансграничном контексте, действующему в качестве Совещания Сторон Протокола по стратегической экологической оценке, на его пятой сессии (Женева, 12–15 декабря 2023 года). Комитет просил секретариат представить проект решения для информации Рабочей группе по оценке воздействия на окружающую среду и стратегической экологической оценке на ее двенадцатом совещании в качестве неофициального документа. </w:t>
      </w:r>
    </w:p>
    <w:p w14:paraId="3148E6F2" w14:textId="3A1E8215" w:rsidR="0062730B" w:rsidRPr="00F54036" w:rsidRDefault="00837CDA" w:rsidP="0062730B">
      <w:pPr>
        <w:pStyle w:val="HChG"/>
        <w:rPr>
          <w:rFonts w:eastAsia="SimSun"/>
        </w:rPr>
      </w:pPr>
      <w:r>
        <w:rPr>
          <w:bCs/>
        </w:rPr>
        <w:tab/>
      </w:r>
      <w:r w:rsidR="0062730B">
        <w:rPr>
          <w:bCs/>
        </w:rPr>
        <w:t>V.</w:t>
      </w:r>
      <w:r w:rsidR="0062730B">
        <w:rPr>
          <w:bCs/>
        </w:rPr>
        <w:tab/>
      </w:r>
      <w:r w:rsidR="0062730B">
        <w:tab/>
      </w:r>
      <w:r w:rsidR="0062730B">
        <w:rPr>
          <w:bCs/>
        </w:rPr>
        <w:t>Сбор информации</w:t>
      </w:r>
      <w:r w:rsidR="0062730B" w:rsidRPr="00C80D30">
        <w:rPr>
          <w:rStyle w:val="aa"/>
          <w:rFonts w:eastAsia="SimSun"/>
          <w:b w:val="0"/>
          <w:bCs/>
        </w:rPr>
        <w:footnoteReference w:id="13"/>
      </w:r>
    </w:p>
    <w:p w14:paraId="54D0B199" w14:textId="77777777" w:rsidR="0062730B" w:rsidRPr="00F54036" w:rsidRDefault="0062730B" w:rsidP="0062730B">
      <w:pPr>
        <w:pStyle w:val="H1G"/>
        <w:rPr>
          <w:rFonts w:eastAsia="SimSun"/>
        </w:rPr>
      </w:pPr>
      <w:r>
        <w:tab/>
      </w:r>
      <w:r>
        <w:tab/>
      </w:r>
      <w:r>
        <w:rPr>
          <w:bCs/>
        </w:rPr>
        <w:t>Вопросы, касающиеся Конвенции</w:t>
      </w:r>
    </w:p>
    <w:p w14:paraId="653A12B2" w14:textId="77777777" w:rsidR="0062730B" w:rsidRPr="00F54036" w:rsidRDefault="0062730B" w:rsidP="0062730B">
      <w:pPr>
        <w:pStyle w:val="SingleTxtG"/>
        <w:rPr>
          <w:rFonts w:eastAsia="SimSun"/>
        </w:rPr>
      </w:pPr>
      <w:r>
        <w:t>29.</w:t>
      </w:r>
      <w:r>
        <w:tab/>
        <w:t>В соответствии с пунктом 1 правила 17 рабочих правил Комитета обсуждения по этому пункту повестки дня не были открытыми для наблюдателей.</w:t>
      </w:r>
    </w:p>
    <w:p w14:paraId="7FEC27E1" w14:textId="3F7127DC" w:rsidR="0062730B" w:rsidRPr="00F54036" w:rsidRDefault="00837CDA" w:rsidP="0062730B">
      <w:pPr>
        <w:pStyle w:val="H1G"/>
        <w:rPr>
          <w:rFonts w:eastAsia="SimSun"/>
        </w:rPr>
      </w:pPr>
      <w:r>
        <w:rPr>
          <w:bCs/>
        </w:rPr>
        <w:tab/>
      </w:r>
      <w:r w:rsidR="0062730B">
        <w:rPr>
          <w:bCs/>
        </w:rPr>
        <w:t>A.</w:t>
      </w:r>
      <w:r w:rsidR="0062730B">
        <w:tab/>
      </w:r>
      <w:r w:rsidR="0062730B">
        <w:tab/>
      </w:r>
      <w:r w:rsidR="0062730B">
        <w:rPr>
          <w:bCs/>
        </w:rPr>
        <w:t>Беларусь (EIA/IC/INFO/21)</w:t>
      </w:r>
    </w:p>
    <w:p w14:paraId="21C2CE30" w14:textId="77777777" w:rsidR="0062730B" w:rsidRPr="00F54036" w:rsidRDefault="0062730B" w:rsidP="0062730B">
      <w:pPr>
        <w:pStyle w:val="SingleTxtG"/>
        <w:rPr>
          <w:rFonts w:eastAsia="SimSun"/>
        </w:rPr>
      </w:pPr>
      <w:r>
        <w:t>30.</w:t>
      </w:r>
      <w:r>
        <w:tab/>
        <w:t>После неофициальных консультаций Комитета с Беларусью относительно ее закона о государственной экологической экспертизе, стратегической оценке последствий для окружающей среды и оценке воздействия на окружающую среду в ходе пятьдесят четвертой сессии Комитета</w:t>
      </w:r>
      <w:r w:rsidRPr="00837CDA">
        <w:rPr>
          <w:rStyle w:val="aa"/>
          <w:rFonts w:eastAsia="SimSun"/>
        </w:rPr>
        <w:footnoteReference w:id="14"/>
      </w:r>
      <w:r>
        <w:t xml:space="preserve"> Комитет продолжил рассмотрение данного вопроса.</w:t>
      </w:r>
    </w:p>
    <w:p w14:paraId="496CCD32" w14:textId="77777777" w:rsidR="0062730B" w:rsidRPr="00F54036" w:rsidRDefault="0062730B" w:rsidP="0062730B">
      <w:pPr>
        <w:pStyle w:val="SingleTxtG"/>
        <w:rPr>
          <w:rFonts w:eastAsia="SimSun"/>
        </w:rPr>
      </w:pPr>
      <w:r>
        <w:lastRenderedPageBreak/>
        <w:t>31.</w:t>
      </w:r>
      <w:r>
        <w:tab/>
        <w:t>Он принял к сведению письмо Беларуси от 17 января 2023 года, информирующее Комитет о предлагаемых поправках к вышеупомянутому закону, с приложением календарного плана законодательного процесса, согласно которому их представление в Палате представителей Беларуси ожидается в марте 2023 года.</w:t>
      </w:r>
    </w:p>
    <w:p w14:paraId="6E08D51F" w14:textId="26860113" w:rsidR="0062730B" w:rsidRPr="00F54036" w:rsidRDefault="0062730B" w:rsidP="0062730B">
      <w:pPr>
        <w:pStyle w:val="SingleTxtG"/>
        <w:rPr>
          <w:rFonts w:eastAsia="SimSun"/>
        </w:rPr>
      </w:pPr>
      <w:r>
        <w:t>32.</w:t>
      </w:r>
      <w:r>
        <w:tab/>
        <w:t>Рассмотрев анализ проекта поправок, содержащийся в письме Беларуси, Комитет обнаружил несоответствия с Конвенцией и своими ранее высказанными опасениями, а также с рекомендациями консультантов секретариата, финансируемых в рамках программы «Европейский союз за окружающую среду».</w:t>
      </w:r>
      <w:r w:rsidR="00837CDA">
        <w:t xml:space="preserve"> </w:t>
      </w:r>
    </w:p>
    <w:p w14:paraId="63E4FDEC" w14:textId="77777777" w:rsidR="0062730B" w:rsidRPr="00F54036" w:rsidRDefault="0062730B" w:rsidP="0062730B">
      <w:pPr>
        <w:pStyle w:val="SingleTxtG"/>
        <w:rPr>
          <w:rFonts w:eastAsia="SimSun"/>
        </w:rPr>
      </w:pPr>
      <w:r>
        <w:t>33.</w:t>
      </w:r>
      <w:r>
        <w:tab/>
        <w:t>Комитет просил своего Председателя направить Беларуси письмо, с тем чтобы:</w:t>
      </w:r>
    </w:p>
    <w:p w14:paraId="62EE23B8" w14:textId="77777777" w:rsidR="0062730B" w:rsidRPr="00F54036" w:rsidRDefault="0062730B" w:rsidP="0062730B">
      <w:pPr>
        <w:pStyle w:val="SingleTxtG"/>
        <w:ind w:firstLine="567"/>
        <w:rPr>
          <w:rFonts w:eastAsia="SimSun"/>
        </w:rPr>
      </w:pPr>
      <w:r>
        <w:t>a)</w:t>
      </w:r>
      <w:r>
        <w:tab/>
        <w:t>поблагодарить Беларусь за предоставленную информацию, но выразить сожаление, что Беларусь еще не приняла соответствующее законодательство для выполнения Конвенции;</w:t>
      </w:r>
    </w:p>
    <w:p w14:paraId="64DD33A4" w14:textId="77777777" w:rsidR="0062730B" w:rsidRPr="00F54036" w:rsidRDefault="0062730B" w:rsidP="0062730B">
      <w:pPr>
        <w:pStyle w:val="SingleTxtG"/>
        <w:ind w:firstLine="567"/>
        <w:rPr>
          <w:rFonts w:eastAsia="SimSun"/>
        </w:rPr>
      </w:pPr>
      <w:r>
        <w:t>b)</w:t>
      </w:r>
      <w:r>
        <w:tab/>
        <w:t>информировать Беларусь, что с 2016 года Комитет собрал достаточно информации (из переписки с Беларусью, а также из письменных сообщений от международных консультантов в адрес секретариата и неофициальных консультаций с Беларусью в ходе пятьдесят четвертой сессии Комитета), чтобы вызвать серьезные подозрения в несоблюдении Беларусью своих обязательств по статье 2.2 Конвенции в связи с непринятием необходимых правовых, административных и иных мер для выполнения положений Конвенции;</w:t>
      </w:r>
    </w:p>
    <w:p w14:paraId="151306B4" w14:textId="77777777" w:rsidR="0062730B" w:rsidRPr="00F54036" w:rsidRDefault="0062730B" w:rsidP="0062730B">
      <w:pPr>
        <w:pStyle w:val="SingleTxtG"/>
        <w:ind w:firstLine="567"/>
      </w:pPr>
      <w:r>
        <w:t>c)</w:t>
      </w:r>
      <w:r>
        <w:tab/>
        <w:t>также информировать Беларусь, что в случае отсутствия прогресса со стороны Беларуси в принятии соответствующего законодательства к его следующей сессии Комитет выступит с инициативой в соответствии с пунктом 6 своей структуры и функций, основываясь на серьезном подозрении в несоблюдении Беларусью своих обязательств по Конвенции, и подготовит на этой сессии проект решения Совещания Сторон, в котором будут сделаны выводы о несоблюдении Беларусью обязательств по выполнению Конвенции в своем национальном законодательстве;</w:t>
      </w:r>
    </w:p>
    <w:p w14:paraId="15F4DEFE" w14:textId="77777777" w:rsidR="0062730B" w:rsidRPr="00F54036" w:rsidRDefault="0062730B" w:rsidP="0062730B">
      <w:pPr>
        <w:pStyle w:val="SingleTxtG"/>
        <w:ind w:firstLine="567"/>
      </w:pPr>
      <w:r>
        <w:t>d)</w:t>
      </w:r>
      <w:r>
        <w:tab/>
        <w:t>настоятельно призвать Беларусь предоставить Комитету текст измененного законодательства после его принятия, а также его перевод на английский язык в течение 30 дней после принятия.</w:t>
      </w:r>
    </w:p>
    <w:p w14:paraId="6E1B6134" w14:textId="447FF868" w:rsidR="0062730B" w:rsidRPr="00F54036" w:rsidRDefault="00837CDA" w:rsidP="0062730B">
      <w:pPr>
        <w:pStyle w:val="H1G"/>
        <w:rPr>
          <w:rFonts w:eastAsia="SimSun"/>
        </w:rPr>
      </w:pPr>
      <w:r>
        <w:rPr>
          <w:bCs/>
        </w:rPr>
        <w:tab/>
      </w:r>
      <w:r w:rsidR="0062730B">
        <w:rPr>
          <w:bCs/>
        </w:rPr>
        <w:t>B.</w:t>
      </w:r>
      <w:r w:rsidR="0062730B">
        <w:rPr>
          <w:bCs/>
        </w:rPr>
        <w:tab/>
      </w:r>
      <w:r w:rsidR="0062730B">
        <w:tab/>
      </w:r>
      <w:r w:rsidR="0062730B">
        <w:rPr>
          <w:bCs/>
        </w:rPr>
        <w:t>Нидерланды (EIA/IC/INFO/15)</w:t>
      </w:r>
    </w:p>
    <w:p w14:paraId="2B6D0B2B" w14:textId="77777777" w:rsidR="0062730B" w:rsidRPr="00F54036" w:rsidRDefault="0062730B" w:rsidP="0062730B">
      <w:pPr>
        <w:pStyle w:val="SingleTxtG"/>
        <w:rPr>
          <w:rFonts w:eastAsia="SimSun"/>
        </w:rPr>
      </w:pPr>
      <w:r>
        <w:t>34.</w:t>
      </w:r>
      <w:r>
        <w:tab/>
        <w:t>Комитет продолжил рассмотрение информации, полученной им в дополнение к информации от 7 мая 2014 года от НПО «Гринпис–Нидерланды», касающейся продления срока эксплуатации атомной электростанции «Борселе» в Нидерландах.</w:t>
      </w:r>
    </w:p>
    <w:p w14:paraId="11522D17" w14:textId="7C697C87" w:rsidR="0062730B" w:rsidRPr="00F54036" w:rsidRDefault="0062730B" w:rsidP="0062730B">
      <w:pPr>
        <w:pStyle w:val="SingleTxtG"/>
        <w:rPr>
          <w:rFonts w:eastAsia="SimSun"/>
        </w:rPr>
      </w:pPr>
      <w:r>
        <w:t>35.</w:t>
      </w:r>
      <w:r>
        <w:tab/>
        <w:t xml:space="preserve">Комитет рассмотрел всю информацию, предоставленную ему по этому вопросу Нидерландами как Стороной происхождения, Германией как потенциально затрагиваемой Стороной и НПО, в свете критериев </w:t>
      </w:r>
      <w:r>
        <w:rPr>
          <w:i/>
          <w:iCs/>
        </w:rPr>
        <w:t xml:space="preserve">Руководства по применимости Конвенции к продлению срока </w:t>
      </w:r>
      <w:r w:rsidRPr="00951EB6">
        <w:rPr>
          <w:i/>
          <w:iCs/>
        </w:rPr>
        <w:t xml:space="preserve">эксплуатации </w:t>
      </w:r>
      <w:r>
        <w:rPr>
          <w:i/>
          <w:iCs/>
        </w:rPr>
        <w:t>атомных электростанций</w:t>
      </w:r>
      <w:r>
        <w:t xml:space="preserve"> (Руководство)</w:t>
      </w:r>
      <w:r w:rsidRPr="00837CDA">
        <w:rPr>
          <w:rStyle w:val="aa"/>
          <w:rFonts w:eastAsia="SimSun"/>
        </w:rPr>
        <w:footnoteReference w:id="15"/>
      </w:r>
      <w:r>
        <w:t>.</w:t>
      </w:r>
    </w:p>
    <w:p w14:paraId="1898953D" w14:textId="7D708871" w:rsidR="0062730B" w:rsidRPr="00F54036" w:rsidRDefault="0062730B" w:rsidP="0062730B">
      <w:pPr>
        <w:pStyle w:val="SingleTxtG"/>
        <w:rPr>
          <w:rFonts w:eastAsia="SimSun"/>
        </w:rPr>
      </w:pPr>
      <w:r>
        <w:t>36.</w:t>
      </w:r>
      <w:r>
        <w:tab/>
        <w:t xml:space="preserve">С учетом других дел о продлении срока </w:t>
      </w:r>
      <w:r w:rsidRPr="00951EB6">
        <w:t>эксплуатации</w:t>
      </w:r>
      <w:r>
        <w:t>, которые в настоящее время находятся на рассмотрении Комитета, и объема работы Комитета он решил продолжить рассмотрение этого вопроса на своей следующей сессии в мае 2023 года.</w:t>
      </w:r>
      <w:r w:rsidR="00837CDA">
        <w:t xml:space="preserve"> </w:t>
      </w:r>
    </w:p>
    <w:p w14:paraId="30A1FC62" w14:textId="08ACBF49" w:rsidR="0062730B" w:rsidRPr="00F54036" w:rsidRDefault="00837CDA" w:rsidP="0062730B">
      <w:pPr>
        <w:pStyle w:val="H1G"/>
        <w:rPr>
          <w:rFonts w:eastAsia="SimSun"/>
        </w:rPr>
      </w:pPr>
      <w:r>
        <w:rPr>
          <w:bCs/>
        </w:rPr>
        <w:tab/>
      </w:r>
      <w:r w:rsidR="0062730B">
        <w:rPr>
          <w:bCs/>
        </w:rPr>
        <w:t>C.</w:t>
      </w:r>
      <w:r w:rsidR="0062730B">
        <w:rPr>
          <w:bCs/>
        </w:rPr>
        <w:tab/>
      </w:r>
      <w:r w:rsidR="0062730B">
        <w:tab/>
      </w:r>
      <w:r w:rsidR="0062730B">
        <w:rPr>
          <w:bCs/>
        </w:rPr>
        <w:t>Франция (EIA/IC/INFO/32)</w:t>
      </w:r>
    </w:p>
    <w:p w14:paraId="515C106B" w14:textId="571C17EF" w:rsidR="0062730B" w:rsidRPr="00F54036" w:rsidRDefault="0062730B" w:rsidP="0062730B">
      <w:pPr>
        <w:pStyle w:val="SingleTxtG"/>
        <w:rPr>
          <w:rFonts w:eastAsia="SimSun"/>
        </w:rPr>
      </w:pPr>
      <w:r>
        <w:t>37.</w:t>
      </w:r>
      <w:r>
        <w:tab/>
        <w:t>Комитет продолжил рассмотрение информации, собранной им в дополнение к информации, полученной 9 марта 2020 года от организации «Гринпис</w:t>
      </w:r>
      <w:r w:rsidR="00C80D30">
        <w:t>–</w:t>
      </w:r>
      <w:r>
        <w:t xml:space="preserve">Франция» </w:t>
      </w:r>
      <w:r>
        <w:lastRenderedPageBreak/>
        <w:t>и</w:t>
      </w:r>
      <w:r w:rsidR="00C80D30">
        <w:t> </w:t>
      </w:r>
      <w:r>
        <w:t xml:space="preserve">дополненной ею 7 мая 2020 года, относительно запланированного Францией продления срока </w:t>
      </w:r>
      <w:r w:rsidRPr="00951EB6">
        <w:t xml:space="preserve">эксплуатации </w:t>
      </w:r>
      <w:r>
        <w:t>32 энергоблоков на восьми атомных электростанциях</w:t>
      </w:r>
      <w:r w:rsidRPr="00837CDA">
        <w:rPr>
          <w:rStyle w:val="aa"/>
          <w:rFonts w:eastAsia="SimSun"/>
        </w:rPr>
        <w:footnoteReference w:id="16"/>
      </w:r>
      <w:r>
        <w:t>.</w:t>
      </w:r>
    </w:p>
    <w:p w14:paraId="53EECA63" w14:textId="77777777" w:rsidR="0062730B" w:rsidRPr="00F54036" w:rsidRDefault="0062730B" w:rsidP="0062730B">
      <w:pPr>
        <w:pStyle w:val="SingleTxtG"/>
        <w:rPr>
          <w:rFonts w:eastAsia="SimSun"/>
        </w:rPr>
      </w:pPr>
      <w:r>
        <w:t>38.</w:t>
      </w:r>
      <w:r>
        <w:tab/>
        <w:t xml:space="preserve">Комитет принял к сведению ответ Франции от 15 января 2023 года о том, что решение о скрининге блока № 1 АЭС «Трикастен» органом по ядерной безопасности Франции было отложено и теперь ожидается, что оно будет принято в первом полугодии 2023 года. Он также принял к сведению информацию от Франции о том, что предоставленный ею Комитету в письме от 15 апреля 2022 года ориентировочный график долгосрочной эксплуатации энергоблоков с электрической мощностью свыше 900 мегаватт (МВт) остается в силе и пока не требует обновления. </w:t>
      </w:r>
    </w:p>
    <w:p w14:paraId="0AD718ED" w14:textId="6BCF13E6" w:rsidR="0062730B" w:rsidRPr="00F54036" w:rsidRDefault="0062730B" w:rsidP="0062730B">
      <w:pPr>
        <w:pStyle w:val="SingleTxtG"/>
      </w:pPr>
      <w:r>
        <w:t>39.</w:t>
      </w:r>
      <w:r>
        <w:tab/>
        <w:t xml:space="preserve">Комитет напомнил, что он уже анализировал этот ориентировочный график для энергоблоков с электрической мощностью свыше 900 МВт («Бельвиль», «Каттеном», «Шоз», «Сиво», «Фламанвиль», «Гольфеш», «Ножан», «Палюэль», «Пенли» и </w:t>
      </w:r>
      <w:r w:rsidR="00C80D30">
        <w:br/>
      </w:r>
      <w:r>
        <w:t>«Сент-Альбан») на своей пятьдесят третьей сессии</w:t>
      </w:r>
      <w:r w:rsidRPr="00837CDA">
        <w:rPr>
          <w:rStyle w:val="aa"/>
          <w:rFonts w:eastAsia="SimSun"/>
        </w:rPr>
        <w:footnoteReference w:id="17"/>
      </w:r>
      <w:r>
        <w:t>, и отметил, что по блокам с электрической мощностью менее 900 МВт («Блайе», «Бюже», «Шинон», «Крюа», «Дампьер», «Гравлин», «Сен-Лоран» и «Трикастен») не была представлена обновленная информация.</w:t>
      </w:r>
    </w:p>
    <w:p w14:paraId="78E3F138" w14:textId="77777777" w:rsidR="0062730B" w:rsidRPr="00F54036" w:rsidRDefault="0062730B" w:rsidP="0062730B">
      <w:pPr>
        <w:pStyle w:val="SingleTxtG"/>
        <w:rPr>
          <w:rFonts w:eastAsia="SimSun"/>
        </w:rPr>
      </w:pPr>
      <w:r>
        <w:t>40.</w:t>
      </w:r>
      <w:r>
        <w:tab/>
        <w:t>Комитет просил своего Председателя направить Франции письмо, с тем чтобы:</w:t>
      </w:r>
    </w:p>
    <w:p w14:paraId="5BA9E93A" w14:textId="77777777" w:rsidR="0062730B" w:rsidRPr="00F54036" w:rsidRDefault="0062730B" w:rsidP="0062730B">
      <w:pPr>
        <w:pStyle w:val="SingleTxtG"/>
        <w:ind w:firstLine="567"/>
      </w:pPr>
      <w:r>
        <w:t>a)</w:t>
      </w:r>
      <w:r>
        <w:tab/>
        <w:t>выразить признательность Франции за своевременное представление информации от 15 января 2023 года;</w:t>
      </w:r>
    </w:p>
    <w:p w14:paraId="206547E3" w14:textId="4FF646EB" w:rsidR="0062730B" w:rsidRPr="00F54036" w:rsidRDefault="0062730B" w:rsidP="0062730B">
      <w:pPr>
        <w:pStyle w:val="SingleTxtG"/>
        <w:ind w:firstLine="567"/>
      </w:pPr>
      <w:r>
        <w:t>b)</w:t>
      </w:r>
      <w:r>
        <w:tab/>
        <w:t>повторить его просьбу проинформировать Комитет об ожидаемом решении по скринингу энергоблока 1 атомной электростанции «Трикастен», как только оно будет принято, и предоставить Комитету достаточное обоснование решения правительства Франции о необходимости проведения процедуры оценки трансграничного воздействия на окружающую среду для этого энергоблока в соответствии с Конвенцией</w:t>
      </w:r>
      <w:r w:rsidRPr="00837CDA">
        <w:rPr>
          <w:rStyle w:val="aa"/>
          <w:rFonts w:eastAsia="SimSun"/>
        </w:rPr>
        <w:footnoteReference w:id="18"/>
      </w:r>
      <w:r>
        <w:t>. Если это решение не будет принято до 31 марта 2023</w:t>
      </w:r>
      <w:r w:rsidR="00837CDA">
        <w:t> </w:t>
      </w:r>
      <w:r>
        <w:t xml:space="preserve">года, Франции следует проинформировать Комитет о статусе решения, включая предполагаемую дату его принятия; </w:t>
      </w:r>
    </w:p>
    <w:p w14:paraId="6883A5EE" w14:textId="023B43DD" w:rsidR="0062730B" w:rsidRPr="00F54036" w:rsidRDefault="0062730B" w:rsidP="0062730B">
      <w:pPr>
        <w:pStyle w:val="SingleTxtG"/>
        <w:ind w:firstLine="567"/>
      </w:pPr>
      <w:r>
        <w:t>c)</w:t>
      </w:r>
      <w:r>
        <w:tab/>
        <w:t>повторить просьбу Комитета предоставить обновленную информацию по блокам с электрической мощностью менее 900 МВт («Блайе», «Бюже», «Шинон», «Крюа», «Дампьер», «Гравлин», «Сен-Лоран» и «Трикастен») и предоставить обновленную информацию по блокам с электрической мощностью более 900 МВт («Бельвиль», «Каттеном», «Шоз», «Сиво», «Фламанвиль», «Гольфеш», «Ножан», «Палюэль», «Пенли» и «Сент-Альбан»), при наличии таковой</w:t>
      </w:r>
      <w:r w:rsidRPr="00837CDA">
        <w:rPr>
          <w:rStyle w:val="aa"/>
        </w:rPr>
        <w:footnoteReference w:id="19"/>
      </w:r>
      <w:r>
        <w:t xml:space="preserve">; </w:t>
      </w:r>
    </w:p>
    <w:p w14:paraId="1D818CD4" w14:textId="77777777" w:rsidR="0062730B" w:rsidRPr="00F54036" w:rsidRDefault="0062730B" w:rsidP="0062730B">
      <w:pPr>
        <w:pStyle w:val="SingleTxtG"/>
        <w:ind w:firstLine="567"/>
      </w:pPr>
      <w:r>
        <w:t>d)</w:t>
      </w:r>
      <w:r>
        <w:tab/>
        <w:t>просить Францию представить запрошенную информацию через секретариат на английском языке не позднее 4 апреля 2023 года.</w:t>
      </w:r>
    </w:p>
    <w:p w14:paraId="0E04740A" w14:textId="553F4399" w:rsidR="0062730B" w:rsidRPr="00F54036" w:rsidRDefault="0062730B" w:rsidP="0062730B">
      <w:pPr>
        <w:pStyle w:val="SingleTxtG"/>
      </w:pPr>
      <w:r>
        <w:t>41.</w:t>
      </w:r>
      <w:r>
        <w:tab/>
        <w:t>Наконец, Комитет просил секретариат поделиться с НПО — в отсутствие каких-либо разумно обоснованных возражений со стороны Франции — информацией, полученной от Франции в отношении этой деятельности, от 15 января 2023 года.</w:t>
      </w:r>
    </w:p>
    <w:p w14:paraId="5BE460FF" w14:textId="360B8714" w:rsidR="0062730B" w:rsidRPr="00F54036" w:rsidRDefault="00837CDA" w:rsidP="0062730B">
      <w:pPr>
        <w:pStyle w:val="HChG"/>
        <w:rPr>
          <w:rFonts w:eastAsia="SimSun"/>
        </w:rPr>
      </w:pPr>
      <w:r>
        <w:rPr>
          <w:bCs/>
        </w:rPr>
        <w:tab/>
      </w:r>
      <w:r w:rsidR="0062730B">
        <w:rPr>
          <w:bCs/>
        </w:rPr>
        <w:t>VI.</w:t>
      </w:r>
      <w:r w:rsidR="0062730B">
        <w:rPr>
          <w:bCs/>
        </w:rPr>
        <w:tab/>
      </w:r>
      <w:r w:rsidR="0062730B">
        <w:tab/>
      </w:r>
      <w:r w:rsidR="0062730B">
        <w:rPr>
          <w:bCs/>
        </w:rPr>
        <w:t>Обзор осуществления</w:t>
      </w:r>
    </w:p>
    <w:p w14:paraId="636A0DC5" w14:textId="73F1BACA" w:rsidR="0062730B" w:rsidRPr="00F54036" w:rsidRDefault="00837CDA" w:rsidP="0062730B">
      <w:pPr>
        <w:pStyle w:val="H1G"/>
        <w:rPr>
          <w:rFonts w:eastAsia="SimSun"/>
        </w:rPr>
      </w:pPr>
      <w:r>
        <w:rPr>
          <w:bCs/>
        </w:rPr>
        <w:tab/>
      </w:r>
      <w:r w:rsidR="0062730B">
        <w:rPr>
          <w:bCs/>
        </w:rPr>
        <w:t>A.</w:t>
      </w:r>
      <w:r w:rsidR="0062730B">
        <w:rPr>
          <w:bCs/>
        </w:rPr>
        <w:tab/>
      </w:r>
      <w:r w:rsidR="0062730B">
        <w:tab/>
      </w:r>
      <w:r w:rsidR="0062730B">
        <w:rPr>
          <w:bCs/>
        </w:rPr>
        <w:t xml:space="preserve">Рассмотрение общих и конкретных вопросов соблюдения </w:t>
      </w:r>
      <w:r>
        <w:rPr>
          <w:bCs/>
        </w:rPr>
        <w:br/>
      </w:r>
      <w:r w:rsidR="0062730B">
        <w:rPr>
          <w:bCs/>
        </w:rPr>
        <w:t>по итогам шестого обзора осуществления Конвенции</w:t>
      </w:r>
    </w:p>
    <w:p w14:paraId="769F376C" w14:textId="77777777" w:rsidR="0062730B" w:rsidRPr="00F54036" w:rsidRDefault="0062730B" w:rsidP="0062730B">
      <w:pPr>
        <w:pStyle w:val="SingleTxtG"/>
        <w:rPr>
          <w:rFonts w:eastAsia="SimSun"/>
        </w:rPr>
      </w:pPr>
      <w:r>
        <w:t>42.</w:t>
      </w:r>
      <w:r>
        <w:tab/>
        <w:t xml:space="preserve">Комитет напомнил, что после обсуждения на своей пятьдесят четвертой сессии Комитет просил Кыргызстан предоставить до 3 января 2023 года дополнительные разъяснения по потенциальным вопросам соблюдения, выявленным в ходе шестого </w:t>
      </w:r>
      <w:r>
        <w:lastRenderedPageBreak/>
        <w:t>обзора осуществления Конвенции (ECE/MP.EIA/2020/8)</w:t>
      </w:r>
      <w:r w:rsidRPr="00837CDA">
        <w:rPr>
          <w:rStyle w:val="aa"/>
          <w:rFonts w:eastAsia="SimSun"/>
        </w:rPr>
        <w:footnoteReference w:id="20"/>
      </w:r>
      <w:r>
        <w:t>. Комитет отметил, что Кыргызстан не ответил на письмо Комитета от 21 октября 2022 года, несмотря на несколько напоминаний со стороны секретариата.</w:t>
      </w:r>
    </w:p>
    <w:p w14:paraId="551E29E9" w14:textId="29A3F959" w:rsidR="0062730B" w:rsidRPr="00F54036" w:rsidRDefault="0062730B" w:rsidP="0062730B">
      <w:pPr>
        <w:pStyle w:val="SingleTxtG"/>
        <w:rPr>
          <w:rFonts w:eastAsia="SimSun"/>
        </w:rPr>
      </w:pPr>
      <w:r>
        <w:t>43.</w:t>
      </w:r>
      <w:r>
        <w:tab/>
        <w:t>Комитет предложил своему Председателю вновь направить письмо этой Стороне с целью повторения первоначальной просьбы Комитета от 14 апреля 2022</w:t>
      </w:r>
      <w:r w:rsidR="00837CDA">
        <w:t> </w:t>
      </w:r>
      <w:r>
        <w:t>года о предоставлении через секретариат, не позднее 31 марта 2023 года, разъяснения на английском языке об осуществлении Кыргызстаном Конвенции, чтобы Комитет мог оценить осуществление на своей следующей сессии.</w:t>
      </w:r>
    </w:p>
    <w:p w14:paraId="013ABD45" w14:textId="59BE2F08" w:rsidR="0062730B" w:rsidRPr="00F54036" w:rsidRDefault="00837CDA" w:rsidP="0062730B">
      <w:pPr>
        <w:pStyle w:val="H1G"/>
        <w:rPr>
          <w:rFonts w:eastAsia="SimSun"/>
        </w:rPr>
      </w:pPr>
      <w:r>
        <w:rPr>
          <w:bCs/>
        </w:rPr>
        <w:tab/>
      </w:r>
      <w:r w:rsidR="0062730B">
        <w:rPr>
          <w:bCs/>
        </w:rPr>
        <w:t>B.</w:t>
      </w:r>
      <w:r w:rsidR="0062730B">
        <w:tab/>
      </w:r>
      <w:r w:rsidR="0062730B">
        <w:tab/>
      </w:r>
      <w:r w:rsidR="0062730B">
        <w:rPr>
          <w:bCs/>
        </w:rPr>
        <w:t xml:space="preserve">Рассмотрение общих и конкретных вопросов соблюдения </w:t>
      </w:r>
      <w:r>
        <w:rPr>
          <w:bCs/>
        </w:rPr>
        <w:br/>
      </w:r>
      <w:r w:rsidR="0062730B">
        <w:rPr>
          <w:bCs/>
        </w:rPr>
        <w:t>по итогам второго обзора осуществления Протокола</w:t>
      </w:r>
    </w:p>
    <w:p w14:paraId="457BA994" w14:textId="77777777" w:rsidR="0062730B" w:rsidRPr="00F54036" w:rsidRDefault="0062730B" w:rsidP="0062730B">
      <w:pPr>
        <w:pStyle w:val="SingleTxtG"/>
        <w:rPr>
          <w:rFonts w:eastAsia="SimSun"/>
        </w:rPr>
      </w:pPr>
      <w:r>
        <w:t>44.</w:t>
      </w:r>
      <w:r>
        <w:tab/>
        <w:t>Комитет продолжил рассмотрение конкретного вопроса соблюдения в отношении Сербии, определенного в ходе второго обзора осуществления Протокола (ECE/MP.EIA/SEA/2017/9).</w:t>
      </w:r>
    </w:p>
    <w:p w14:paraId="34255E5F" w14:textId="77777777" w:rsidR="0062730B" w:rsidRPr="00F54036" w:rsidRDefault="0062730B" w:rsidP="0062730B">
      <w:pPr>
        <w:pStyle w:val="SingleTxtG"/>
        <w:rPr>
          <w:rFonts w:eastAsia="SimSun"/>
        </w:rPr>
      </w:pPr>
      <w:r>
        <w:t>45.</w:t>
      </w:r>
      <w:r>
        <w:tab/>
        <w:t>На своей пятьдесят четвертой сессии Комитет был проинформирован Сербией в письме от 28 июля 2022 года о том, что пересмотренный Закон о стратегической оценке последствий для окружающей среды планируется принять до конца 2022 года</w:t>
      </w:r>
      <w:r w:rsidRPr="00837CDA">
        <w:rPr>
          <w:rStyle w:val="aa"/>
          <w:rFonts w:eastAsia="SimSun"/>
        </w:rPr>
        <w:footnoteReference w:id="21"/>
      </w:r>
      <w:r>
        <w:t xml:space="preserve">. Комитет с сожалением отметил, что с июля 2022 года Сербия не предоставила никакой новой информации. </w:t>
      </w:r>
    </w:p>
    <w:p w14:paraId="18A22C05" w14:textId="77777777" w:rsidR="0062730B" w:rsidRPr="00F54036" w:rsidRDefault="0062730B" w:rsidP="0062730B">
      <w:pPr>
        <w:pStyle w:val="SingleTxtG"/>
        <w:rPr>
          <w:rFonts w:eastAsia="SimSun"/>
        </w:rPr>
      </w:pPr>
      <w:r>
        <w:t>46.</w:t>
      </w:r>
      <w:r>
        <w:tab/>
        <w:t xml:space="preserve">Комитет предложил своему Председателю направить Сербии письмо с напоминанием о необходимости предоставить Комитету закон с поправками и его перевод на английский язык, после его принятия, не позднее 31 марта 2023 года. </w:t>
      </w:r>
    </w:p>
    <w:p w14:paraId="207F7690" w14:textId="77E8F356" w:rsidR="0062730B" w:rsidRPr="00F54036" w:rsidRDefault="00837CDA" w:rsidP="0062730B">
      <w:pPr>
        <w:pStyle w:val="H1G"/>
        <w:rPr>
          <w:rFonts w:eastAsia="SimSun"/>
        </w:rPr>
      </w:pPr>
      <w:r>
        <w:rPr>
          <w:bCs/>
        </w:rPr>
        <w:tab/>
      </w:r>
      <w:r w:rsidR="0062730B">
        <w:rPr>
          <w:bCs/>
        </w:rPr>
        <w:t>C.</w:t>
      </w:r>
      <w:r w:rsidR="0062730B">
        <w:tab/>
      </w:r>
      <w:r w:rsidR="0062730B">
        <w:tab/>
      </w:r>
      <w:r w:rsidR="0062730B">
        <w:rPr>
          <w:bCs/>
        </w:rPr>
        <w:t xml:space="preserve">Рассмотрение общих и конкретных вопросов соблюдения </w:t>
      </w:r>
      <w:r>
        <w:rPr>
          <w:bCs/>
        </w:rPr>
        <w:br/>
      </w:r>
      <w:r w:rsidR="0062730B">
        <w:rPr>
          <w:bCs/>
        </w:rPr>
        <w:t>по итогам третьего обзора осуществления Протокола</w:t>
      </w:r>
    </w:p>
    <w:p w14:paraId="54F4355F" w14:textId="77777777" w:rsidR="0062730B" w:rsidRPr="00F54036" w:rsidRDefault="0062730B" w:rsidP="0062730B">
      <w:pPr>
        <w:pStyle w:val="SingleTxtG"/>
        <w:rPr>
          <w:rFonts w:eastAsia="SimSun"/>
        </w:rPr>
      </w:pPr>
      <w:r>
        <w:t>47.</w:t>
      </w:r>
      <w:r>
        <w:tab/>
        <w:t>Комитет продолжил рассмотрение общих и конкретных вопросов соблюдения, выявленных в ходе третьего обзора осуществления Протокола (ECE/MP.EIA/SEA/2020/8), и принял к сведению ответы Армении и Боснии и Герцеговины на его письма от 21 октября 2022 года и отсутствие ответа от Северной Македонии.</w:t>
      </w:r>
    </w:p>
    <w:p w14:paraId="37B06D28" w14:textId="38713594" w:rsidR="0062730B" w:rsidRPr="00F54036" w:rsidRDefault="0062730B" w:rsidP="0062730B">
      <w:pPr>
        <w:pStyle w:val="SingleTxtG"/>
        <w:rPr>
          <w:rFonts w:eastAsia="SimSun"/>
        </w:rPr>
      </w:pPr>
      <w:r>
        <w:t>48.</w:t>
      </w:r>
      <w:r>
        <w:tab/>
        <w:t>Комитет рассмотрел ответ Армении от 27 декабря 2022 года, в котором сообщалось, что законопроект, как ожидается, будет одобрен правительством в конце 2022 года, и говорилось, что: «В законопроекте устанавливается порядок внесения изменений в учредительные документы, подлежащие [стратегической оценке последствий для окружающей среды] (независимо от того, являются ли такие изменения незначительными), согласно которому предмет проектов, связанных с внесением изменений в учредительные документы или планировку территорий до проведения [стратегической оценки последствий для окружающей среды] и</w:t>
      </w:r>
      <w:r w:rsidR="00837CDA">
        <w:t> </w:t>
      </w:r>
      <w:r>
        <w:t>экспертизы, определяется уполномоченным органом-инициатором по итогам совместных консультаций».</w:t>
      </w:r>
    </w:p>
    <w:p w14:paraId="065863BD" w14:textId="77777777" w:rsidR="0062730B" w:rsidRPr="00F54036" w:rsidRDefault="0062730B" w:rsidP="0062730B">
      <w:pPr>
        <w:pStyle w:val="SingleTxtG"/>
        <w:rPr>
          <w:rFonts w:eastAsia="SimSun"/>
        </w:rPr>
      </w:pPr>
      <w:r>
        <w:t>49.</w:t>
      </w:r>
      <w:r>
        <w:tab/>
        <w:t>Комитет выразил сожаление по поводу отсутствия ясности в ответе Армении и просил Председателя также включить в свое письмо Армении по инициативе Комитета EIA/IC/CI/1 (см. пункт 9 выше) просьбу уточнить ее ответ на письмо Комитета от 21 октября 2022 года не позднее 31 марта 2023 года.</w:t>
      </w:r>
    </w:p>
    <w:p w14:paraId="07F6F2BA" w14:textId="16F17641" w:rsidR="0062730B" w:rsidRPr="00F54036" w:rsidRDefault="0062730B" w:rsidP="0062730B">
      <w:pPr>
        <w:pStyle w:val="SingleTxtG"/>
        <w:rPr>
          <w:rFonts w:eastAsia="SimSun"/>
        </w:rPr>
      </w:pPr>
      <w:r>
        <w:t>50.</w:t>
      </w:r>
      <w:r>
        <w:tab/>
        <w:t>Далее Комитет рассмотрел ответ Боснии и Герцеговины от 27 декабря 2022</w:t>
      </w:r>
      <w:r w:rsidR="00837CDA">
        <w:t> </w:t>
      </w:r>
      <w:r>
        <w:t>года. Он признал разъяснения, предоставленные Боснией и Герцеговиной, удовлетворительными, и пришел к выводу об отсутствии обеспокоенности в связи с осуществлением положений статьи 4.4 Протокола и об отсутствии необходимости продолжать рассмотрение этого вопроса.</w:t>
      </w:r>
    </w:p>
    <w:p w14:paraId="27CA6B5D" w14:textId="77777777" w:rsidR="0062730B" w:rsidRPr="00F54036" w:rsidRDefault="0062730B" w:rsidP="0062730B">
      <w:pPr>
        <w:pStyle w:val="SingleTxtG"/>
        <w:rPr>
          <w:rFonts w:eastAsia="SimSun"/>
        </w:rPr>
      </w:pPr>
      <w:r>
        <w:lastRenderedPageBreak/>
        <w:t>51.</w:t>
      </w:r>
      <w:r>
        <w:tab/>
        <w:t>Комитет решил просить своего Председателя направить Боснии и Герцеговине письмо с выражением признательности за предоставление удовлетворительного разъяснения и информацией о своем выводе. В своем письме Председателю также следует запросить согласие Боснии и Герцеговины на размещение материалов ее переписки с Комитетом на сайте Конвенции в качестве иллюстрации подхода Комитета к рассмотрению вопроса.</w:t>
      </w:r>
    </w:p>
    <w:p w14:paraId="1B85A58E" w14:textId="77777777" w:rsidR="0062730B" w:rsidRPr="00F54036" w:rsidRDefault="0062730B" w:rsidP="0062730B">
      <w:pPr>
        <w:pStyle w:val="SingleTxtG"/>
        <w:rPr>
          <w:rFonts w:eastAsia="SimSun"/>
        </w:rPr>
      </w:pPr>
      <w:r>
        <w:t>52.</w:t>
      </w:r>
      <w:r>
        <w:tab/>
        <w:t>Далее, обращаясь к Северной Македонии, Комитет с сожалением отметил отсутствие ответа Северной Македонии на свое письмо от 21 октября 2022 года, несмотря на несколько напоминаний со стороны секретариата. Комитет просил своего Председателя направить Северной Македонии письмо с целью повторить свою просьбу о предоставлении разъяснений по данному вопросу, запрошенных уже дважды, которые следует направить через секретариат на английском языке не позднее 31 марта 2023 года.</w:t>
      </w:r>
    </w:p>
    <w:p w14:paraId="712CF919" w14:textId="77112BE8" w:rsidR="0062730B" w:rsidRPr="00F54036" w:rsidRDefault="00837CDA" w:rsidP="0062730B">
      <w:pPr>
        <w:pStyle w:val="H1G"/>
        <w:rPr>
          <w:rFonts w:eastAsia="SimSun"/>
          <w:bCs/>
          <w:sz w:val="32"/>
        </w:rPr>
      </w:pPr>
      <w:r>
        <w:rPr>
          <w:bCs/>
        </w:rPr>
        <w:tab/>
      </w:r>
      <w:r w:rsidR="0062730B">
        <w:rPr>
          <w:bCs/>
        </w:rPr>
        <w:t>D.</w:t>
      </w:r>
      <w:r w:rsidR="0062730B">
        <w:tab/>
      </w:r>
      <w:r w:rsidR="0062730B">
        <w:tab/>
      </w:r>
      <w:r w:rsidR="0062730B">
        <w:rPr>
          <w:bCs/>
        </w:rPr>
        <w:t xml:space="preserve">Типовые формы отчетности по Конвенции и Протоколу </w:t>
      </w:r>
      <w:r w:rsidR="00C80D30">
        <w:rPr>
          <w:bCs/>
        </w:rPr>
        <w:br/>
      </w:r>
      <w:r w:rsidR="0062730B">
        <w:rPr>
          <w:bCs/>
        </w:rPr>
        <w:t>для Европейского союза</w:t>
      </w:r>
      <w:r w:rsidR="0062730B" w:rsidRPr="00C80D30">
        <w:rPr>
          <w:rStyle w:val="aa"/>
          <w:rFonts w:eastAsia="SimSun"/>
          <w:b w:val="0"/>
          <w:bCs/>
        </w:rPr>
        <w:footnoteReference w:id="22"/>
      </w:r>
      <w:r w:rsidR="0062730B">
        <w:rPr>
          <w:bCs/>
        </w:rPr>
        <w:t xml:space="preserve"> и документ SEA/IC/SCI/1/4</w:t>
      </w:r>
    </w:p>
    <w:p w14:paraId="655D1CFB" w14:textId="77777777" w:rsidR="0062730B" w:rsidRPr="00F54036" w:rsidRDefault="0062730B" w:rsidP="0062730B">
      <w:pPr>
        <w:pStyle w:val="SingleTxtG"/>
        <w:rPr>
          <w:rFonts w:eastAsia="SimSun"/>
        </w:rPr>
      </w:pPr>
      <w:r>
        <w:t>53.</w:t>
      </w:r>
      <w:r>
        <w:tab/>
        <w:t>Комитет завершил рассмотрение проекта типовых форм отчетности для Европейского союза по осуществлению Конвенции и Протокола с учетом результатов онлайн-консультаций от 12 декабря 2022 года с представителями Европейской комиссии и, в качестве наблюдателей, Чехии, которая председательствовала в Совете Европейского союза во второй половине 2022 года, а также дополнительных замечаний от Европейской комиссии, представленных 21 декабря 2022 года.</w:t>
      </w:r>
    </w:p>
    <w:p w14:paraId="402DAE69" w14:textId="77777777" w:rsidR="0062730B" w:rsidRPr="00F54036" w:rsidRDefault="0062730B" w:rsidP="0062730B">
      <w:pPr>
        <w:pStyle w:val="SingleTxtG"/>
        <w:rPr>
          <w:rFonts w:eastAsia="SimSun"/>
        </w:rPr>
      </w:pPr>
      <w:r>
        <w:t>54.</w:t>
      </w:r>
      <w:r>
        <w:tab/>
        <w:t xml:space="preserve">В ответ на просьбу Рабочей группы, озвученную на ее десятой сессии (Женева, 1–3 декабря 2021 года), Комитет предложил секретариату представить эти </w:t>
      </w:r>
      <w:r w:rsidRPr="00287ED5">
        <w:t>типовы</w:t>
      </w:r>
      <w:r>
        <w:t>е</w:t>
      </w:r>
      <w:r w:rsidRPr="00287ED5">
        <w:t xml:space="preserve"> форм</w:t>
      </w:r>
      <w:r>
        <w:t xml:space="preserve">ы в качестве официальных документов для рассмотрения Рабочей группой на ее двенадцатом совещании и ознакомить с ними Европейскую комиссию и Швецию, председательствующую в Совете Европейского союза в первой половине 2023 года. </w:t>
      </w:r>
    </w:p>
    <w:p w14:paraId="3388DB32" w14:textId="77777777" w:rsidR="0062730B" w:rsidRPr="00F54036" w:rsidRDefault="0062730B" w:rsidP="0062730B">
      <w:pPr>
        <w:pStyle w:val="SingleTxtG"/>
        <w:rPr>
          <w:rFonts w:eastAsia="SimSun"/>
        </w:rPr>
      </w:pPr>
      <w:r>
        <w:t>55.</w:t>
      </w:r>
      <w:r>
        <w:tab/>
        <w:t xml:space="preserve">Ввиду ограничений по времени Комитет отложил рассмотрение документа SEA/IC/SCI/1/4 с изложением конкретных вопросов соблюдения Протокола Европейским союзом, выявленных в ходе первого обзора осуществления Протокола, до своей следующей сессии. </w:t>
      </w:r>
    </w:p>
    <w:p w14:paraId="244DD9F8" w14:textId="1B4EB8E6" w:rsidR="0062730B" w:rsidRPr="00F54036" w:rsidRDefault="00837CDA" w:rsidP="0062730B">
      <w:pPr>
        <w:pStyle w:val="HChG"/>
        <w:rPr>
          <w:rFonts w:eastAsia="SimSun"/>
        </w:rPr>
      </w:pPr>
      <w:r>
        <w:rPr>
          <w:bCs/>
        </w:rPr>
        <w:tab/>
      </w:r>
      <w:r w:rsidR="0062730B">
        <w:rPr>
          <w:bCs/>
        </w:rPr>
        <w:t>VII.</w:t>
      </w:r>
      <w:r w:rsidR="0062730B">
        <w:rPr>
          <w:bCs/>
        </w:rPr>
        <w:tab/>
      </w:r>
      <w:r w:rsidR="0062730B">
        <w:tab/>
      </w:r>
      <w:r w:rsidR="0062730B">
        <w:rPr>
          <w:bCs/>
        </w:rPr>
        <w:t>Методы работы и правила процедуры</w:t>
      </w:r>
    </w:p>
    <w:p w14:paraId="59AFB989" w14:textId="36180175" w:rsidR="0062730B" w:rsidRPr="00F54036" w:rsidRDefault="0062730B" w:rsidP="0062730B">
      <w:pPr>
        <w:pStyle w:val="SingleTxtG"/>
        <w:rPr>
          <w:rFonts w:eastAsia="SimSun"/>
        </w:rPr>
      </w:pPr>
      <w:r>
        <w:t>56.</w:t>
      </w:r>
      <w:r>
        <w:tab/>
        <w:t>В продолжение обсуждения, проведенного Комитетом на его пятьдесят четвертой сессии</w:t>
      </w:r>
      <w:r w:rsidRPr="00837CDA">
        <w:rPr>
          <w:rStyle w:val="aa"/>
          <w:rFonts w:eastAsia="SimSun"/>
        </w:rPr>
        <w:footnoteReference w:id="23"/>
      </w:r>
      <w:r>
        <w:t>, и в соответствии с решением VIII/4</w:t>
      </w:r>
      <w:r w:rsidRPr="00837CDA">
        <w:rPr>
          <w:rStyle w:val="aa"/>
          <w:rFonts w:eastAsia="SimSun"/>
        </w:rPr>
        <w:footnoteReference w:id="24"/>
      </w:r>
      <w:r>
        <w:t xml:space="preserve"> Совещаний Сторон Конвенции, решением IV/4</w:t>
      </w:r>
      <w:r w:rsidRPr="00837CDA">
        <w:rPr>
          <w:rStyle w:val="aa"/>
          <w:rFonts w:eastAsia="SimSun"/>
        </w:rPr>
        <w:footnoteReference w:id="25"/>
      </w:r>
      <w:r>
        <w:t xml:space="preserve"> Совещаний Сторон Протокола и планом работы на </w:t>
      </w:r>
      <w:r w:rsidR="00837CDA">
        <w:br/>
      </w:r>
      <w:r>
        <w:t>2021–2023 годы</w:t>
      </w:r>
      <w:r w:rsidRPr="00837CDA">
        <w:rPr>
          <w:rStyle w:val="aa"/>
          <w:rFonts w:eastAsia="SimSun"/>
        </w:rPr>
        <w:footnoteReference w:id="26"/>
      </w:r>
      <w:r>
        <w:t xml:space="preserve"> Комитет продолжил обзор своей структуры, функций и рабочих правил и согласовал предварительное предложение о возможных поправках для рассмотрения Совещанием Сторон Конвенции на его девятой сессии с доработкой на его следующей сессии.</w:t>
      </w:r>
    </w:p>
    <w:p w14:paraId="456DB0AF" w14:textId="51FCBE4B" w:rsidR="0062730B" w:rsidRPr="00F54036" w:rsidRDefault="00837CDA" w:rsidP="0062730B">
      <w:pPr>
        <w:pStyle w:val="HChG"/>
        <w:rPr>
          <w:rFonts w:eastAsia="SimSun"/>
        </w:rPr>
      </w:pPr>
      <w:r>
        <w:rPr>
          <w:bCs/>
        </w:rPr>
        <w:lastRenderedPageBreak/>
        <w:tab/>
      </w:r>
      <w:r w:rsidR="0062730B">
        <w:rPr>
          <w:bCs/>
        </w:rPr>
        <w:t>VIII.</w:t>
      </w:r>
      <w:r w:rsidR="0062730B">
        <w:rPr>
          <w:bCs/>
        </w:rPr>
        <w:tab/>
      </w:r>
      <w:r w:rsidR="0062730B">
        <w:tab/>
      </w:r>
      <w:r w:rsidR="0062730B">
        <w:rPr>
          <w:bCs/>
        </w:rPr>
        <w:t>Прочие вопросы</w:t>
      </w:r>
    </w:p>
    <w:p w14:paraId="1C200357" w14:textId="77777777" w:rsidR="0062730B" w:rsidRPr="00F54036" w:rsidRDefault="0062730B" w:rsidP="0062730B">
      <w:pPr>
        <w:pStyle w:val="SingleTxtG"/>
        <w:rPr>
          <w:rFonts w:eastAsia="SimSun"/>
        </w:rPr>
      </w:pPr>
      <w:r>
        <w:t>57.</w:t>
      </w:r>
      <w:r>
        <w:tab/>
        <w:t>Что касается Украины, Комитет приветствовал заключение 18 ноября 2022 года двустороннего соглашения об осуществлении Конвенции между Украиной и Румынией, в соответствии с предложением в пункте 14 решения IV/2 Совещания Сторон (ECE/MP.EIA/10), внесенным в 2008 году и повторенным впоследствии. Напоминая о своем решении, принятом на пятьдесят второй сессии (Женева (онлайн), 29–31 марта 2022 года)</w:t>
      </w:r>
      <w:r w:rsidRPr="00837CDA">
        <w:rPr>
          <w:rStyle w:val="aa"/>
          <w:rFonts w:eastAsia="SimSun"/>
        </w:rPr>
        <w:footnoteReference w:id="27"/>
      </w:r>
      <w:r>
        <w:t>, учитывая вторжение Российской Федерации на Украину, отложить до последующих сессий рассмотрение всех вопросов соблюдения, касающихся Украины</w:t>
      </w:r>
      <w:r w:rsidRPr="00837CDA">
        <w:rPr>
          <w:rStyle w:val="aa"/>
          <w:rFonts w:eastAsia="SimSun"/>
        </w:rPr>
        <w:footnoteReference w:id="28"/>
      </w:r>
      <w:r>
        <w:t>, Комитет решил вернуться к оценке ситуации на своем следующем совещании. Он просил своего Председателя предложить Украине предоставить Комитету всю новую информацию</w:t>
      </w:r>
      <w:r w:rsidRPr="00D928C0">
        <w:t xml:space="preserve"> </w:t>
      </w:r>
      <w:r>
        <w:t>по вопросам соблюдения в процессе рассмотрения, который в настоящее время приостановлен, которую Украина хотела бы представить для рассмотрения Комитетом на его пятьдесят шестой сессии, если будет достигнут какой-то прогресс.</w:t>
      </w:r>
    </w:p>
    <w:p w14:paraId="132CEB50" w14:textId="4DD1A024" w:rsidR="0062730B" w:rsidRPr="00F54036" w:rsidRDefault="0062730B" w:rsidP="0062730B">
      <w:pPr>
        <w:pStyle w:val="SingleTxtG"/>
        <w:rPr>
          <w:rFonts w:eastAsia="SimSun"/>
        </w:rPr>
      </w:pPr>
      <w:r>
        <w:t>58.</w:t>
      </w:r>
      <w:r>
        <w:tab/>
        <w:t xml:space="preserve">Комитет подтвердил сроки и формат проведения своих пятьдесят шестой и пятьдесят седьмой сессий (соответственно, Женева (очно), 2–5 мая 2023 года, и Женева (очно), 29 августа </w:t>
      </w:r>
      <w:r w:rsidR="00C80D30">
        <w:t>—</w:t>
      </w:r>
      <w:r>
        <w:t xml:space="preserve"> 1 сентября 2023 года).</w:t>
      </w:r>
    </w:p>
    <w:p w14:paraId="3D4C1336" w14:textId="333175D9" w:rsidR="0062730B" w:rsidRPr="00F54036" w:rsidRDefault="00837CDA" w:rsidP="0062730B">
      <w:pPr>
        <w:pStyle w:val="HChG"/>
        <w:rPr>
          <w:rFonts w:eastAsia="SimSun"/>
        </w:rPr>
      </w:pPr>
      <w:r>
        <w:rPr>
          <w:bCs/>
        </w:rPr>
        <w:tab/>
      </w:r>
      <w:r w:rsidR="0062730B">
        <w:rPr>
          <w:bCs/>
        </w:rPr>
        <w:t>IX.</w:t>
      </w:r>
      <w:r w:rsidR="0062730B">
        <w:tab/>
      </w:r>
      <w:r w:rsidR="0062730B">
        <w:tab/>
      </w:r>
      <w:r w:rsidR="0062730B">
        <w:rPr>
          <w:bCs/>
        </w:rPr>
        <w:t>Представление основных принятых решений и закрытие сессии</w:t>
      </w:r>
    </w:p>
    <w:p w14:paraId="2A89CC78" w14:textId="77777777" w:rsidR="0062730B" w:rsidRPr="00F54036" w:rsidRDefault="0062730B" w:rsidP="0062730B">
      <w:pPr>
        <w:pStyle w:val="SingleTxtG"/>
        <w:rPr>
          <w:rFonts w:eastAsia="SimSun"/>
        </w:rPr>
      </w:pPr>
      <w:r>
        <w:t>59.</w:t>
      </w:r>
      <w:r>
        <w:tab/>
        <w:t>Комитет рассмотрел основные принятые решения. Затем Председатель официально закрыл пятьдесят пятую сессию. 8 февраля 2023 года Комитет утвердил проект доклада о работе своей сессии, подготовленный при поддержке секретариата с использованием электронной процедуры принятия решений.</w:t>
      </w:r>
    </w:p>
    <w:p w14:paraId="1F12491C" w14:textId="77777777" w:rsidR="00837CDA" w:rsidRDefault="0062730B" w:rsidP="0062730B">
      <w:pPr>
        <w:spacing w:before="240"/>
        <w:jc w:val="center"/>
        <w:rPr>
          <w:u w:val="single"/>
        </w:rPr>
      </w:pPr>
      <w:r w:rsidRPr="00F54036">
        <w:rPr>
          <w:u w:val="single"/>
        </w:rPr>
        <w:tab/>
      </w:r>
      <w:r w:rsidRPr="00F54036">
        <w:rPr>
          <w:u w:val="single"/>
        </w:rPr>
        <w:tab/>
      </w:r>
      <w:r w:rsidRPr="00F54036">
        <w:rPr>
          <w:u w:val="single"/>
        </w:rPr>
        <w:tab/>
      </w:r>
    </w:p>
    <w:p w14:paraId="6509D362" w14:textId="69272DBB" w:rsidR="00E12C5F" w:rsidRPr="008D53B6" w:rsidRDefault="00E12C5F" w:rsidP="00D9145B"/>
    <w:sectPr w:rsidR="00E12C5F" w:rsidRPr="008D53B6" w:rsidSect="0062730B">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28C4" w14:textId="77777777" w:rsidR="001A45B0" w:rsidRPr="00A312BC" w:rsidRDefault="001A45B0" w:rsidP="00A312BC"/>
  </w:endnote>
  <w:endnote w:type="continuationSeparator" w:id="0">
    <w:p w14:paraId="5C968746" w14:textId="77777777" w:rsidR="001A45B0" w:rsidRPr="00A312BC" w:rsidRDefault="001A45B0"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968F" w14:textId="18618736" w:rsidR="0062730B" w:rsidRPr="0062730B" w:rsidRDefault="0062730B">
    <w:pPr>
      <w:pStyle w:val="a8"/>
    </w:pPr>
    <w:r w:rsidRPr="0062730B">
      <w:rPr>
        <w:b/>
        <w:sz w:val="18"/>
      </w:rPr>
      <w:fldChar w:fldCharType="begin"/>
    </w:r>
    <w:r w:rsidRPr="0062730B">
      <w:rPr>
        <w:b/>
        <w:sz w:val="18"/>
      </w:rPr>
      <w:instrText xml:space="preserve"> PAGE  \* MERGEFORMAT </w:instrText>
    </w:r>
    <w:r w:rsidRPr="0062730B">
      <w:rPr>
        <w:b/>
        <w:sz w:val="18"/>
      </w:rPr>
      <w:fldChar w:fldCharType="separate"/>
    </w:r>
    <w:r w:rsidRPr="0062730B">
      <w:rPr>
        <w:b/>
        <w:noProof/>
        <w:sz w:val="18"/>
      </w:rPr>
      <w:t>2</w:t>
    </w:r>
    <w:r w:rsidRPr="0062730B">
      <w:rPr>
        <w:b/>
        <w:sz w:val="18"/>
      </w:rPr>
      <w:fldChar w:fldCharType="end"/>
    </w:r>
    <w:r>
      <w:rPr>
        <w:b/>
        <w:sz w:val="18"/>
      </w:rPr>
      <w:tab/>
    </w:r>
    <w:r>
      <w:t>GE.23-02725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D7DF" w14:textId="050DDA27" w:rsidR="0062730B" w:rsidRPr="0062730B" w:rsidRDefault="0062730B" w:rsidP="0062730B">
    <w:pPr>
      <w:pStyle w:val="a8"/>
      <w:tabs>
        <w:tab w:val="clear" w:pos="9639"/>
        <w:tab w:val="right" w:pos="9638"/>
      </w:tabs>
      <w:rPr>
        <w:b/>
        <w:sz w:val="18"/>
      </w:rPr>
    </w:pPr>
    <w:r>
      <w:t>GE.23-02725</w:t>
    </w:r>
    <w:r>
      <w:tab/>
    </w:r>
    <w:r w:rsidRPr="0062730B">
      <w:rPr>
        <w:b/>
        <w:sz w:val="18"/>
      </w:rPr>
      <w:fldChar w:fldCharType="begin"/>
    </w:r>
    <w:r w:rsidRPr="0062730B">
      <w:rPr>
        <w:b/>
        <w:sz w:val="18"/>
      </w:rPr>
      <w:instrText xml:space="preserve"> PAGE  \* MERGEFORMAT </w:instrText>
    </w:r>
    <w:r w:rsidRPr="0062730B">
      <w:rPr>
        <w:b/>
        <w:sz w:val="18"/>
      </w:rPr>
      <w:fldChar w:fldCharType="separate"/>
    </w:r>
    <w:r w:rsidRPr="0062730B">
      <w:rPr>
        <w:b/>
        <w:noProof/>
        <w:sz w:val="18"/>
      </w:rPr>
      <w:t>3</w:t>
    </w:r>
    <w:r w:rsidRPr="0062730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8FFC" w14:textId="7701950B" w:rsidR="00042B72" w:rsidRPr="00837CDA" w:rsidRDefault="0062730B" w:rsidP="0062730B">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6B3E0859" wp14:editId="21C4213B">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23-02725  (R)</w:t>
    </w:r>
    <w:r>
      <w:rPr>
        <w:noProof/>
      </w:rPr>
      <w:drawing>
        <wp:anchor distT="0" distB="0" distL="114300" distR="114300" simplePos="0" relativeHeight="251659264" behindDoc="0" locked="0" layoutInCell="1" allowOverlap="1" wp14:anchorId="161C421A" wp14:editId="6A64A298">
          <wp:simplePos x="0" y="0"/>
          <wp:positionH relativeFrom="margin">
            <wp:posOffset>5489575</wp:posOffset>
          </wp:positionH>
          <wp:positionV relativeFrom="margin">
            <wp:posOffset>8855710</wp:posOffset>
          </wp:positionV>
          <wp:extent cx="561975" cy="5619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37CDA">
      <w:rPr>
        <w:lang w:val="en-US"/>
      </w:rPr>
      <w:t xml:space="preserve">   220523   220523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A650" w14:textId="77777777" w:rsidR="001A45B0" w:rsidRPr="001075E9" w:rsidRDefault="001A45B0" w:rsidP="001075E9">
      <w:pPr>
        <w:tabs>
          <w:tab w:val="right" w:pos="2155"/>
        </w:tabs>
        <w:spacing w:after="80" w:line="240" w:lineRule="auto"/>
        <w:ind w:left="680"/>
        <w:rPr>
          <w:u w:val="single"/>
        </w:rPr>
      </w:pPr>
      <w:r>
        <w:rPr>
          <w:u w:val="single"/>
        </w:rPr>
        <w:tab/>
      </w:r>
    </w:p>
  </w:footnote>
  <w:footnote w:type="continuationSeparator" w:id="0">
    <w:p w14:paraId="16F37A78" w14:textId="77777777" w:rsidR="001A45B0" w:rsidRDefault="001A45B0" w:rsidP="00407B78">
      <w:pPr>
        <w:tabs>
          <w:tab w:val="right" w:pos="2155"/>
        </w:tabs>
        <w:spacing w:after="80"/>
        <w:ind w:left="680"/>
        <w:rPr>
          <w:u w:val="single"/>
        </w:rPr>
      </w:pPr>
      <w:r>
        <w:rPr>
          <w:u w:val="single"/>
        </w:rPr>
        <w:tab/>
      </w:r>
    </w:p>
  </w:footnote>
  <w:footnote w:id="1">
    <w:p w14:paraId="5D26B33B" w14:textId="667BB49A" w:rsidR="0062730B" w:rsidRPr="00F54036" w:rsidRDefault="0062730B" w:rsidP="00837CDA">
      <w:pPr>
        <w:pStyle w:val="ad"/>
      </w:pPr>
      <w:r>
        <w:tab/>
      </w:r>
      <w:r w:rsidRPr="00837CDA">
        <w:rPr>
          <w:rStyle w:val="aa"/>
        </w:rPr>
        <w:footnoteRef/>
      </w:r>
      <w:r>
        <w:tab/>
        <w:t xml:space="preserve">ECE/MP.EIA/WG.2/2022/2 (предварительная копия), см. </w:t>
      </w:r>
      <w:hyperlink r:id="rId1" w:history="1">
        <w:r w:rsidR="00837CDA" w:rsidRPr="004A2620">
          <w:rPr>
            <w:rStyle w:val="af1"/>
          </w:rPr>
          <w:t>https://unece.org/sites/default/files/2023-01/ece_mp.eia_wg.2_2022_2_adv_copy.pdf</w:t>
        </w:r>
      </w:hyperlink>
      <w:r>
        <w:t xml:space="preserve">. </w:t>
      </w:r>
    </w:p>
  </w:footnote>
  <w:footnote w:id="2">
    <w:p w14:paraId="30B6BD72" w14:textId="343B30D3" w:rsidR="0062730B" w:rsidRPr="00837CDA" w:rsidRDefault="0062730B" w:rsidP="00837CDA">
      <w:pPr>
        <w:pStyle w:val="ad"/>
      </w:pPr>
      <w:r w:rsidRPr="00DF44D2">
        <w:tab/>
      </w:r>
      <w:r w:rsidRPr="00837CDA">
        <w:rPr>
          <w:rStyle w:val="aa"/>
        </w:rPr>
        <w:footnoteRef/>
      </w:r>
      <w:r>
        <w:tab/>
        <w:t xml:space="preserve">См. </w:t>
      </w:r>
      <w:hyperlink r:id="rId2" w:history="1">
        <w:r w:rsidR="00837CDA" w:rsidRPr="004A2620">
          <w:rPr>
            <w:rStyle w:val="af1"/>
          </w:rPr>
          <w:t>https://unece.org/sites/default/files/2021-02/Implementation%20Committee%</w:t>
        </w:r>
        <w:r w:rsidR="00837CDA" w:rsidRPr="004A2620">
          <w:rPr>
            <w:rStyle w:val="af1"/>
          </w:rPr>
          <w:br/>
          <w:t>20structure%20functions%20procedures%20rules.e%202020.pdf</w:t>
        </w:r>
      </w:hyperlink>
      <w:r w:rsidR="00837CDA">
        <w:t>.</w:t>
      </w:r>
      <w:r w:rsidR="00837CDA" w:rsidRPr="00837CDA">
        <w:t xml:space="preserve"> </w:t>
      </w:r>
    </w:p>
  </w:footnote>
  <w:footnote w:id="3">
    <w:p w14:paraId="6D8E7E2D" w14:textId="77777777" w:rsidR="0062730B" w:rsidRPr="00B97A7F" w:rsidRDefault="0062730B" w:rsidP="00837CDA">
      <w:pPr>
        <w:pStyle w:val="ad"/>
        <w:rPr>
          <w:lang w:val="es-ES"/>
        </w:rPr>
      </w:pPr>
      <w:r>
        <w:tab/>
      </w:r>
      <w:r w:rsidRPr="00837CDA">
        <w:rPr>
          <w:rStyle w:val="aa"/>
        </w:rPr>
        <w:footnoteRef/>
      </w:r>
      <w:r w:rsidRPr="00B97A7F">
        <w:rPr>
          <w:lang w:val="es-ES"/>
        </w:rPr>
        <w:tab/>
        <w:t xml:space="preserve">ECE/MP.EIA/10, </w:t>
      </w:r>
      <w:r>
        <w:t>п</w:t>
      </w:r>
      <w:r w:rsidRPr="00B97A7F">
        <w:rPr>
          <w:lang w:val="es-ES"/>
        </w:rPr>
        <w:t>. 64.</w:t>
      </w:r>
    </w:p>
  </w:footnote>
  <w:footnote w:id="4">
    <w:p w14:paraId="0E8B744B" w14:textId="77777777" w:rsidR="0062730B" w:rsidRPr="00B97A7F" w:rsidRDefault="0062730B" w:rsidP="00837CDA">
      <w:pPr>
        <w:pStyle w:val="ad"/>
        <w:rPr>
          <w:lang w:val="es-ES"/>
        </w:rPr>
      </w:pPr>
      <w:r w:rsidRPr="00B97A7F">
        <w:rPr>
          <w:lang w:val="es-ES"/>
        </w:rPr>
        <w:tab/>
      </w:r>
      <w:r w:rsidRPr="00837CDA">
        <w:rPr>
          <w:rStyle w:val="aa"/>
        </w:rPr>
        <w:footnoteRef/>
      </w:r>
      <w:r w:rsidRPr="00B97A7F">
        <w:rPr>
          <w:lang w:val="es-ES"/>
        </w:rPr>
        <w:tab/>
        <w:t>ECE/MP.EIA/15.</w:t>
      </w:r>
    </w:p>
  </w:footnote>
  <w:footnote w:id="5">
    <w:p w14:paraId="16F9231C" w14:textId="77777777" w:rsidR="0062730B" w:rsidRPr="00B97A7F" w:rsidRDefault="0062730B" w:rsidP="00837CDA">
      <w:pPr>
        <w:pStyle w:val="ad"/>
        <w:rPr>
          <w:lang w:val="es-ES"/>
        </w:rPr>
      </w:pPr>
      <w:r w:rsidRPr="00B97A7F">
        <w:rPr>
          <w:lang w:val="es-ES"/>
        </w:rPr>
        <w:tab/>
      </w:r>
      <w:r w:rsidRPr="00837CDA">
        <w:rPr>
          <w:rStyle w:val="aa"/>
        </w:rPr>
        <w:footnoteRef/>
      </w:r>
      <w:r w:rsidRPr="00B97A7F">
        <w:rPr>
          <w:lang w:val="es-ES"/>
        </w:rPr>
        <w:tab/>
        <w:t>ECE/MP.EIA/20.Add.1–ECE/MP.EIA/SEA/4.Add.1.</w:t>
      </w:r>
    </w:p>
  </w:footnote>
  <w:footnote w:id="6">
    <w:p w14:paraId="6EC4B60C" w14:textId="77777777" w:rsidR="0062730B" w:rsidRPr="00B97A7F" w:rsidRDefault="0062730B" w:rsidP="00837CDA">
      <w:pPr>
        <w:pStyle w:val="ad"/>
        <w:rPr>
          <w:lang w:val="es-ES"/>
        </w:rPr>
      </w:pPr>
      <w:r w:rsidRPr="00B97A7F">
        <w:rPr>
          <w:lang w:val="es-ES"/>
        </w:rPr>
        <w:tab/>
      </w:r>
      <w:r w:rsidRPr="00837CDA">
        <w:rPr>
          <w:rStyle w:val="aa"/>
        </w:rPr>
        <w:footnoteRef/>
      </w:r>
      <w:r w:rsidRPr="00B97A7F">
        <w:rPr>
          <w:lang w:val="es-ES"/>
        </w:rPr>
        <w:tab/>
        <w:t>ECE/MP.EIA/27/Add.1–ECE/MP.EIA/SEA/11/Add.1.</w:t>
      </w:r>
    </w:p>
  </w:footnote>
  <w:footnote w:id="7">
    <w:p w14:paraId="0B88D223" w14:textId="77777777" w:rsidR="0062730B" w:rsidRPr="00837CDA" w:rsidRDefault="0062730B" w:rsidP="00837CDA">
      <w:pPr>
        <w:pStyle w:val="ad"/>
        <w:rPr>
          <w:lang w:val="en-US"/>
        </w:rPr>
      </w:pPr>
      <w:r w:rsidRPr="00B97A7F">
        <w:rPr>
          <w:lang w:val="es-ES"/>
        </w:rPr>
        <w:tab/>
      </w:r>
      <w:r w:rsidRPr="00837CDA">
        <w:rPr>
          <w:rStyle w:val="aa"/>
        </w:rPr>
        <w:footnoteRef/>
      </w:r>
      <w:r w:rsidRPr="00694C17">
        <w:rPr>
          <w:lang w:val="en-US"/>
        </w:rPr>
        <w:tab/>
        <w:t xml:space="preserve">ECE/MP.EIA/IC/2022/7, </w:t>
      </w:r>
      <w:r>
        <w:t>пп</w:t>
      </w:r>
      <w:r w:rsidRPr="00694C17">
        <w:rPr>
          <w:lang w:val="en-US"/>
        </w:rPr>
        <w:t>. 12–17.</w:t>
      </w:r>
    </w:p>
  </w:footnote>
  <w:footnote w:id="8">
    <w:p w14:paraId="1AF25239" w14:textId="4D80FE6D" w:rsidR="0062730B" w:rsidRPr="00694C17" w:rsidRDefault="0062730B" w:rsidP="00837CDA">
      <w:pPr>
        <w:pStyle w:val="ad"/>
      </w:pPr>
      <w:r w:rsidRPr="00694C17">
        <w:rPr>
          <w:lang w:val="en-US"/>
        </w:rPr>
        <w:tab/>
      </w:r>
      <w:r w:rsidRPr="00837CDA">
        <w:rPr>
          <w:rStyle w:val="aa"/>
        </w:rPr>
        <w:footnoteRef/>
      </w:r>
      <w:r>
        <w:tab/>
        <w:t xml:space="preserve">См. </w:t>
      </w:r>
      <w:hyperlink r:id="rId3" w:history="1">
        <w:r w:rsidR="00837CDA" w:rsidRPr="004A2620">
          <w:rPr>
            <w:rStyle w:val="af1"/>
          </w:rPr>
          <w:t>https://unece.org/submissions-overview</w:t>
        </w:r>
      </w:hyperlink>
      <w:r>
        <w:t>.</w:t>
      </w:r>
    </w:p>
  </w:footnote>
  <w:footnote w:id="9">
    <w:p w14:paraId="5D490F73" w14:textId="3DC1070F" w:rsidR="0062730B" w:rsidRPr="00694C17" w:rsidRDefault="0062730B" w:rsidP="00837CDA">
      <w:pPr>
        <w:pStyle w:val="ad"/>
      </w:pPr>
      <w:r w:rsidRPr="00DB199D">
        <w:tab/>
      </w:r>
      <w:r w:rsidRPr="00837CDA">
        <w:rPr>
          <w:rStyle w:val="aa"/>
        </w:rPr>
        <w:footnoteRef/>
      </w:r>
      <w:r>
        <w:tab/>
        <w:t xml:space="preserve">См. </w:t>
      </w:r>
      <w:hyperlink r:id="rId4" w:history="1">
        <w:r w:rsidR="00837CDA" w:rsidRPr="004A2620">
          <w:rPr>
            <w:rStyle w:val="af1"/>
          </w:rPr>
          <w:t>https://unece.org/environment-policy/environmental-assessment/eiaics8seaics1</w:t>
        </w:r>
      </w:hyperlink>
      <w:r>
        <w:t>.</w:t>
      </w:r>
    </w:p>
  </w:footnote>
  <w:footnote w:id="10">
    <w:p w14:paraId="56E29833" w14:textId="77777777" w:rsidR="0062730B" w:rsidRPr="00837CDA" w:rsidRDefault="0062730B" w:rsidP="00837CDA">
      <w:pPr>
        <w:pStyle w:val="ad"/>
        <w:rPr>
          <w:lang w:val="en-US"/>
        </w:rPr>
      </w:pPr>
      <w:r>
        <w:tab/>
      </w:r>
      <w:r w:rsidRPr="00837CDA">
        <w:rPr>
          <w:rStyle w:val="aa"/>
        </w:rPr>
        <w:footnoteRef/>
      </w:r>
      <w:r w:rsidRPr="00837CDA">
        <w:rPr>
          <w:lang w:val="en-US"/>
        </w:rPr>
        <w:tab/>
      </w:r>
      <w:r w:rsidRPr="00694C17">
        <w:rPr>
          <w:lang w:val="en-US"/>
        </w:rPr>
        <w:t>ECE</w:t>
      </w:r>
      <w:r w:rsidRPr="00837CDA">
        <w:rPr>
          <w:lang w:val="en-US"/>
        </w:rPr>
        <w:t>/</w:t>
      </w:r>
      <w:r w:rsidRPr="00694C17">
        <w:rPr>
          <w:lang w:val="en-US"/>
        </w:rPr>
        <w:t>MP</w:t>
      </w:r>
      <w:r w:rsidRPr="00837CDA">
        <w:rPr>
          <w:lang w:val="en-US"/>
        </w:rPr>
        <w:t>.</w:t>
      </w:r>
      <w:r w:rsidRPr="00694C17">
        <w:rPr>
          <w:lang w:val="en-US"/>
        </w:rPr>
        <w:t>EIA</w:t>
      </w:r>
      <w:r w:rsidRPr="00837CDA">
        <w:rPr>
          <w:lang w:val="en-US"/>
        </w:rPr>
        <w:t>/</w:t>
      </w:r>
      <w:r w:rsidRPr="00694C17">
        <w:rPr>
          <w:lang w:val="en-US"/>
        </w:rPr>
        <w:t>IC</w:t>
      </w:r>
      <w:r w:rsidRPr="00837CDA">
        <w:rPr>
          <w:lang w:val="en-US"/>
        </w:rPr>
        <w:t xml:space="preserve">/2022/7, </w:t>
      </w:r>
      <w:r>
        <w:t>п</w:t>
      </w:r>
      <w:r w:rsidRPr="00837CDA">
        <w:rPr>
          <w:lang w:val="en-US"/>
        </w:rPr>
        <w:t xml:space="preserve">. 28, </w:t>
      </w:r>
      <w:r>
        <w:t>и</w:t>
      </w:r>
      <w:r w:rsidRPr="00837CDA">
        <w:rPr>
          <w:lang w:val="en-US"/>
        </w:rPr>
        <w:t xml:space="preserve"> </w:t>
      </w:r>
      <w:r w:rsidRPr="00694C17">
        <w:rPr>
          <w:lang w:val="en-US"/>
        </w:rPr>
        <w:t>ECE</w:t>
      </w:r>
      <w:r w:rsidRPr="00837CDA">
        <w:rPr>
          <w:lang w:val="en-US"/>
        </w:rPr>
        <w:t>/</w:t>
      </w:r>
      <w:r w:rsidRPr="00694C17">
        <w:rPr>
          <w:lang w:val="en-US"/>
        </w:rPr>
        <w:t>MP</w:t>
      </w:r>
      <w:r w:rsidRPr="00837CDA">
        <w:rPr>
          <w:lang w:val="en-US"/>
        </w:rPr>
        <w:t>.</w:t>
      </w:r>
      <w:r w:rsidRPr="00694C17">
        <w:rPr>
          <w:lang w:val="en-US"/>
        </w:rPr>
        <w:t>EIA</w:t>
      </w:r>
      <w:r w:rsidRPr="00837CDA">
        <w:rPr>
          <w:lang w:val="en-US"/>
        </w:rPr>
        <w:t>/</w:t>
      </w:r>
      <w:r w:rsidRPr="00694C17">
        <w:rPr>
          <w:lang w:val="en-US"/>
        </w:rPr>
        <w:t>IC</w:t>
      </w:r>
      <w:r w:rsidRPr="00837CDA">
        <w:rPr>
          <w:lang w:val="en-US"/>
        </w:rPr>
        <w:t>/2022/8.</w:t>
      </w:r>
    </w:p>
  </w:footnote>
  <w:footnote w:id="11">
    <w:p w14:paraId="4DF5CC2C" w14:textId="391907B0" w:rsidR="0062730B" w:rsidRPr="00694C17" w:rsidRDefault="0062730B" w:rsidP="00837CDA">
      <w:pPr>
        <w:pStyle w:val="ad"/>
      </w:pPr>
      <w:r w:rsidRPr="00837CDA">
        <w:rPr>
          <w:lang w:val="en-US"/>
        </w:rPr>
        <w:tab/>
      </w:r>
      <w:r w:rsidRPr="00837CDA">
        <w:rPr>
          <w:rStyle w:val="aa"/>
        </w:rPr>
        <w:footnoteRef/>
      </w:r>
      <w:r>
        <w:tab/>
        <w:t xml:space="preserve">См. </w:t>
      </w:r>
      <w:hyperlink r:id="rId5" w:history="1">
        <w:r w:rsidR="00837CDA" w:rsidRPr="004A2620">
          <w:rPr>
            <w:rStyle w:val="af1"/>
          </w:rPr>
          <w:t>https://unece.org/environment-policy/environmental-assessment/committee-initiative-overview</w:t>
        </w:r>
      </w:hyperlink>
      <w:r>
        <w:t>.</w:t>
      </w:r>
    </w:p>
  </w:footnote>
  <w:footnote w:id="12">
    <w:p w14:paraId="69A6802F" w14:textId="77777777" w:rsidR="0062730B" w:rsidRPr="00837CDA" w:rsidRDefault="0062730B" w:rsidP="00837CDA">
      <w:pPr>
        <w:pStyle w:val="ad"/>
        <w:rPr>
          <w:lang w:val="en-US"/>
        </w:rPr>
      </w:pPr>
      <w:r>
        <w:tab/>
      </w:r>
      <w:r w:rsidRPr="00837CDA">
        <w:rPr>
          <w:rStyle w:val="aa"/>
        </w:rPr>
        <w:footnoteRef/>
      </w:r>
      <w:r w:rsidRPr="00694C17">
        <w:rPr>
          <w:lang w:val="en-US"/>
        </w:rPr>
        <w:tab/>
        <w:t>ECE/MP.EIA/IC/2022/5.</w:t>
      </w:r>
    </w:p>
  </w:footnote>
  <w:footnote w:id="13">
    <w:p w14:paraId="339080DD" w14:textId="119CB95E" w:rsidR="0062730B" w:rsidRPr="00C80D30" w:rsidRDefault="0062730B" w:rsidP="00837CDA">
      <w:pPr>
        <w:pStyle w:val="ad"/>
      </w:pPr>
      <w:r w:rsidRPr="00694C17">
        <w:rPr>
          <w:lang w:val="en-US"/>
        </w:rPr>
        <w:tab/>
      </w:r>
      <w:r w:rsidRPr="00837CDA">
        <w:rPr>
          <w:rStyle w:val="aa"/>
        </w:rPr>
        <w:footnoteRef/>
      </w:r>
      <w:r w:rsidRPr="00694C17">
        <w:rPr>
          <w:lang w:val="en-US"/>
        </w:rPr>
        <w:tab/>
      </w:r>
      <w:r>
        <w:t>См</w:t>
      </w:r>
      <w:r w:rsidRPr="00694C17">
        <w:rPr>
          <w:lang w:val="en-US"/>
        </w:rPr>
        <w:t xml:space="preserve">. </w:t>
      </w:r>
      <w:r w:rsidR="001A3200">
        <w:fldChar w:fldCharType="begin"/>
      </w:r>
      <w:r w:rsidR="001A3200" w:rsidRPr="00C80D30">
        <w:rPr>
          <w:lang w:val="en-US"/>
        </w:rPr>
        <w:instrText xml:space="preserve"> HYPERLINK "https://une</w:instrText>
      </w:r>
      <w:r w:rsidR="001A3200" w:rsidRPr="00C80D30">
        <w:rPr>
          <w:lang w:val="en-US"/>
        </w:rPr>
        <w:instrText xml:space="preserve">ce.org/information-other-sources-0" </w:instrText>
      </w:r>
      <w:r w:rsidR="001A3200">
        <w:fldChar w:fldCharType="separate"/>
      </w:r>
      <w:r w:rsidR="00837CDA" w:rsidRPr="004A2620">
        <w:rPr>
          <w:rStyle w:val="af1"/>
          <w:lang w:val="en-US"/>
        </w:rPr>
        <w:t>https</w:t>
      </w:r>
      <w:r w:rsidR="00837CDA" w:rsidRPr="00C80D30">
        <w:rPr>
          <w:rStyle w:val="af1"/>
        </w:rPr>
        <w:t>://</w:t>
      </w:r>
      <w:r w:rsidR="00837CDA" w:rsidRPr="004A2620">
        <w:rPr>
          <w:rStyle w:val="af1"/>
          <w:lang w:val="en-US"/>
        </w:rPr>
        <w:t>unece</w:t>
      </w:r>
      <w:r w:rsidR="00837CDA" w:rsidRPr="00C80D30">
        <w:rPr>
          <w:rStyle w:val="af1"/>
        </w:rPr>
        <w:t>.</w:t>
      </w:r>
      <w:r w:rsidR="00837CDA" w:rsidRPr="004A2620">
        <w:rPr>
          <w:rStyle w:val="af1"/>
          <w:lang w:val="en-US"/>
        </w:rPr>
        <w:t>org</w:t>
      </w:r>
      <w:r w:rsidR="00837CDA" w:rsidRPr="00C80D30">
        <w:rPr>
          <w:rStyle w:val="af1"/>
        </w:rPr>
        <w:t>/</w:t>
      </w:r>
      <w:r w:rsidR="00837CDA" w:rsidRPr="004A2620">
        <w:rPr>
          <w:rStyle w:val="af1"/>
          <w:lang w:val="en-US"/>
        </w:rPr>
        <w:t>information</w:t>
      </w:r>
      <w:r w:rsidR="00837CDA" w:rsidRPr="00C80D30">
        <w:rPr>
          <w:rStyle w:val="af1"/>
        </w:rPr>
        <w:t>-</w:t>
      </w:r>
      <w:r w:rsidR="00837CDA" w:rsidRPr="004A2620">
        <w:rPr>
          <w:rStyle w:val="af1"/>
          <w:lang w:val="en-US"/>
        </w:rPr>
        <w:t>other</w:t>
      </w:r>
      <w:r w:rsidR="00837CDA" w:rsidRPr="00C80D30">
        <w:rPr>
          <w:rStyle w:val="af1"/>
        </w:rPr>
        <w:t>-</w:t>
      </w:r>
      <w:r w:rsidR="00837CDA" w:rsidRPr="004A2620">
        <w:rPr>
          <w:rStyle w:val="af1"/>
          <w:lang w:val="en-US"/>
        </w:rPr>
        <w:t>sources</w:t>
      </w:r>
      <w:r w:rsidR="00837CDA" w:rsidRPr="00C80D30">
        <w:rPr>
          <w:rStyle w:val="af1"/>
        </w:rPr>
        <w:t>-0</w:t>
      </w:r>
      <w:r w:rsidR="001A3200">
        <w:rPr>
          <w:rStyle w:val="af1"/>
          <w:lang w:val="en-US"/>
        </w:rPr>
        <w:fldChar w:fldCharType="end"/>
      </w:r>
      <w:r w:rsidRPr="00C80D30">
        <w:t>.</w:t>
      </w:r>
    </w:p>
  </w:footnote>
  <w:footnote w:id="14">
    <w:p w14:paraId="49AC6671" w14:textId="77777777" w:rsidR="0062730B" w:rsidRPr="00C80D30" w:rsidRDefault="0062730B" w:rsidP="00837CDA">
      <w:pPr>
        <w:pStyle w:val="ad"/>
      </w:pPr>
      <w:r w:rsidRPr="00C80D30">
        <w:tab/>
      </w:r>
      <w:r w:rsidRPr="00837CDA">
        <w:rPr>
          <w:rStyle w:val="aa"/>
        </w:rPr>
        <w:footnoteRef/>
      </w:r>
      <w:r w:rsidRPr="00C80D30">
        <w:tab/>
      </w:r>
      <w:r w:rsidRPr="00694C17">
        <w:rPr>
          <w:lang w:val="en-US"/>
        </w:rPr>
        <w:t>ECE</w:t>
      </w:r>
      <w:r w:rsidRPr="00C80D30">
        <w:t>/</w:t>
      </w:r>
      <w:r w:rsidRPr="00694C17">
        <w:rPr>
          <w:lang w:val="en-US"/>
        </w:rPr>
        <w:t>MP</w:t>
      </w:r>
      <w:r w:rsidRPr="00C80D30">
        <w:t>.</w:t>
      </w:r>
      <w:r w:rsidRPr="00694C17">
        <w:rPr>
          <w:lang w:val="en-US"/>
        </w:rPr>
        <w:t>EIA</w:t>
      </w:r>
      <w:r w:rsidRPr="00C80D30">
        <w:t>/</w:t>
      </w:r>
      <w:r w:rsidRPr="00694C17">
        <w:rPr>
          <w:lang w:val="en-US"/>
        </w:rPr>
        <w:t>IC</w:t>
      </w:r>
      <w:r w:rsidRPr="00C80D30">
        <w:t xml:space="preserve">/2022/7, </w:t>
      </w:r>
      <w:r>
        <w:t>пп</w:t>
      </w:r>
      <w:r w:rsidRPr="00C80D30">
        <w:t>. 41–43.</w:t>
      </w:r>
    </w:p>
  </w:footnote>
  <w:footnote w:id="15">
    <w:p w14:paraId="75E2D3D1" w14:textId="77777777" w:rsidR="0062730B" w:rsidRPr="00694C17" w:rsidRDefault="0062730B" w:rsidP="00837CDA">
      <w:pPr>
        <w:pStyle w:val="ad"/>
      </w:pPr>
      <w:r w:rsidRPr="00C80D30">
        <w:tab/>
      </w:r>
      <w:r w:rsidRPr="00837CDA">
        <w:rPr>
          <w:rStyle w:val="aa"/>
        </w:rPr>
        <w:footnoteRef/>
      </w:r>
      <w:r>
        <w:tab/>
        <w:t>Публикация Организации Объединенных Наций, ECE/MP.EIA/31.</w:t>
      </w:r>
    </w:p>
  </w:footnote>
  <w:footnote w:id="16">
    <w:p w14:paraId="19E4DFCE" w14:textId="77777777" w:rsidR="0062730B" w:rsidRPr="00694C17" w:rsidRDefault="0062730B" w:rsidP="00837CDA">
      <w:pPr>
        <w:pStyle w:val="ad"/>
      </w:pPr>
      <w:r>
        <w:tab/>
      </w:r>
      <w:r w:rsidRPr="00837CDA">
        <w:rPr>
          <w:rStyle w:val="aa"/>
        </w:rPr>
        <w:footnoteRef/>
      </w:r>
      <w:r>
        <w:tab/>
        <w:t>См. также количество энергоблоков в документах ECE/MP.EIA/2020/4−ECE/MP.EIA/SEA/2020/4, таблица 4.</w:t>
      </w:r>
    </w:p>
  </w:footnote>
  <w:footnote w:id="17">
    <w:p w14:paraId="7C6AA472" w14:textId="77777777" w:rsidR="0062730B" w:rsidRPr="00C106AD" w:rsidRDefault="0062730B" w:rsidP="00837CDA">
      <w:pPr>
        <w:pStyle w:val="ad"/>
        <w:rPr>
          <w:lang w:val="en-US"/>
        </w:rPr>
      </w:pPr>
      <w:r w:rsidRPr="002B2995">
        <w:tab/>
      </w:r>
      <w:r w:rsidRPr="00837CDA">
        <w:rPr>
          <w:rStyle w:val="aa"/>
        </w:rPr>
        <w:footnoteRef/>
      </w:r>
      <w:r w:rsidRPr="00C106AD">
        <w:rPr>
          <w:lang w:val="en-US"/>
        </w:rPr>
        <w:tab/>
      </w:r>
      <w:r w:rsidRPr="00694C17">
        <w:rPr>
          <w:lang w:val="en-US"/>
        </w:rPr>
        <w:t>ECE</w:t>
      </w:r>
      <w:r w:rsidRPr="00C106AD">
        <w:rPr>
          <w:lang w:val="en-US"/>
        </w:rPr>
        <w:t>/</w:t>
      </w:r>
      <w:r w:rsidRPr="00694C17">
        <w:rPr>
          <w:lang w:val="en-US"/>
        </w:rPr>
        <w:t>MP</w:t>
      </w:r>
      <w:r w:rsidRPr="00C106AD">
        <w:rPr>
          <w:lang w:val="en-US"/>
        </w:rPr>
        <w:t>.</w:t>
      </w:r>
      <w:r w:rsidRPr="00694C17">
        <w:rPr>
          <w:lang w:val="en-US"/>
        </w:rPr>
        <w:t>EIA</w:t>
      </w:r>
      <w:r w:rsidRPr="00C106AD">
        <w:rPr>
          <w:lang w:val="en-US"/>
        </w:rPr>
        <w:t>/</w:t>
      </w:r>
      <w:r w:rsidRPr="00694C17">
        <w:rPr>
          <w:lang w:val="en-US"/>
        </w:rPr>
        <w:t>IC</w:t>
      </w:r>
      <w:r w:rsidRPr="00C106AD">
        <w:rPr>
          <w:lang w:val="en-US"/>
        </w:rPr>
        <w:t xml:space="preserve">/2022/4, </w:t>
      </w:r>
      <w:r>
        <w:t>пп</w:t>
      </w:r>
      <w:r w:rsidRPr="00C106AD">
        <w:rPr>
          <w:lang w:val="en-US"/>
        </w:rPr>
        <w:t>. 27−30.</w:t>
      </w:r>
    </w:p>
  </w:footnote>
  <w:footnote w:id="18">
    <w:p w14:paraId="2233959D" w14:textId="77777777" w:rsidR="0062730B" w:rsidRPr="00694C17" w:rsidRDefault="0062730B" w:rsidP="00837CDA">
      <w:pPr>
        <w:pStyle w:val="ad"/>
      </w:pPr>
      <w:r w:rsidRPr="00C106AD">
        <w:rPr>
          <w:lang w:val="en-US"/>
        </w:rPr>
        <w:tab/>
      </w:r>
      <w:r w:rsidRPr="00837CDA">
        <w:rPr>
          <w:rStyle w:val="aa"/>
        </w:rPr>
        <w:footnoteRef/>
      </w:r>
      <w:r>
        <w:tab/>
        <w:t xml:space="preserve">Там же, п. 29 b). </w:t>
      </w:r>
    </w:p>
  </w:footnote>
  <w:footnote w:id="19">
    <w:p w14:paraId="2FFF669A" w14:textId="77777777" w:rsidR="0062730B" w:rsidRPr="00694C17" w:rsidRDefault="0062730B" w:rsidP="00837CDA">
      <w:pPr>
        <w:pStyle w:val="ad"/>
      </w:pPr>
      <w:r>
        <w:tab/>
      </w:r>
      <w:r w:rsidRPr="00837CDA">
        <w:rPr>
          <w:rStyle w:val="aa"/>
        </w:rPr>
        <w:footnoteRef/>
      </w:r>
      <w:r>
        <w:tab/>
        <w:t>Там же, п. 29 c).</w:t>
      </w:r>
    </w:p>
  </w:footnote>
  <w:footnote w:id="20">
    <w:p w14:paraId="740FEF1E" w14:textId="77777777" w:rsidR="0062730B" w:rsidRPr="00837CDA" w:rsidRDefault="0062730B" w:rsidP="00837CDA">
      <w:pPr>
        <w:pStyle w:val="ad"/>
        <w:rPr>
          <w:lang w:val="en-US"/>
        </w:rPr>
      </w:pPr>
      <w:r w:rsidRPr="0028769B">
        <w:tab/>
      </w:r>
      <w:r w:rsidRPr="00837CDA">
        <w:rPr>
          <w:rStyle w:val="aa"/>
        </w:rPr>
        <w:footnoteRef/>
      </w:r>
      <w:r w:rsidRPr="00694C17">
        <w:rPr>
          <w:lang w:val="en-US"/>
        </w:rPr>
        <w:tab/>
        <w:t xml:space="preserve">ECE/MP.EIA/IC/2022/7, </w:t>
      </w:r>
      <w:r>
        <w:t>пп</w:t>
      </w:r>
      <w:r w:rsidRPr="00694C17">
        <w:rPr>
          <w:lang w:val="en-US"/>
        </w:rPr>
        <w:t>. 55–56.</w:t>
      </w:r>
    </w:p>
  </w:footnote>
  <w:footnote w:id="21">
    <w:p w14:paraId="2255558D" w14:textId="77777777" w:rsidR="0062730B" w:rsidRPr="00694C17" w:rsidRDefault="0062730B" w:rsidP="00837CDA">
      <w:pPr>
        <w:pStyle w:val="ad"/>
      </w:pPr>
      <w:r w:rsidRPr="00694C17">
        <w:rPr>
          <w:lang w:val="en-US"/>
        </w:rPr>
        <w:tab/>
      </w:r>
      <w:r w:rsidRPr="00837CDA">
        <w:rPr>
          <w:rStyle w:val="aa"/>
        </w:rPr>
        <w:footnoteRef/>
      </w:r>
      <w:r>
        <w:tab/>
        <w:t>Там же, п. 57.</w:t>
      </w:r>
    </w:p>
  </w:footnote>
  <w:footnote w:id="22">
    <w:p w14:paraId="3EBFBB3E" w14:textId="2924AD15" w:rsidR="0062730B" w:rsidRPr="00694C17" w:rsidRDefault="0062730B" w:rsidP="00837CDA">
      <w:pPr>
        <w:pStyle w:val="ad"/>
      </w:pPr>
      <w:r>
        <w:tab/>
      </w:r>
      <w:r w:rsidRPr="00837CDA">
        <w:rPr>
          <w:rStyle w:val="aa"/>
        </w:rPr>
        <w:footnoteRef/>
      </w:r>
      <w:r>
        <w:tab/>
        <w:t xml:space="preserve">Типовая форма отчетности по Конвенции для Европейского союза в 2019–2021 годах (ECE/MP.EIA/WG.2/2021/INF.5) и типовая форма отчетности по Протоколу для Европейского союза в 2019–2021 годах (ECE/MP.EIA/WG.2/2021/INF.6). См. </w:t>
      </w:r>
      <w:hyperlink r:id="rId6" w:history="1">
        <w:r w:rsidR="00837CDA" w:rsidRPr="004A2620">
          <w:rPr>
            <w:rStyle w:val="af1"/>
          </w:rPr>
          <w:t>https://unece.org/environmental-policy/events/working-group-eia-and-sea-espoo-convention-10th-meeting</w:t>
        </w:r>
      </w:hyperlink>
      <w:r>
        <w:t>.</w:t>
      </w:r>
    </w:p>
  </w:footnote>
  <w:footnote w:id="23">
    <w:p w14:paraId="5C7F1C21" w14:textId="77777777" w:rsidR="0062730B" w:rsidRPr="00837CDA" w:rsidRDefault="0062730B" w:rsidP="00837CDA">
      <w:pPr>
        <w:pStyle w:val="ad"/>
        <w:rPr>
          <w:lang w:val="en-US"/>
        </w:rPr>
      </w:pPr>
      <w:r w:rsidRPr="002B2995">
        <w:tab/>
      </w:r>
      <w:r w:rsidRPr="00837CDA">
        <w:rPr>
          <w:rStyle w:val="aa"/>
        </w:rPr>
        <w:footnoteRef/>
      </w:r>
      <w:r w:rsidRPr="00694C17">
        <w:rPr>
          <w:lang w:val="en-US"/>
        </w:rPr>
        <w:tab/>
        <w:t xml:space="preserve">ECE/MP.EIA/IC/2022/7, </w:t>
      </w:r>
      <w:r>
        <w:t>п</w:t>
      </w:r>
      <w:r w:rsidRPr="00694C17">
        <w:rPr>
          <w:lang w:val="en-US"/>
        </w:rPr>
        <w:t>. 69.</w:t>
      </w:r>
    </w:p>
  </w:footnote>
  <w:footnote w:id="24">
    <w:p w14:paraId="1366F954" w14:textId="77777777" w:rsidR="0062730B" w:rsidRPr="00B97A7F" w:rsidRDefault="0062730B" w:rsidP="00837CDA">
      <w:pPr>
        <w:pStyle w:val="ad"/>
        <w:rPr>
          <w:lang w:val="es-ES"/>
        </w:rPr>
      </w:pPr>
      <w:r w:rsidRPr="00694C17">
        <w:rPr>
          <w:lang w:val="en-US"/>
        </w:rPr>
        <w:tab/>
      </w:r>
      <w:r w:rsidRPr="00837CDA">
        <w:rPr>
          <w:rStyle w:val="aa"/>
        </w:rPr>
        <w:footnoteRef/>
      </w:r>
      <w:r w:rsidRPr="00B97A7F">
        <w:rPr>
          <w:lang w:val="es-ES"/>
        </w:rPr>
        <w:tab/>
        <w:t xml:space="preserve">ECE/MP.EIA/30/Add.2−ECE/MP.EIA/SEA/13/Add.2, </w:t>
      </w:r>
      <w:r>
        <w:t>п</w:t>
      </w:r>
      <w:r w:rsidRPr="00B97A7F">
        <w:rPr>
          <w:lang w:val="es-ES"/>
        </w:rPr>
        <w:t xml:space="preserve">. 18. </w:t>
      </w:r>
    </w:p>
  </w:footnote>
  <w:footnote w:id="25">
    <w:p w14:paraId="7077CF19" w14:textId="77777777" w:rsidR="0062730B" w:rsidRPr="00B97A7F" w:rsidRDefault="0062730B" w:rsidP="00837CDA">
      <w:pPr>
        <w:pStyle w:val="ad"/>
        <w:rPr>
          <w:lang w:val="es-ES"/>
        </w:rPr>
      </w:pPr>
      <w:r w:rsidRPr="00B97A7F">
        <w:rPr>
          <w:lang w:val="es-ES"/>
        </w:rPr>
        <w:tab/>
      </w:r>
      <w:r w:rsidRPr="00837CDA">
        <w:rPr>
          <w:rStyle w:val="aa"/>
        </w:rPr>
        <w:footnoteRef/>
      </w:r>
      <w:r w:rsidRPr="00B97A7F">
        <w:rPr>
          <w:lang w:val="es-ES"/>
        </w:rPr>
        <w:tab/>
        <w:t xml:space="preserve">ECE/MP.EIA/30/Add.3−ECE/MP.EIA/SEA/13/Add.3, </w:t>
      </w:r>
      <w:r>
        <w:t>п</w:t>
      </w:r>
      <w:r w:rsidRPr="00B97A7F">
        <w:rPr>
          <w:lang w:val="es-ES"/>
        </w:rPr>
        <w:t>. 14.</w:t>
      </w:r>
    </w:p>
  </w:footnote>
  <w:footnote w:id="26">
    <w:p w14:paraId="3F50EC24" w14:textId="0D4535E6" w:rsidR="0062730B" w:rsidRPr="00B97A7F" w:rsidRDefault="0062730B" w:rsidP="00837CDA">
      <w:pPr>
        <w:pStyle w:val="ad"/>
        <w:rPr>
          <w:lang w:val="es-ES"/>
        </w:rPr>
      </w:pPr>
      <w:r w:rsidRPr="00B97A7F">
        <w:rPr>
          <w:lang w:val="es-ES"/>
        </w:rPr>
        <w:tab/>
      </w:r>
      <w:r w:rsidRPr="00837CDA">
        <w:rPr>
          <w:rStyle w:val="aa"/>
        </w:rPr>
        <w:footnoteRef/>
      </w:r>
      <w:r w:rsidRPr="00B97A7F">
        <w:rPr>
          <w:lang w:val="es-ES"/>
        </w:rPr>
        <w:tab/>
        <w:t xml:space="preserve">ECE/MP.EIA/30/Add.1–ECE/MP.EIA/SEA/13/Add.1, </w:t>
      </w:r>
      <w:r>
        <w:t>решение</w:t>
      </w:r>
      <w:r w:rsidRPr="00B97A7F">
        <w:rPr>
          <w:lang w:val="es-ES"/>
        </w:rPr>
        <w:t xml:space="preserve"> VIII/2–IV/2, </w:t>
      </w:r>
      <w:r>
        <w:t>приложение</w:t>
      </w:r>
      <w:r w:rsidRPr="00B97A7F">
        <w:rPr>
          <w:lang w:val="es-ES"/>
        </w:rPr>
        <w:t xml:space="preserve"> I, </w:t>
      </w:r>
      <w:r>
        <w:t>п</w:t>
      </w:r>
      <w:r w:rsidR="00837CDA" w:rsidRPr="00837CDA">
        <w:rPr>
          <w:lang w:val="es-ES"/>
        </w:rPr>
        <w:t>. </w:t>
      </w:r>
      <w:r w:rsidRPr="00B97A7F">
        <w:rPr>
          <w:lang w:val="es-ES"/>
        </w:rPr>
        <w:t>II.A.3.</w:t>
      </w:r>
    </w:p>
  </w:footnote>
  <w:footnote w:id="27">
    <w:p w14:paraId="1E7FF6E0" w14:textId="77777777" w:rsidR="0062730B" w:rsidRPr="00837CDA" w:rsidRDefault="0062730B" w:rsidP="00837CDA">
      <w:pPr>
        <w:pStyle w:val="ad"/>
        <w:rPr>
          <w:lang w:val="en-US"/>
        </w:rPr>
      </w:pPr>
      <w:r w:rsidRPr="00B97A7F">
        <w:rPr>
          <w:lang w:val="es-ES"/>
        </w:rPr>
        <w:tab/>
      </w:r>
      <w:r w:rsidRPr="00837CDA">
        <w:rPr>
          <w:rStyle w:val="aa"/>
        </w:rPr>
        <w:footnoteRef/>
      </w:r>
      <w:r w:rsidRPr="00694C17">
        <w:rPr>
          <w:lang w:val="en-US"/>
        </w:rPr>
        <w:tab/>
        <w:t xml:space="preserve">ECE/MP.EIA/IC/2022/2, </w:t>
      </w:r>
      <w:r>
        <w:t>п</w:t>
      </w:r>
      <w:r w:rsidRPr="00694C17">
        <w:rPr>
          <w:lang w:val="en-US"/>
        </w:rPr>
        <w:t>. 3.</w:t>
      </w:r>
    </w:p>
  </w:footnote>
  <w:footnote w:id="28">
    <w:p w14:paraId="2E2EA207" w14:textId="77777777" w:rsidR="0062730B" w:rsidRPr="00694C17" w:rsidRDefault="0062730B" w:rsidP="00837CDA">
      <w:pPr>
        <w:pStyle w:val="ad"/>
      </w:pPr>
      <w:r w:rsidRPr="00694C17">
        <w:rPr>
          <w:lang w:val="en-US"/>
        </w:rPr>
        <w:tab/>
      </w:r>
      <w:r w:rsidRPr="00837CDA">
        <w:rPr>
          <w:rStyle w:val="aa"/>
        </w:rPr>
        <w:footnoteRef/>
      </w:r>
      <w:r>
        <w:tab/>
        <w:t>Последующие меры в связи с решением VIII/4d о соблюдении Украиной ее обязательств по Конвенции в связи с проектом строительства глубоководного судоходного канала «Дунай — Черное море» в украинском секторе дельты реки Дуная (EIA/IC/S/1); последующие меры в связи с решением VIII/4e о соблюдении Украиной ее обязательств по Конвенции в отношении продления срока</w:t>
      </w:r>
      <w:r w:rsidRPr="00951EB6">
        <w:t xml:space="preserve"> эксплуатации</w:t>
      </w:r>
      <w:r>
        <w:t xml:space="preserve"> энергоблоков № 1 и № 2 Ровенской атомной электростанции (EIA/IC/CI/4); инициатива Комитета (EIA/IC/CI/7) относительно соблюдения Украиной своих обязательств по Конвенции в отношении строительства крупного туристического комплекса (горный массив Свидовец, Украина); процедуры сбора информации относительно планируемого строительства энергоблоков № 3 и № 4 на Хмельницкой АЭС (EIA/IC/INFO/10), деятельность на Мужиевском золоторудном месторождении (EIA/IC/INFO/13), продление сроков </w:t>
      </w:r>
      <w:r w:rsidRPr="00951EB6">
        <w:t xml:space="preserve">эксплуатации </w:t>
      </w:r>
      <w:r>
        <w:t>Ровенской (энергоблоки № 3 и № 4), Южно-Украинской, Запорожской и Хмельницкой атомных электростанций на Украине (EIA/IC/INFO/20).</w:t>
      </w:r>
    </w:p>
    <w:p w14:paraId="4E0AB84A" w14:textId="77777777" w:rsidR="0062730B" w:rsidRPr="00694C17" w:rsidRDefault="0062730B" w:rsidP="00837CDA">
      <w:pPr>
        <w:pStyle w:val="ad"/>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138" w14:textId="1EADF891" w:rsidR="0062730B" w:rsidRPr="0062730B" w:rsidRDefault="001A3200">
    <w:pPr>
      <w:pStyle w:val="a5"/>
    </w:pPr>
    <w:r>
      <w:fldChar w:fldCharType="begin"/>
    </w:r>
    <w:r>
      <w:instrText xml:space="preserve"> TITLE  \* MERGEFORMAT </w:instrText>
    </w:r>
    <w:r>
      <w:fldChar w:fldCharType="separate"/>
    </w:r>
    <w:r>
      <w:t>ECE/MP.EIA/IC/2023/2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68B5" w14:textId="234D442F" w:rsidR="0062730B" w:rsidRPr="0062730B" w:rsidRDefault="001A3200" w:rsidP="0062730B">
    <w:pPr>
      <w:pStyle w:val="a5"/>
      <w:jc w:val="right"/>
    </w:pPr>
    <w:r>
      <w:fldChar w:fldCharType="begin"/>
    </w:r>
    <w:r>
      <w:instrText xml:space="preserve"> TITLE  \* MERGEFORMAT </w:instrText>
    </w:r>
    <w:r>
      <w:fldChar w:fldCharType="separate"/>
    </w:r>
    <w:r>
      <w:t>ECE/MP.EIA/IC/2023/2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4678848">
    <w:abstractNumId w:val="16"/>
  </w:num>
  <w:num w:numId="2" w16cid:durableId="1545212689">
    <w:abstractNumId w:val="11"/>
  </w:num>
  <w:num w:numId="3" w16cid:durableId="484784236">
    <w:abstractNumId w:val="10"/>
  </w:num>
  <w:num w:numId="4" w16cid:durableId="167183989">
    <w:abstractNumId w:val="17"/>
  </w:num>
  <w:num w:numId="5" w16cid:durableId="432946246">
    <w:abstractNumId w:val="13"/>
  </w:num>
  <w:num w:numId="6" w16cid:durableId="616374398">
    <w:abstractNumId w:val="8"/>
  </w:num>
  <w:num w:numId="7" w16cid:durableId="537090757">
    <w:abstractNumId w:val="3"/>
  </w:num>
  <w:num w:numId="8" w16cid:durableId="567572475">
    <w:abstractNumId w:val="2"/>
  </w:num>
  <w:num w:numId="9" w16cid:durableId="1914074825">
    <w:abstractNumId w:val="1"/>
  </w:num>
  <w:num w:numId="10" w16cid:durableId="1548570088">
    <w:abstractNumId w:val="0"/>
  </w:num>
  <w:num w:numId="11" w16cid:durableId="1486123776">
    <w:abstractNumId w:val="9"/>
  </w:num>
  <w:num w:numId="12" w16cid:durableId="1461264255">
    <w:abstractNumId w:val="7"/>
  </w:num>
  <w:num w:numId="13" w16cid:durableId="875627055">
    <w:abstractNumId w:val="6"/>
  </w:num>
  <w:num w:numId="14" w16cid:durableId="2047172260">
    <w:abstractNumId w:val="5"/>
  </w:num>
  <w:num w:numId="15" w16cid:durableId="1393700373">
    <w:abstractNumId w:val="4"/>
  </w:num>
  <w:num w:numId="16" w16cid:durableId="1393965396">
    <w:abstractNumId w:val="15"/>
  </w:num>
  <w:num w:numId="17" w16cid:durableId="1263803966">
    <w:abstractNumId w:val="12"/>
  </w:num>
  <w:num w:numId="18" w16cid:durableId="870800340">
    <w:abstractNumId w:val="14"/>
  </w:num>
  <w:num w:numId="19" w16cid:durableId="277371602">
    <w:abstractNumId w:val="15"/>
  </w:num>
  <w:num w:numId="20" w16cid:durableId="1289236202">
    <w:abstractNumId w:val="12"/>
  </w:num>
  <w:num w:numId="21" w16cid:durableId="198688582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B0"/>
    <w:rsid w:val="00033EE1"/>
    <w:rsid w:val="00042B72"/>
    <w:rsid w:val="000558BD"/>
    <w:rsid w:val="000B57E7"/>
    <w:rsid w:val="000B6373"/>
    <w:rsid w:val="000E4E5B"/>
    <w:rsid w:val="000F09DF"/>
    <w:rsid w:val="000F61B2"/>
    <w:rsid w:val="001075E9"/>
    <w:rsid w:val="0014152F"/>
    <w:rsid w:val="00180183"/>
    <w:rsid w:val="0018024D"/>
    <w:rsid w:val="0018649F"/>
    <w:rsid w:val="00196389"/>
    <w:rsid w:val="001A3200"/>
    <w:rsid w:val="001A45B0"/>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2730B"/>
    <w:rsid w:val="006345DB"/>
    <w:rsid w:val="00640F49"/>
    <w:rsid w:val="006549C1"/>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37CDA"/>
    <w:rsid w:val="0086445C"/>
    <w:rsid w:val="00890F75"/>
    <w:rsid w:val="00894693"/>
    <w:rsid w:val="008A08D7"/>
    <w:rsid w:val="008A37C8"/>
    <w:rsid w:val="008B6909"/>
    <w:rsid w:val="008D53B6"/>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BE3918"/>
    <w:rsid w:val="00C106D6"/>
    <w:rsid w:val="00C119AE"/>
    <w:rsid w:val="00C239C7"/>
    <w:rsid w:val="00C60F0C"/>
    <w:rsid w:val="00C71E84"/>
    <w:rsid w:val="00C805C9"/>
    <w:rsid w:val="00C80D30"/>
    <w:rsid w:val="00C92939"/>
    <w:rsid w:val="00CA1679"/>
    <w:rsid w:val="00CB151C"/>
    <w:rsid w:val="00CE5A1A"/>
    <w:rsid w:val="00CF55F6"/>
    <w:rsid w:val="00D33D63"/>
    <w:rsid w:val="00D5253A"/>
    <w:rsid w:val="00D873A8"/>
    <w:rsid w:val="00D90028"/>
    <w:rsid w:val="00D90138"/>
    <w:rsid w:val="00D9145B"/>
    <w:rsid w:val="00DD78D1"/>
    <w:rsid w:val="00DE32CD"/>
    <w:rsid w:val="00DF5767"/>
    <w:rsid w:val="00DF71B9"/>
    <w:rsid w:val="00E12C5F"/>
    <w:rsid w:val="00E73F76"/>
    <w:rsid w:val="00EA2C9F"/>
    <w:rsid w:val="00EA420E"/>
    <w:rsid w:val="00ED0BDA"/>
    <w:rsid w:val="00EE142A"/>
    <w:rsid w:val="00EF1360"/>
    <w:rsid w:val="00EF3220"/>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03899"/>
  <w15:docId w15:val="{333006A4-CBA8-4D44-90BD-ACBFF540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4_GR,Footnote Reference Superscript,BVI fnr,Footnote symbol,Footnote call,SUPERS,(Footnote Reference),Footnote,Voetnootverwijzing,Times 10 Point,Exposant 3 Point,Footnote reference number,note TESI,Footnotes refss"/>
    <w:basedOn w:val="a0"/>
    <w:uiPriority w:val="99"/>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
    <w:basedOn w:val="a0"/>
    <w:link w:val="ad"/>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rsid w:val="0062730B"/>
    <w:rPr>
      <w:lang w:val="ru-RU" w:eastAsia="en-US"/>
    </w:rPr>
  </w:style>
  <w:style w:type="character" w:styleId="af3">
    <w:name w:val="Unresolved Mention"/>
    <w:basedOn w:val="a0"/>
    <w:uiPriority w:val="99"/>
    <w:semiHidden/>
    <w:unhideWhenUsed/>
    <w:rsid w:val="0083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submissions-overview" TargetMode="External"/><Relationship Id="rId2" Type="http://schemas.openxmlformats.org/officeDocument/2006/relationships/hyperlink" Target="https://unece.org/sites/default/files/2021-02/Implementation%20Committee%20structure%20functions%20procedures%20rules.e%202020.pdf" TargetMode="External"/><Relationship Id="rId1" Type="http://schemas.openxmlformats.org/officeDocument/2006/relationships/hyperlink" Target="https://unece.org/sites/default/files/2023-01/ece_mp.eia_wg.2_2022_2_adv_copy.pdf" TargetMode="External"/><Relationship Id="rId6" Type="http://schemas.openxmlformats.org/officeDocument/2006/relationships/hyperlink" Target="https://unece.org/environmental-policy/events/working-group-eia-and-sea-espoo-convention-10th-meeting" TargetMode="External"/><Relationship Id="rId5" Type="http://schemas.openxmlformats.org/officeDocument/2006/relationships/hyperlink" Target="https://unece.org/environment-policy/environmental-assessment/committee-initiative-overview" TargetMode="External"/><Relationship Id="rId4" Type="http://schemas.openxmlformats.org/officeDocument/2006/relationships/hyperlink" Target="https://unece.org/environment-policy/environmental-assessment/eiaics8seaic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ECE.dotm</Template>
  <TotalTime>2</TotalTime>
  <Pages>12</Pages>
  <Words>4286</Words>
  <Characters>27956</Characters>
  <Application>Microsoft Office Word</Application>
  <DocSecurity>0</DocSecurity>
  <Lines>503</Lines>
  <Paragraphs>129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ECE/MP.EIA/IC/2023/2</vt:lpstr>
      <vt:lpstr>A/</vt:lpstr>
      <vt:lpstr>A/</vt:lpstr>
    </vt:vector>
  </TitlesOfParts>
  <Company>DCM</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ECE/MP.EIA/IC/2023/2</dc:title>
  <dc:subject/>
  <dc:creator>Anna BLAGODATSKIKH</dc:creator>
  <cp:keywords/>
  <cp:lastModifiedBy>Anna Blagodatskikh</cp:lastModifiedBy>
  <cp:revision>3</cp:revision>
  <cp:lastPrinted>2023-05-22T09:31:00Z</cp:lastPrinted>
  <dcterms:created xsi:type="dcterms:W3CDTF">2023-05-22T09:31:00Z</dcterms:created>
  <dcterms:modified xsi:type="dcterms:W3CDTF">2023-05-22T09:32:00Z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