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132EA9" w:rsidRPr="00DB58B5" w14:paraId="49E6558B" w14:textId="77777777" w:rsidTr="00F01738">
        <w:trPr>
          <w:trHeight w:hRule="exact" w:val="851"/>
        </w:trPr>
        <w:tc>
          <w:tcPr>
            <w:tcW w:w="1276" w:type="dxa"/>
            <w:tcBorders>
              <w:bottom w:val="single" w:sz="4" w:space="0" w:color="auto"/>
            </w:tcBorders>
          </w:tcPr>
          <w:p w14:paraId="231C5176" w14:textId="77777777" w:rsidR="00132EA9" w:rsidRPr="00DB58B5" w:rsidRDefault="00132EA9" w:rsidP="00B81B67"/>
        </w:tc>
        <w:tc>
          <w:tcPr>
            <w:tcW w:w="2268" w:type="dxa"/>
            <w:tcBorders>
              <w:bottom w:val="single" w:sz="4" w:space="0" w:color="auto"/>
            </w:tcBorders>
            <w:vAlign w:val="bottom"/>
          </w:tcPr>
          <w:p w14:paraId="106DE79F" w14:textId="77777777" w:rsidR="00132EA9" w:rsidRPr="00DB58B5" w:rsidRDefault="00132EA9" w:rsidP="00F01738">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14:paraId="635B8ABD" w14:textId="0C69FFEA" w:rsidR="00132EA9" w:rsidRPr="00DB58B5" w:rsidRDefault="00B81B67" w:rsidP="00B81B67">
            <w:pPr>
              <w:jc w:val="right"/>
            </w:pPr>
            <w:r w:rsidRPr="00B81B67">
              <w:rPr>
                <w:sz w:val="40"/>
              </w:rPr>
              <w:t>ST</w:t>
            </w:r>
            <w:r>
              <w:t>/SG/AC.10/C.4/2023/6</w:t>
            </w:r>
          </w:p>
        </w:tc>
      </w:tr>
      <w:tr w:rsidR="00132EA9" w:rsidRPr="00DB58B5" w14:paraId="1DFEFA09" w14:textId="77777777" w:rsidTr="00F01738">
        <w:trPr>
          <w:trHeight w:hRule="exact" w:val="2835"/>
        </w:trPr>
        <w:tc>
          <w:tcPr>
            <w:tcW w:w="1276" w:type="dxa"/>
            <w:tcBorders>
              <w:top w:val="single" w:sz="4" w:space="0" w:color="auto"/>
              <w:bottom w:val="single" w:sz="12" w:space="0" w:color="auto"/>
            </w:tcBorders>
          </w:tcPr>
          <w:p w14:paraId="246C8A04" w14:textId="77777777" w:rsidR="00132EA9" w:rsidRPr="00DB58B5" w:rsidRDefault="00132EA9" w:rsidP="00F01738">
            <w:pPr>
              <w:spacing w:before="120"/>
              <w:jc w:val="center"/>
            </w:pPr>
            <w:r>
              <w:rPr>
                <w:noProof/>
                <w:lang w:eastAsia="fr-CH"/>
              </w:rPr>
              <w:drawing>
                <wp:inline distT="0" distB="0" distL="0" distR="0" wp14:anchorId="59C4150B" wp14:editId="52683D15">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72F79118" w14:textId="77777777" w:rsidR="00132EA9" w:rsidRPr="00740562" w:rsidRDefault="00132EA9" w:rsidP="00F01738">
            <w:pPr>
              <w:spacing w:before="120" w:line="420" w:lineRule="exact"/>
              <w:rPr>
                <w:b/>
                <w:sz w:val="40"/>
                <w:szCs w:val="40"/>
              </w:rPr>
            </w:pPr>
            <w:r w:rsidRPr="00A55C22">
              <w:rPr>
                <w:b/>
                <w:sz w:val="40"/>
                <w:szCs w:val="40"/>
              </w:rPr>
              <w:t>Secrétariat</w:t>
            </w:r>
          </w:p>
        </w:tc>
        <w:tc>
          <w:tcPr>
            <w:tcW w:w="2835" w:type="dxa"/>
            <w:tcBorders>
              <w:top w:val="single" w:sz="4" w:space="0" w:color="auto"/>
              <w:bottom w:val="single" w:sz="12" w:space="0" w:color="auto"/>
            </w:tcBorders>
          </w:tcPr>
          <w:p w14:paraId="2FC8E2A0" w14:textId="77777777" w:rsidR="00132EA9" w:rsidRDefault="00B81B67" w:rsidP="00F01738">
            <w:pPr>
              <w:spacing w:before="240"/>
            </w:pPr>
            <w:proofErr w:type="spellStart"/>
            <w:r>
              <w:t>Distr</w:t>
            </w:r>
            <w:proofErr w:type="spellEnd"/>
            <w:r>
              <w:t>. générale</w:t>
            </w:r>
          </w:p>
          <w:p w14:paraId="1F2F9864" w14:textId="77777777" w:rsidR="00B81B67" w:rsidRDefault="00B81B67" w:rsidP="00B81B67">
            <w:pPr>
              <w:spacing w:line="240" w:lineRule="exact"/>
            </w:pPr>
            <w:r>
              <w:t>27 avril 2023</w:t>
            </w:r>
          </w:p>
          <w:p w14:paraId="65FFC677" w14:textId="77777777" w:rsidR="00B81B67" w:rsidRDefault="00B81B67" w:rsidP="00B81B67">
            <w:pPr>
              <w:spacing w:line="240" w:lineRule="exact"/>
            </w:pPr>
            <w:r>
              <w:t>Français</w:t>
            </w:r>
          </w:p>
          <w:p w14:paraId="1E86372A" w14:textId="2D9BEEBF" w:rsidR="00B81B67" w:rsidRPr="00DB58B5" w:rsidRDefault="00B81B67" w:rsidP="00B81B67">
            <w:pPr>
              <w:spacing w:line="240" w:lineRule="exact"/>
            </w:pPr>
            <w:r>
              <w:t>Original : anglais</w:t>
            </w:r>
          </w:p>
        </w:tc>
      </w:tr>
    </w:tbl>
    <w:p w14:paraId="30937B6A" w14:textId="77777777" w:rsidR="000E4234" w:rsidRPr="00CA0680" w:rsidRDefault="000E4234" w:rsidP="000305D3">
      <w:pPr>
        <w:spacing w:before="120"/>
        <w:rPr>
          <w:b/>
          <w:sz w:val="24"/>
          <w:szCs w:val="24"/>
        </w:rPr>
      </w:pPr>
      <w:r w:rsidRPr="00CA0680">
        <w:rPr>
          <w:b/>
          <w:sz w:val="24"/>
          <w:szCs w:val="24"/>
        </w:rPr>
        <w:t>Comité d’experts du transport</w:t>
      </w:r>
      <w:r>
        <w:rPr>
          <w:b/>
          <w:sz w:val="24"/>
          <w:szCs w:val="24"/>
        </w:rPr>
        <w:t xml:space="preserve"> </w:t>
      </w:r>
      <w:r w:rsidRPr="00CA0680">
        <w:rPr>
          <w:b/>
          <w:sz w:val="24"/>
          <w:szCs w:val="24"/>
        </w:rPr>
        <w:t>des marchandises dangereuses</w:t>
      </w:r>
      <w:r>
        <w:rPr>
          <w:b/>
          <w:sz w:val="24"/>
          <w:szCs w:val="24"/>
        </w:rPr>
        <w:br/>
      </w:r>
      <w:r w:rsidRPr="00CA0680">
        <w:rPr>
          <w:b/>
          <w:sz w:val="24"/>
          <w:szCs w:val="24"/>
        </w:rPr>
        <w:t>et</w:t>
      </w:r>
      <w:r>
        <w:rPr>
          <w:b/>
          <w:sz w:val="24"/>
          <w:szCs w:val="24"/>
        </w:rPr>
        <w:t xml:space="preserve"> </w:t>
      </w:r>
      <w:r w:rsidRPr="00CA0680">
        <w:rPr>
          <w:b/>
          <w:sz w:val="24"/>
          <w:szCs w:val="24"/>
        </w:rPr>
        <w:t xml:space="preserve">du </w:t>
      </w:r>
      <w:r>
        <w:rPr>
          <w:b/>
          <w:sz w:val="24"/>
          <w:szCs w:val="24"/>
        </w:rPr>
        <w:t>S</w:t>
      </w:r>
      <w:r w:rsidRPr="00CA0680">
        <w:rPr>
          <w:b/>
          <w:sz w:val="24"/>
          <w:szCs w:val="24"/>
        </w:rPr>
        <w:t>ystème général harmonisé</w:t>
      </w:r>
      <w:r>
        <w:rPr>
          <w:b/>
          <w:sz w:val="24"/>
          <w:szCs w:val="24"/>
        </w:rPr>
        <w:t xml:space="preserve"> </w:t>
      </w:r>
      <w:r w:rsidRPr="00CA0680">
        <w:rPr>
          <w:b/>
          <w:sz w:val="24"/>
          <w:szCs w:val="24"/>
        </w:rPr>
        <w:t>de classification</w:t>
      </w:r>
      <w:r>
        <w:rPr>
          <w:b/>
          <w:sz w:val="24"/>
          <w:szCs w:val="24"/>
        </w:rPr>
        <w:br/>
      </w:r>
      <w:r w:rsidRPr="00CA0680">
        <w:rPr>
          <w:b/>
          <w:sz w:val="24"/>
          <w:szCs w:val="24"/>
        </w:rPr>
        <w:t>et d’étiquetage</w:t>
      </w:r>
      <w:r>
        <w:rPr>
          <w:b/>
          <w:sz w:val="24"/>
          <w:szCs w:val="24"/>
        </w:rPr>
        <w:t xml:space="preserve"> </w:t>
      </w:r>
      <w:r w:rsidRPr="00CA0680">
        <w:rPr>
          <w:b/>
          <w:sz w:val="24"/>
          <w:szCs w:val="24"/>
        </w:rPr>
        <w:t>des produits chimiques</w:t>
      </w:r>
    </w:p>
    <w:p w14:paraId="24F2705E" w14:textId="77777777" w:rsidR="000E4234" w:rsidRPr="00CA0680" w:rsidRDefault="000E4234" w:rsidP="000305D3">
      <w:pPr>
        <w:spacing w:before="120"/>
        <w:rPr>
          <w:b/>
        </w:rPr>
      </w:pPr>
      <w:r w:rsidRPr="00CA0680">
        <w:rPr>
          <w:b/>
        </w:rPr>
        <w:t>Sous</w:t>
      </w:r>
      <w:r>
        <w:rPr>
          <w:b/>
        </w:rPr>
        <w:t>-</w:t>
      </w:r>
      <w:r w:rsidRPr="00CA0680">
        <w:rPr>
          <w:b/>
        </w:rPr>
        <w:t xml:space="preserve">Comité d’experts </w:t>
      </w:r>
      <w:r>
        <w:rPr>
          <w:b/>
        </w:rPr>
        <w:t>du Système général harmonisé</w:t>
      </w:r>
      <w:r>
        <w:rPr>
          <w:b/>
        </w:rPr>
        <w:br/>
        <w:t>de classification et d’étiquetage des produits chimiques</w:t>
      </w:r>
    </w:p>
    <w:p w14:paraId="03CD9E58" w14:textId="04A398A2" w:rsidR="000E4234" w:rsidRDefault="000E4234" w:rsidP="000305D3">
      <w:pPr>
        <w:spacing w:before="120"/>
        <w:rPr>
          <w:b/>
        </w:rPr>
      </w:pPr>
      <w:r>
        <w:rPr>
          <w:b/>
        </w:rPr>
        <w:t>Quarante-quatrième</w:t>
      </w:r>
      <w:r w:rsidRPr="00CA0680">
        <w:rPr>
          <w:b/>
        </w:rPr>
        <w:t xml:space="preserve"> session</w:t>
      </w:r>
    </w:p>
    <w:p w14:paraId="4079D4A0" w14:textId="77777777" w:rsidR="000E4234" w:rsidRDefault="000E4234" w:rsidP="000305D3">
      <w:r>
        <w:t>Genève, 10-12 juillet 2023</w:t>
      </w:r>
    </w:p>
    <w:p w14:paraId="761AD9EC" w14:textId="2E64C8EF" w:rsidR="000E4234" w:rsidRDefault="000E4234" w:rsidP="000305D3">
      <w:r>
        <w:t>Point 2 e) de l’ordre du jour provisoire</w:t>
      </w:r>
    </w:p>
    <w:p w14:paraId="77E6BA52" w14:textId="6749F1A9" w:rsidR="00DD6E4E" w:rsidRPr="00EB7912" w:rsidRDefault="00DD6E4E" w:rsidP="00DD6E4E">
      <w:pPr>
        <w:rPr>
          <w:b/>
          <w:bCs/>
          <w:lang w:val="fr-FR"/>
        </w:rPr>
      </w:pPr>
      <w:r>
        <w:rPr>
          <w:b/>
          <w:bCs/>
          <w:lang w:val="fr-FR"/>
        </w:rPr>
        <w:t xml:space="preserve">Travaux relatifs au Système général harmonisé de classification </w:t>
      </w:r>
      <w:r w:rsidR="008C603E">
        <w:rPr>
          <w:b/>
          <w:bCs/>
          <w:lang w:val="fr-FR"/>
        </w:rPr>
        <w:br/>
      </w:r>
      <w:r>
        <w:rPr>
          <w:b/>
          <w:bCs/>
          <w:lang w:val="fr-FR"/>
        </w:rPr>
        <w:t xml:space="preserve">et d’étiquetage des produits chimiques : questions relatives </w:t>
      </w:r>
      <w:r w:rsidR="008C603E">
        <w:rPr>
          <w:b/>
          <w:bCs/>
          <w:lang w:val="fr-FR"/>
        </w:rPr>
        <w:br/>
      </w:r>
      <w:r>
        <w:rPr>
          <w:b/>
          <w:bCs/>
          <w:lang w:val="fr-FR"/>
        </w:rPr>
        <w:t xml:space="preserve">aux dangers potentiels et à leur présentation dans le système </w:t>
      </w:r>
      <w:r w:rsidR="008C603E">
        <w:rPr>
          <w:b/>
          <w:bCs/>
          <w:lang w:val="fr-FR"/>
        </w:rPr>
        <w:br/>
      </w:r>
      <w:r>
        <w:rPr>
          <w:b/>
          <w:bCs/>
          <w:lang w:val="fr-FR"/>
        </w:rPr>
        <w:t>général harmonisé</w:t>
      </w:r>
    </w:p>
    <w:p w14:paraId="6986C343" w14:textId="31133097" w:rsidR="00DD6E4E" w:rsidRPr="00EB7912" w:rsidRDefault="00DD6E4E" w:rsidP="008C603E">
      <w:pPr>
        <w:pStyle w:val="HChG"/>
        <w:rPr>
          <w:lang w:val="fr-FR"/>
        </w:rPr>
      </w:pPr>
      <w:r>
        <w:rPr>
          <w:lang w:val="fr-FR"/>
        </w:rPr>
        <w:tab/>
      </w:r>
      <w:r>
        <w:rPr>
          <w:lang w:val="fr-FR"/>
        </w:rPr>
        <w:tab/>
        <w:t>Questions relatives aux dangers potentiels et à leur présentation dans le système général harmonisé</w:t>
      </w:r>
      <w:r w:rsidR="008C603E">
        <w:rPr>
          <w:lang w:val="fr-FR"/>
        </w:rPr>
        <w:t> </w:t>
      </w:r>
      <w:r>
        <w:rPr>
          <w:lang w:val="fr-FR"/>
        </w:rPr>
        <w:t xml:space="preserve">: </w:t>
      </w:r>
      <w:r w:rsidR="008C603E">
        <w:rPr>
          <w:lang w:val="fr-FR"/>
        </w:rPr>
        <w:br/>
      </w:r>
      <w:r>
        <w:rPr>
          <w:lang w:val="fr-FR"/>
        </w:rPr>
        <w:t xml:space="preserve">mandat à confier à l’Organisation de coopération </w:t>
      </w:r>
      <w:r w:rsidR="008C603E">
        <w:rPr>
          <w:lang w:val="fr-FR"/>
        </w:rPr>
        <w:br/>
      </w:r>
      <w:r>
        <w:rPr>
          <w:lang w:val="fr-FR"/>
        </w:rPr>
        <w:t xml:space="preserve">et de développement économiques (OCDE) </w:t>
      </w:r>
      <w:r w:rsidR="008C603E">
        <w:rPr>
          <w:lang w:val="fr-FR"/>
        </w:rPr>
        <w:br/>
      </w:r>
      <w:r>
        <w:rPr>
          <w:lang w:val="fr-FR"/>
        </w:rPr>
        <w:t>sur les perturbateurs endocriniens</w:t>
      </w:r>
    </w:p>
    <w:p w14:paraId="71FDDBB2" w14:textId="77777777" w:rsidR="00DD6E4E" w:rsidRPr="00EB7912" w:rsidRDefault="00DD6E4E" w:rsidP="008C603E">
      <w:pPr>
        <w:pStyle w:val="H1G"/>
        <w:rPr>
          <w:lang w:val="fr-FR"/>
        </w:rPr>
      </w:pPr>
      <w:r>
        <w:rPr>
          <w:lang w:val="fr-FR"/>
        </w:rPr>
        <w:tab/>
      </w:r>
      <w:r>
        <w:rPr>
          <w:lang w:val="fr-FR"/>
        </w:rPr>
        <w:tab/>
        <w:t>Communication de l’Union européenne au nom du groupe de travail informel sur les questions relatives aux dangers potentiels et à leur présentation dans le système général harmonisé</w:t>
      </w:r>
      <w:r>
        <w:rPr>
          <w:rStyle w:val="Appelnotedebasdep"/>
          <w:sz w:val="20"/>
          <w:lang w:val="fr-FR"/>
        </w:rPr>
        <w:footnoteReference w:customMarkFollows="1" w:id="2"/>
        <w:t>*</w:t>
      </w:r>
    </w:p>
    <w:p w14:paraId="32E22D42" w14:textId="1E43567B" w:rsidR="00DD6E4E" w:rsidRPr="00EB7912" w:rsidRDefault="008C603E" w:rsidP="008C603E">
      <w:pPr>
        <w:pStyle w:val="HChG"/>
        <w:rPr>
          <w:lang w:val="fr-FR"/>
        </w:rPr>
      </w:pPr>
      <w:r>
        <w:rPr>
          <w:lang w:val="fr-FR"/>
        </w:rPr>
        <w:tab/>
      </w:r>
      <w:r>
        <w:rPr>
          <w:lang w:val="fr-FR"/>
        </w:rPr>
        <w:tab/>
      </w:r>
      <w:r w:rsidR="00DD6E4E">
        <w:rPr>
          <w:lang w:val="fr-FR"/>
        </w:rPr>
        <w:t>Cadre général</w:t>
      </w:r>
    </w:p>
    <w:p w14:paraId="29EEFE8A" w14:textId="101F460A" w:rsidR="00DD6E4E" w:rsidRPr="00EB7912" w:rsidRDefault="00DD6E4E" w:rsidP="00DD6E4E">
      <w:pPr>
        <w:pStyle w:val="SingleTxtG"/>
        <w:rPr>
          <w:lang w:val="fr-FR"/>
        </w:rPr>
      </w:pPr>
      <w:r>
        <w:rPr>
          <w:lang w:val="fr-FR"/>
        </w:rPr>
        <w:t>1.</w:t>
      </w:r>
      <w:r>
        <w:rPr>
          <w:lang w:val="fr-FR"/>
        </w:rPr>
        <w:tab/>
      </w:r>
      <w:r w:rsidRPr="00EB7912">
        <w:rPr>
          <w:rFonts w:asciiTheme="majorBidi" w:hAnsiTheme="majorBidi" w:cstheme="majorBidi"/>
          <w:color w:val="202124"/>
          <w:shd w:val="clear" w:color="auto" w:fill="FFFFFF"/>
          <w:lang w:val="fr-FR"/>
        </w:rPr>
        <w:t>À</w:t>
      </w:r>
      <w:r w:rsidR="008C603E" w:rsidRPr="008C603E">
        <w:rPr>
          <w:color w:val="202124"/>
          <w:shd w:val="clear" w:color="auto" w:fill="FFFFFF"/>
          <w:lang w:val="fr-FR"/>
        </w:rPr>
        <w:t xml:space="preserve"> </w:t>
      </w:r>
      <w:r>
        <w:rPr>
          <w:lang w:val="fr-FR"/>
        </w:rPr>
        <w:t>sa quarante-troisième session, tenue en décembre 2022, le Sous-Comité d’experts du Système général harmonisé de classification et d’étiquetage des produits chimiques (le Sous-Comité SGH) a décidé</w:t>
      </w:r>
      <w:r w:rsidRPr="00F44DC9">
        <w:rPr>
          <w:rStyle w:val="Appelnotedebasdep"/>
        </w:rPr>
        <w:footnoteReference w:id="3"/>
      </w:r>
      <w:r>
        <w:rPr>
          <w:lang w:val="fr-FR"/>
        </w:rPr>
        <w:t xml:space="preserve"> d’inscrire un nouveau point à son programme de travail pour 2023</w:t>
      </w:r>
      <w:r w:rsidR="005E07C8">
        <w:rPr>
          <w:lang w:val="fr-FR"/>
        </w:rPr>
        <w:noBreakHyphen/>
      </w:r>
      <w:r>
        <w:rPr>
          <w:lang w:val="fr-FR"/>
        </w:rPr>
        <w:t>2024, à savoir la création d’un groupe de travail informel, coordonné par l’Union européenne, sur les questions relatives aux dangers potentiels et à leur présentation dans le SGH (le groupe de travail informel), sur la base du mandat mis à jour figurant dans le document informel INF.39</w:t>
      </w:r>
      <w:r w:rsidRPr="00F44DC9">
        <w:rPr>
          <w:rStyle w:val="Appelnotedebasdep"/>
        </w:rPr>
        <w:footnoteReference w:id="4"/>
      </w:r>
      <w:r>
        <w:rPr>
          <w:lang w:val="fr-FR"/>
        </w:rPr>
        <w:t>, conjugué avec le document ST/SG/AC.10/C.4/2022/18</w:t>
      </w:r>
      <w:r w:rsidRPr="00F44DC9">
        <w:rPr>
          <w:rStyle w:val="Appelnotedebasdep"/>
        </w:rPr>
        <w:footnoteReference w:id="5"/>
      </w:r>
      <w:r>
        <w:rPr>
          <w:lang w:val="fr-FR"/>
        </w:rPr>
        <w:t xml:space="preserve">. </w:t>
      </w:r>
    </w:p>
    <w:p w14:paraId="50A7CB80" w14:textId="17B19D56" w:rsidR="00DD6E4E" w:rsidRDefault="00DD6E4E" w:rsidP="00896E63">
      <w:pPr>
        <w:pStyle w:val="SingleTxtG"/>
        <w:keepLines/>
        <w:tabs>
          <w:tab w:val="clear" w:pos="2268"/>
          <w:tab w:val="clear" w:pos="2835"/>
        </w:tabs>
        <w:rPr>
          <w:lang w:val="fr-FR"/>
        </w:rPr>
      </w:pPr>
      <w:r>
        <w:rPr>
          <w:lang w:val="fr-FR"/>
        </w:rPr>
        <w:lastRenderedPageBreak/>
        <w:t>2.</w:t>
      </w:r>
      <w:r>
        <w:rPr>
          <w:lang w:val="fr-FR"/>
        </w:rPr>
        <w:tab/>
        <w:t>Ces documents définissent le mandat du groupe de travail informel pour toutes les questions relatives aux dangers potentiels des perturbateurs endocriniens (PE) et aux substances chimiques persistantes, toxiques et susceptibles de bioaccumulation, très persistantes et fortement susceptibles de bioaccumulation, persistantes, mobiles et toxiques, et très persistantes et très mobiles, comme suit :</w:t>
      </w:r>
    </w:p>
    <w:p w14:paraId="1ECA3F5F" w14:textId="7157AFEF" w:rsidR="007D4249" w:rsidRPr="00EB7912" w:rsidRDefault="007D4249" w:rsidP="007D4249">
      <w:pPr>
        <w:pStyle w:val="SingleTxtG"/>
        <w:ind w:firstLine="567"/>
        <w:rPr>
          <w:lang w:val="fr-FR"/>
        </w:rPr>
      </w:pPr>
      <w:r>
        <w:rPr>
          <w:lang w:val="fr-FR"/>
        </w:rPr>
        <w:t>a)</w:t>
      </w:r>
      <w:r>
        <w:rPr>
          <w:lang w:val="fr-FR"/>
        </w:rPr>
        <w:tab/>
        <w:t>Établissement des priorités</w:t>
      </w:r>
      <w:r w:rsidR="00340C7B">
        <w:rPr>
          <w:lang w:val="fr-FR"/>
        </w:rPr>
        <w:t> </w:t>
      </w:r>
      <w:r>
        <w:rPr>
          <w:lang w:val="fr-FR"/>
        </w:rPr>
        <w:t>;</w:t>
      </w:r>
    </w:p>
    <w:p w14:paraId="4FEDDB74" w14:textId="77777777" w:rsidR="007D4249" w:rsidRPr="000F134B" w:rsidRDefault="007D4249" w:rsidP="007D4249">
      <w:pPr>
        <w:pStyle w:val="SingleTxtG"/>
        <w:ind w:firstLine="567"/>
        <w:rPr>
          <w:spacing w:val="-2"/>
          <w:lang w:val="fr-FR"/>
        </w:rPr>
      </w:pPr>
      <w:r>
        <w:rPr>
          <w:lang w:val="fr-FR"/>
        </w:rPr>
        <w:t>b)</w:t>
      </w:r>
      <w:r>
        <w:rPr>
          <w:lang w:val="fr-FR"/>
        </w:rPr>
        <w:tab/>
      </w:r>
      <w:r w:rsidRPr="000F134B">
        <w:rPr>
          <w:spacing w:val="-2"/>
          <w:lang w:val="fr-FR"/>
        </w:rPr>
        <w:t>Élaboration des mandats de l’OCDE pour approbation par le Sous-Comité SGH ;</w:t>
      </w:r>
    </w:p>
    <w:p w14:paraId="7308D6F7" w14:textId="77777777" w:rsidR="007D4249" w:rsidRPr="00EB7912" w:rsidRDefault="007D4249" w:rsidP="007D4249">
      <w:pPr>
        <w:pStyle w:val="SingleTxtG"/>
        <w:ind w:firstLine="567"/>
        <w:rPr>
          <w:lang w:val="fr-FR"/>
        </w:rPr>
      </w:pPr>
      <w:r>
        <w:rPr>
          <w:lang w:val="fr-FR"/>
        </w:rPr>
        <w:t>c)</w:t>
      </w:r>
      <w:r>
        <w:rPr>
          <w:lang w:val="fr-FR"/>
        </w:rPr>
        <w:tab/>
        <w:t>Introduction d’un nouveau danger et de nouveaux critères dans le SGH ;</w:t>
      </w:r>
    </w:p>
    <w:p w14:paraId="13EDA471" w14:textId="352BBC2A" w:rsidR="007D4249" w:rsidRPr="00EB7912" w:rsidRDefault="007D4249" w:rsidP="007D4249">
      <w:pPr>
        <w:pStyle w:val="SingleTxtG"/>
        <w:ind w:firstLine="567"/>
        <w:rPr>
          <w:lang w:val="fr-FR"/>
        </w:rPr>
      </w:pPr>
      <w:r>
        <w:rPr>
          <w:lang w:val="fr-FR"/>
        </w:rPr>
        <w:t>d)</w:t>
      </w:r>
      <w:r>
        <w:rPr>
          <w:lang w:val="fr-FR"/>
        </w:rPr>
        <w:tab/>
        <w:t>Critères de classification.</w:t>
      </w:r>
    </w:p>
    <w:p w14:paraId="70BE9F5E" w14:textId="050C3B9B" w:rsidR="00DD6E4E" w:rsidRPr="00EB7912" w:rsidRDefault="00DD6E4E" w:rsidP="00726859">
      <w:pPr>
        <w:pStyle w:val="SingleTxtG"/>
        <w:keepNext/>
        <w:rPr>
          <w:lang w:val="fr-FR"/>
        </w:rPr>
      </w:pPr>
      <w:r>
        <w:rPr>
          <w:lang w:val="fr-FR"/>
        </w:rPr>
        <w:t>3.</w:t>
      </w:r>
      <w:r>
        <w:rPr>
          <w:lang w:val="fr-FR"/>
        </w:rPr>
        <w:tab/>
        <w:t>Les documents définissent également les tâches initiales du groupe de travail informel en prévision de la session de juillet 2023 du Sous-Comité SGH</w:t>
      </w:r>
      <w:r w:rsidRPr="00F44DC9">
        <w:rPr>
          <w:rStyle w:val="Appelnotedebasdep"/>
        </w:rPr>
        <w:footnoteReference w:id="6"/>
      </w:r>
      <w:r>
        <w:rPr>
          <w:lang w:val="fr-FR"/>
        </w:rPr>
        <w:t>. Ces tâches sont les suivantes</w:t>
      </w:r>
      <w:r w:rsidR="00340C7B">
        <w:rPr>
          <w:lang w:val="fr-FR"/>
        </w:rPr>
        <w:t> </w:t>
      </w:r>
      <w:r>
        <w:rPr>
          <w:lang w:val="fr-FR"/>
        </w:rPr>
        <w:t>:</w:t>
      </w:r>
    </w:p>
    <w:p w14:paraId="5BF4C6C4" w14:textId="4157591D" w:rsidR="00DD6E4E" w:rsidRPr="00EB7912" w:rsidRDefault="00DD6E4E" w:rsidP="007D4249">
      <w:pPr>
        <w:pStyle w:val="SingleTxtG"/>
        <w:ind w:firstLine="567"/>
        <w:rPr>
          <w:lang w:val="fr-FR"/>
        </w:rPr>
      </w:pPr>
      <w:r>
        <w:rPr>
          <w:lang w:val="fr-FR"/>
        </w:rPr>
        <w:t>a)</w:t>
      </w:r>
      <w:r>
        <w:rPr>
          <w:lang w:val="fr-FR"/>
        </w:rPr>
        <w:tab/>
        <w:t>Élaborer, pour approbation par le Sous-Comité SGH, un mandat à confier à l’OCDE en ce qui concerne les connaissances scientifiques nécessaires pour repérer les perturbateurs endocriniens</w:t>
      </w:r>
      <w:r w:rsidR="00340C7B">
        <w:rPr>
          <w:lang w:val="fr-FR"/>
        </w:rPr>
        <w:t> </w:t>
      </w:r>
      <w:r>
        <w:rPr>
          <w:lang w:val="fr-FR"/>
        </w:rPr>
        <w:t xml:space="preserve">; </w:t>
      </w:r>
    </w:p>
    <w:p w14:paraId="587A4384" w14:textId="77777777" w:rsidR="00DD6E4E" w:rsidRPr="00EB7912" w:rsidRDefault="00DD6E4E" w:rsidP="007D4249">
      <w:pPr>
        <w:pStyle w:val="SingleTxtG"/>
        <w:ind w:firstLine="567"/>
        <w:rPr>
          <w:lang w:val="fr-FR"/>
        </w:rPr>
      </w:pPr>
      <w:r>
        <w:rPr>
          <w:lang w:val="fr-FR"/>
        </w:rPr>
        <w:t>b)</w:t>
      </w:r>
      <w:r>
        <w:rPr>
          <w:lang w:val="fr-FR"/>
        </w:rPr>
        <w:tab/>
        <w:t>Déterminer ses priorités et poursuivre l’élaboration d’un plan de travail convenu pour 2023-2024 qui sera soumis à l’approbation du Sous-Comité SGH.</w:t>
      </w:r>
    </w:p>
    <w:p w14:paraId="657CF186" w14:textId="77777777" w:rsidR="00DD6E4E" w:rsidRPr="00EB7912" w:rsidRDefault="00DD6E4E" w:rsidP="00DD6E4E">
      <w:pPr>
        <w:pStyle w:val="SingleTxtG"/>
        <w:rPr>
          <w:lang w:val="fr-FR"/>
        </w:rPr>
      </w:pPr>
      <w:r>
        <w:rPr>
          <w:lang w:val="fr-FR"/>
        </w:rPr>
        <w:t>4.</w:t>
      </w:r>
      <w:r>
        <w:rPr>
          <w:lang w:val="fr-FR"/>
        </w:rPr>
        <w:tab/>
        <w:t>Le présent document contient une proposition de mandat à l’intention de l’OCDE, pour approbation par le Sous-Comité SGH conformément à l’alinéa a) du paragraphe 3.</w:t>
      </w:r>
    </w:p>
    <w:p w14:paraId="054A81F7" w14:textId="77777777" w:rsidR="00DD6E4E" w:rsidRPr="00EB7912" w:rsidRDefault="00DD6E4E" w:rsidP="00DD6E4E">
      <w:pPr>
        <w:pStyle w:val="SingleTxtG"/>
        <w:rPr>
          <w:lang w:val="fr-FR"/>
        </w:rPr>
      </w:pPr>
      <w:r>
        <w:rPr>
          <w:lang w:val="fr-FR"/>
        </w:rPr>
        <w:t>5.</w:t>
      </w:r>
      <w:r>
        <w:rPr>
          <w:lang w:val="fr-FR"/>
        </w:rPr>
        <w:tab/>
        <w:t>Dans le cadre de la mise en œuvre du mandat proposé, les membres de l’OCDE sont invités à prendre part au groupe de travail informel. De même, les membres du groupe de travail informel sont également encouragés à participer au groupe de l’OCDE qui sera chargé de l’exécution du mandat proposé. Cela permettrait un échange d’informations fluide et continu entre toutes les parties intéressées.</w:t>
      </w:r>
    </w:p>
    <w:p w14:paraId="1668A3DE" w14:textId="56E7DCD9" w:rsidR="00DD6E4E" w:rsidRPr="00EB7912" w:rsidRDefault="00DD6E4E" w:rsidP="00DD6E4E">
      <w:pPr>
        <w:pStyle w:val="SingleTxtG"/>
        <w:rPr>
          <w:lang w:val="fr-FR"/>
        </w:rPr>
      </w:pPr>
      <w:r>
        <w:rPr>
          <w:lang w:val="fr-FR"/>
        </w:rPr>
        <w:t>6.</w:t>
      </w:r>
      <w:r>
        <w:rPr>
          <w:lang w:val="fr-FR"/>
        </w:rPr>
        <w:tab/>
        <w:t>Compte tenu du rapport de l’OCDE sur ses travaux dont il est question au paragraphe</w:t>
      </w:r>
      <w:r w:rsidR="00CC2478">
        <w:rPr>
          <w:lang w:val="fr-FR"/>
        </w:rPr>
        <w:t> </w:t>
      </w:r>
      <w:r>
        <w:rPr>
          <w:lang w:val="fr-FR"/>
        </w:rPr>
        <w:t>12 ci-dessous du mandat proposé, le groupe de travail informel envisagera les étapes suivantes.</w:t>
      </w:r>
    </w:p>
    <w:p w14:paraId="47634BE6" w14:textId="77777777" w:rsidR="00DD6E4E" w:rsidRPr="00EB7912" w:rsidRDefault="00DD6E4E" w:rsidP="000F134B">
      <w:pPr>
        <w:pStyle w:val="HChG"/>
        <w:rPr>
          <w:lang w:val="fr-FR"/>
        </w:rPr>
      </w:pPr>
      <w:r>
        <w:rPr>
          <w:lang w:val="fr-FR"/>
        </w:rPr>
        <w:tab/>
      </w:r>
      <w:r>
        <w:rPr>
          <w:lang w:val="fr-FR"/>
        </w:rPr>
        <w:tab/>
        <w:t>Informations à l’appui du mandat proposé</w:t>
      </w:r>
    </w:p>
    <w:p w14:paraId="47637EA3" w14:textId="2B5EBABE" w:rsidR="00DD6E4E" w:rsidRPr="00EB7912" w:rsidRDefault="00DD6E4E" w:rsidP="00DD6E4E">
      <w:pPr>
        <w:pStyle w:val="SingleTxtG"/>
        <w:rPr>
          <w:lang w:val="fr-FR"/>
        </w:rPr>
      </w:pPr>
      <w:r>
        <w:rPr>
          <w:lang w:val="fr-FR"/>
        </w:rPr>
        <w:t>7.</w:t>
      </w:r>
      <w:r>
        <w:rPr>
          <w:lang w:val="fr-FR"/>
        </w:rPr>
        <w:tab/>
        <w:t xml:space="preserve">Au cours des </w:t>
      </w:r>
      <w:r w:rsidR="00340C7B">
        <w:rPr>
          <w:lang w:val="fr-FR"/>
        </w:rPr>
        <w:t xml:space="preserve">trente </w:t>
      </w:r>
      <w:r>
        <w:rPr>
          <w:lang w:val="fr-FR"/>
        </w:rPr>
        <w:t>dernières années, de plus en plus de travaux de recherche scientifique ont mis en évidence les effets de perturbation endocrinienne des substances chimiques. Les connaissances qui en résultent permettent de considérer les perturbateurs endocriniens comme une source de préoccupation pour la santé des populations et de la faune</w:t>
      </w:r>
      <w:r w:rsidRPr="00F44DC9">
        <w:rPr>
          <w:rStyle w:val="Appelnotedebasdep"/>
        </w:rPr>
        <w:footnoteReference w:id="7"/>
      </w:r>
      <w:r>
        <w:rPr>
          <w:lang w:val="fr-FR"/>
        </w:rPr>
        <w:t xml:space="preserve">. </w:t>
      </w:r>
      <w:r w:rsidRPr="00573303">
        <w:rPr>
          <w:color w:val="333333"/>
          <w:shd w:val="clear" w:color="auto" w:fill="FFFFFF"/>
          <w:lang w:val="fr-FR"/>
        </w:rPr>
        <w:t>Vu l</w:t>
      </w:r>
      <w:r>
        <w:rPr>
          <w:color w:val="333333"/>
          <w:shd w:val="clear" w:color="auto" w:fill="FFFFFF"/>
          <w:lang w:val="fr-FR"/>
        </w:rPr>
        <w:t>’</w:t>
      </w:r>
      <w:r w:rsidRPr="00573303">
        <w:rPr>
          <w:color w:val="333333"/>
          <w:shd w:val="clear" w:color="auto" w:fill="FFFFFF"/>
          <w:lang w:val="fr-FR"/>
        </w:rPr>
        <w:t>incidence croissante de nombreux troubles endocriniens chez l</w:t>
      </w:r>
      <w:r>
        <w:rPr>
          <w:color w:val="333333"/>
          <w:shd w:val="clear" w:color="auto" w:fill="FFFFFF"/>
          <w:lang w:val="fr-FR"/>
        </w:rPr>
        <w:t>’</w:t>
      </w:r>
      <w:r w:rsidRPr="00573303">
        <w:rPr>
          <w:color w:val="333333"/>
          <w:shd w:val="clear" w:color="auto" w:fill="FFFFFF"/>
          <w:lang w:val="fr-FR"/>
        </w:rPr>
        <w:t>être humain, des parallèles notables sont à établir avec certaines espèces animales</w:t>
      </w:r>
      <w:r w:rsidRPr="00573303">
        <w:rPr>
          <w:lang w:val="fr-FR"/>
        </w:rPr>
        <w:t>.</w:t>
      </w:r>
      <w:r>
        <w:rPr>
          <w:lang w:val="fr-FR"/>
        </w:rPr>
        <w:t xml:space="preserve"> </w:t>
      </w:r>
    </w:p>
    <w:p w14:paraId="4EFE0303" w14:textId="77777777" w:rsidR="00DD6E4E" w:rsidRPr="00EB7912" w:rsidRDefault="00DD6E4E" w:rsidP="00DD6E4E">
      <w:pPr>
        <w:pStyle w:val="SingleTxtG"/>
        <w:rPr>
          <w:lang w:val="fr-FR"/>
        </w:rPr>
      </w:pPr>
      <w:r>
        <w:rPr>
          <w:lang w:val="fr-FR"/>
        </w:rPr>
        <w:t>8.</w:t>
      </w:r>
      <w:r>
        <w:rPr>
          <w:lang w:val="fr-FR"/>
        </w:rPr>
        <w:tab/>
        <w:t>Actuellement, les perturbateurs endocriniens ne peuvent pas être identifiés dans les classes de danger existantes du SGH. Il est à craindre que cela ne limite la capacité des utilisateurs de substances chimiques d’adopter des mesures appropriées de gestion des risques. L’OCDE, en tant qu’organisme coordonnateur des questions concernant les dangers pour la santé et l’environnement dans le SGH, pourrait être chargée d’examiner les classes de danger existantes du SGH pour recenser d’éventuelles lacunes.</w:t>
      </w:r>
    </w:p>
    <w:p w14:paraId="01C67517" w14:textId="77777777" w:rsidR="00DD6E4E" w:rsidRPr="00EB7912" w:rsidRDefault="00DD6E4E" w:rsidP="00DD6E4E">
      <w:pPr>
        <w:pStyle w:val="SingleTxtG"/>
        <w:rPr>
          <w:lang w:val="fr-FR"/>
        </w:rPr>
      </w:pPr>
      <w:r>
        <w:rPr>
          <w:lang w:val="fr-FR"/>
        </w:rPr>
        <w:t>9.</w:t>
      </w:r>
      <w:r>
        <w:rPr>
          <w:lang w:val="fr-FR"/>
        </w:rPr>
        <w:tab/>
      </w:r>
      <w:r w:rsidRPr="0074562F">
        <w:rPr>
          <w:spacing w:val="-1"/>
          <w:lang w:val="fr-FR"/>
        </w:rPr>
        <w:t xml:space="preserve">Cependant, pour certaines voies endocriniennes, il se peut que les connaissances scientifiques disponibles ne soient pas aussi poussées que pour les types œstrogénique, androgénique, </w:t>
      </w:r>
      <w:proofErr w:type="spellStart"/>
      <w:r w:rsidRPr="0074562F">
        <w:rPr>
          <w:spacing w:val="-1"/>
          <w:lang w:val="fr-FR"/>
        </w:rPr>
        <w:t>thyroïdogénique</w:t>
      </w:r>
      <w:proofErr w:type="spellEnd"/>
      <w:r w:rsidRPr="0074562F">
        <w:rPr>
          <w:spacing w:val="-1"/>
          <w:lang w:val="fr-FR"/>
        </w:rPr>
        <w:t xml:space="preserve"> et </w:t>
      </w:r>
      <w:proofErr w:type="spellStart"/>
      <w:r w:rsidRPr="0074562F">
        <w:rPr>
          <w:spacing w:val="-1"/>
          <w:lang w:val="fr-FR"/>
        </w:rPr>
        <w:t>stéroïdogénique</w:t>
      </w:r>
      <w:proofErr w:type="spellEnd"/>
      <w:r w:rsidRPr="0074562F">
        <w:rPr>
          <w:spacing w:val="-1"/>
          <w:lang w:val="fr-FR"/>
        </w:rPr>
        <w:t xml:space="preserve">. Il est donc proposé que l’OCDE examine les connaissances sur les voies œstrogénique, androgénique, </w:t>
      </w:r>
      <w:proofErr w:type="spellStart"/>
      <w:r w:rsidRPr="0074562F">
        <w:rPr>
          <w:spacing w:val="-1"/>
          <w:lang w:val="fr-FR"/>
        </w:rPr>
        <w:t>thyroïdogénique</w:t>
      </w:r>
      <w:proofErr w:type="spellEnd"/>
      <w:r w:rsidRPr="0074562F">
        <w:rPr>
          <w:spacing w:val="-1"/>
          <w:lang w:val="fr-FR"/>
        </w:rPr>
        <w:t xml:space="preserve"> et </w:t>
      </w:r>
      <w:proofErr w:type="spellStart"/>
      <w:r w:rsidRPr="0074562F">
        <w:rPr>
          <w:spacing w:val="-1"/>
          <w:lang w:val="fr-FR"/>
        </w:rPr>
        <w:t>stéroïdogénique</w:t>
      </w:r>
      <w:proofErr w:type="spellEnd"/>
      <w:r w:rsidRPr="0074562F">
        <w:rPr>
          <w:spacing w:val="-1"/>
          <w:lang w:val="fr-FR"/>
        </w:rPr>
        <w:t xml:space="preserve"> et envisage ensuite d’autres voies endocriniennes pour lesquelles les méthodes et les connaissances scientifiques disponibles ne sont sans doute pas aussi avancées.</w:t>
      </w:r>
    </w:p>
    <w:p w14:paraId="3586B585" w14:textId="77777777" w:rsidR="00DD6E4E" w:rsidRPr="00EB7912" w:rsidRDefault="00DD6E4E" w:rsidP="00340C7B">
      <w:pPr>
        <w:pStyle w:val="SingleTxtG"/>
        <w:rPr>
          <w:lang w:val="fr-FR"/>
        </w:rPr>
      </w:pPr>
      <w:r>
        <w:rPr>
          <w:lang w:val="fr-FR"/>
        </w:rPr>
        <w:lastRenderedPageBreak/>
        <w:t>10.</w:t>
      </w:r>
      <w:r>
        <w:rPr>
          <w:lang w:val="fr-FR"/>
        </w:rPr>
        <w:tab/>
        <w:t>La proposition prévoit que l’OCDE utilise les connaissances existantes (par exemple, les lignes directrices internationales d’essais, telles que celles élaborées par l’OCDE, les informations disponibles auprès d’autres organismes internationaux et les programmes nationaux ou régionaux) et établisse une corrélation entre certains mécanismes d’action endocriniens et les effets néfastes s’exerçant chez l’homme et dans l’environnement.</w:t>
      </w:r>
    </w:p>
    <w:p w14:paraId="0BEE71B5" w14:textId="720F5C76" w:rsidR="00DD6E4E" w:rsidRPr="00EB7912" w:rsidRDefault="00DD6E4E" w:rsidP="00340C7B">
      <w:pPr>
        <w:pStyle w:val="SingleTxtG"/>
        <w:rPr>
          <w:lang w:val="fr-FR"/>
        </w:rPr>
      </w:pPr>
      <w:r>
        <w:rPr>
          <w:lang w:val="fr-FR"/>
        </w:rPr>
        <w:t>11.</w:t>
      </w:r>
      <w:r>
        <w:rPr>
          <w:lang w:val="fr-FR"/>
        </w:rPr>
        <w:tab/>
        <w:t>En outre, même si les avis sont globalement favorables à l’utilisation de la définition générique du perturbateur endocrinien retenue par le Programme international sur la sécurité des substances chimiques de l’Organisation mondiale de la Santé (OMS/PISSC) (2002)</w:t>
      </w:r>
      <w:r w:rsidRPr="00F44DC9">
        <w:rPr>
          <w:rStyle w:val="Appelnotedebasdep"/>
        </w:rPr>
        <w:footnoteReference w:id="8"/>
      </w:r>
      <w:r>
        <w:rPr>
          <w:lang w:val="fr-FR"/>
        </w:rPr>
        <w:t xml:space="preserve"> comme point de départ pour la définition du SGH, certains craignent que la définition de l’OMS ne soit trop large. Il peut être nécessaire de l’adapter pour l’appliquer dans le cadre du SGH. </w:t>
      </w:r>
    </w:p>
    <w:p w14:paraId="558CF4AF" w14:textId="77777777" w:rsidR="00DD6E4E" w:rsidRPr="00EB7912" w:rsidRDefault="00DD6E4E" w:rsidP="00340C7B">
      <w:pPr>
        <w:pStyle w:val="HChG"/>
        <w:rPr>
          <w:lang w:val="fr-FR"/>
        </w:rPr>
      </w:pPr>
      <w:r>
        <w:rPr>
          <w:lang w:val="fr-FR"/>
        </w:rPr>
        <w:tab/>
      </w:r>
      <w:r>
        <w:rPr>
          <w:lang w:val="fr-FR"/>
        </w:rPr>
        <w:tab/>
        <w:t>Mandat proposé à l’OCDE</w:t>
      </w:r>
    </w:p>
    <w:p w14:paraId="1B93C5CD" w14:textId="77777777" w:rsidR="00DD6E4E" w:rsidRPr="00EB7912" w:rsidRDefault="00DD6E4E" w:rsidP="00340C7B">
      <w:pPr>
        <w:pStyle w:val="SingleTxtG"/>
        <w:keepNext/>
        <w:rPr>
          <w:lang w:val="fr-FR"/>
        </w:rPr>
      </w:pPr>
      <w:r>
        <w:rPr>
          <w:lang w:val="fr-FR"/>
        </w:rPr>
        <w:t>12.</w:t>
      </w:r>
      <w:r>
        <w:rPr>
          <w:lang w:val="fr-FR"/>
        </w:rPr>
        <w:tab/>
        <w:t>Le Sous-Comité d’experts du SGH charge l’OCDE d’examiner les données scientifiques nécessaires à la classification et à l’étiquetage des substances et des mélanges qui présentent des propriétés perturbant le système endocrinien, comme suit :</w:t>
      </w:r>
    </w:p>
    <w:p w14:paraId="0F18165A" w14:textId="77777777" w:rsidR="00DD6E4E" w:rsidRPr="00EB7912" w:rsidRDefault="00DD6E4E" w:rsidP="007D4249">
      <w:pPr>
        <w:pStyle w:val="SingleTxtG"/>
        <w:ind w:firstLine="567"/>
        <w:rPr>
          <w:lang w:val="fr-FR"/>
        </w:rPr>
      </w:pPr>
      <w:r>
        <w:rPr>
          <w:lang w:val="fr-FR"/>
        </w:rPr>
        <w:t>a)</w:t>
      </w:r>
      <w:r>
        <w:rPr>
          <w:lang w:val="fr-FR"/>
        </w:rPr>
        <w:tab/>
        <w:t>Examiner les classes de danger existantes du SGH (cancérogénicité, toxicité pour la reproduction, toxicité pour certains organes cibles, danger pour l’environnement aquatique, etc.) qui peuvent inclure les perturbateurs endocriniens. L’examen devrait :</w:t>
      </w:r>
    </w:p>
    <w:p w14:paraId="2A1E3C1C" w14:textId="77777777" w:rsidR="00DD6E4E" w:rsidRPr="00EB7912" w:rsidRDefault="00DD6E4E" w:rsidP="00340C7B">
      <w:pPr>
        <w:pStyle w:val="SingleTxtG"/>
        <w:ind w:left="1701"/>
        <w:rPr>
          <w:lang w:val="fr-FR"/>
        </w:rPr>
      </w:pPr>
      <w:r>
        <w:rPr>
          <w:lang w:val="fr-FR"/>
        </w:rPr>
        <w:t>i)</w:t>
      </w:r>
      <w:r>
        <w:rPr>
          <w:lang w:val="fr-FR"/>
        </w:rPr>
        <w:tab/>
        <w:t xml:space="preserve">Mettre en évidence toute lacune concernant la possibilité de classer et d’étiqueter de manière adéquate, dans le cadre du SGH, les substances et les mélanges ayant des effets de perturbation endocrinienne chez l’être humain et/ou dans l’environnement ; </w:t>
      </w:r>
    </w:p>
    <w:p w14:paraId="64F4C79A" w14:textId="4B8F8979" w:rsidR="00DD6E4E" w:rsidRPr="00EB7912" w:rsidRDefault="00DD6E4E" w:rsidP="00340C7B">
      <w:pPr>
        <w:pStyle w:val="SingleTxtG"/>
        <w:ind w:left="1701"/>
        <w:rPr>
          <w:lang w:val="fr-FR"/>
        </w:rPr>
      </w:pPr>
      <w:r>
        <w:rPr>
          <w:lang w:val="fr-FR"/>
        </w:rPr>
        <w:t>ii)</w:t>
      </w:r>
      <w:r>
        <w:rPr>
          <w:lang w:val="fr-FR"/>
        </w:rPr>
        <w:tab/>
        <w:t xml:space="preserve">Commencer par les connaissances sur les voies endocriniennes de type œstrogénique, androgénique, </w:t>
      </w:r>
      <w:proofErr w:type="spellStart"/>
      <w:r>
        <w:rPr>
          <w:lang w:val="fr-FR"/>
        </w:rPr>
        <w:t>thyroïdogénique</w:t>
      </w:r>
      <w:proofErr w:type="spellEnd"/>
      <w:r>
        <w:rPr>
          <w:lang w:val="fr-FR"/>
        </w:rPr>
        <w:t xml:space="preserve"> et </w:t>
      </w:r>
      <w:proofErr w:type="spellStart"/>
      <w:r>
        <w:rPr>
          <w:lang w:val="fr-FR"/>
        </w:rPr>
        <w:t>stéroïdogénique</w:t>
      </w:r>
      <w:proofErr w:type="spellEnd"/>
      <w:r>
        <w:rPr>
          <w:lang w:val="fr-FR"/>
        </w:rPr>
        <w:t>, puis envisager d’autres voies endocriniennes pour lesquelles les méthodes et les connaissances scientifiques disponibles ne sont peut-être pas aussi avancées. Pour cette tâche, l’OCDE devrait mettre à profit les connaissances scientifiques disponibles, par exemple le document d’orientation 150 de l’OCDE</w:t>
      </w:r>
      <w:r w:rsidRPr="00F44DC9">
        <w:rPr>
          <w:rStyle w:val="Appelnotedebasdep"/>
        </w:rPr>
        <w:footnoteReference w:id="9"/>
      </w:r>
      <w:r>
        <w:rPr>
          <w:lang w:val="fr-FR"/>
        </w:rPr>
        <w:t xml:space="preserve">, le document OMS/PNUE 2013 « State of the Science of Endocrine </w:t>
      </w:r>
      <w:proofErr w:type="spellStart"/>
      <w:r>
        <w:rPr>
          <w:lang w:val="fr-FR"/>
        </w:rPr>
        <w:t>Disputing</w:t>
      </w:r>
      <w:proofErr w:type="spellEnd"/>
      <w:r>
        <w:rPr>
          <w:lang w:val="fr-FR"/>
        </w:rPr>
        <w:t xml:space="preserve"> Chemicals »</w:t>
      </w:r>
      <w:r w:rsidRPr="00F44DC9">
        <w:rPr>
          <w:rStyle w:val="Appelnotedebasdep"/>
        </w:rPr>
        <w:footnoteReference w:id="10"/>
      </w:r>
      <w:r>
        <w:rPr>
          <w:lang w:val="fr-FR"/>
        </w:rPr>
        <w:t xml:space="preserve"> et le document OMS/PISSC (2002)</w:t>
      </w:r>
      <w:r w:rsidRPr="00F44DC9">
        <w:rPr>
          <w:rStyle w:val="Appelnotedebasdep"/>
        </w:rPr>
        <w:footnoteReference w:id="11"/>
      </w:r>
      <w:r>
        <w:rPr>
          <w:lang w:val="fr-FR"/>
        </w:rPr>
        <w:t>. L’OCDE pourrait également prendre en considération, dans son analyse des lacunes, les systèmes nationaux ou régionaux existants pour l’identification des perturbateurs endocriniens, y compris ceux recensés dans le rapport d’ensemble de 2017 (III)</w:t>
      </w:r>
      <w:r w:rsidRPr="00F44DC9">
        <w:rPr>
          <w:rStyle w:val="Appelnotedebasdep"/>
        </w:rPr>
        <w:footnoteReference w:id="12"/>
      </w:r>
      <w:r>
        <w:rPr>
          <w:lang w:val="fr-FR"/>
        </w:rPr>
        <w:t xml:space="preserve"> publié par le Programme des Nations Unies pour l’environnement (PNUE) ;</w:t>
      </w:r>
    </w:p>
    <w:p w14:paraId="1D9A3916" w14:textId="77777777" w:rsidR="00DD6E4E" w:rsidRPr="00EB7912" w:rsidRDefault="00DD6E4E" w:rsidP="007D4249">
      <w:pPr>
        <w:pStyle w:val="SingleTxtG"/>
        <w:ind w:firstLine="567"/>
        <w:rPr>
          <w:lang w:val="fr-FR"/>
        </w:rPr>
      </w:pPr>
      <w:r>
        <w:rPr>
          <w:lang w:val="fr-FR"/>
        </w:rPr>
        <w:t>b)</w:t>
      </w:r>
      <w:r>
        <w:rPr>
          <w:lang w:val="fr-FR"/>
        </w:rPr>
        <w:tab/>
        <w:t>À la suite de l’examen des lacunes, déterminer si la définition existante des perturbateurs endocriniens retenue par l’OMS/PISSC (2002) est suffisante dans le contexte du SGH et, s’il y a lieu, adresser des recommandations au Sous-Comité SGH en vue d’adapter la définition de 2002 pour pouvoir l’appliquer dans le cadre du SGH ;</w:t>
      </w:r>
    </w:p>
    <w:p w14:paraId="408CC82D" w14:textId="7B96C344" w:rsidR="00DD6E4E" w:rsidRPr="00EB7912" w:rsidRDefault="00DD6E4E" w:rsidP="007D4249">
      <w:pPr>
        <w:pStyle w:val="SingleTxtG"/>
        <w:ind w:firstLine="567"/>
        <w:rPr>
          <w:lang w:val="fr-FR"/>
        </w:rPr>
      </w:pPr>
      <w:r>
        <w:rPr>
          <w:lang w:val="fr-FR"/>
        </w:rPr>
        <w:t>c)</w:t>
      </w:r>
      <w:r>
        <w:rPr>
          <w:lang w:val="fr-FR"/>
        </w:rPr>
        <w:tab/>
        <w:t>Sur la base du rapport de l’OCDE concernant les points a) et b) ci-dessus, le groupe de travail informel envisagera les étapes suivantes conformément à l’alinéa</w:t>
      </w:r>
      <w:r w:rsidR="00340C7B">
        <w:rPr>
          <w:lang w:val="fr-FR"/>
        </w:rPr>
        <w:t> </w:t>
      </w:r>
      <w:r>
        <w:rPr>
          <w:lang w:val="fr-FR"/>
        </w:rPr>
        <w:t>c) du paragraphe</w:t>
      </w:r>
      <w:r w:rsidR="0064346C">
        <w:rPr>
          <w:lang w:val="fr-FR"/>
        </w:rPr>
        <w:t> </w:t>
      </w:r>
      <w:r>
        <w:rPr>
          <w:lang w:val="fr-FR"/>
        </w:rPr>
        <w:t>3 de son mandat (voir le document informel INF.39 (quarante-troisième session)</w:t>
      </w:r>
      <w:r w:rsidR="004861B7">
        <w:rPr>
          <w:lang w:val="fr-FR"/>
        </w:rPr>
        <w:t>)</w:t>
      </w:r>
      <w:r w:rsidRPr="00F44DC9">
        <w:rPr>
          <w:rStyle w:val="Appelnotedebasdep"/>
        </w:rPr>
        <w:footnoteReference w:id="13"/>
      </w:r>
      <w:r>
        <w:rPr>
          <w:lang w:val="fr-FR"/>
        </w:rPr>
        <w:t xml:space="preserve"> et fera des recommandations au Sous-Comité SGH sur la manière de procéder. Celui-ci pourrait alors demander à l’OCDE de combler les lacunes éventuelles ; </w:t>
      </w:r>
    </w:p>
    <w:p w14:paraId="73E82F40" w14:textId="040A83BD" w:rsidR="00DD6E4E" w:rsidRPr="00EB7912" w:rsidRDefault="00DD6E4E" w:rsidP="007D4249">
      <w:pPr>
        <w:pStyle w:val="SingleTxtG"/>
        <w:ind w:firstLine="567"/>
        <w:rPr>
          <w:lang w:val="fr-FR"/>
        </w:rPr>
      </w:pPr>
      <w:r>
        <w:rPr>
          <w:lang w:val="fr-FR"/>
        </w:rPr>
        <w:lastRenderedPageBreak/>
        <w:t>d)</w:t>
      </w:r>
      <w:r>
        <w:rPr>
          <w:lang w:val="fr-FR"/>
        </w:rPr>
        <w:tab/>
        <w:t>Rendre compte au Sous-Comité SGH à chaque session plénière des progrès réalisés dans l’exécution du mandat actuel. Le premier rapport devrait inclure un calendrier provisoire ;</w:t>
      </w:r>
    </w:p>
    <w:p w14:paraId="2D69A057" w14:textId="77777777" w:rsidR="00DD6E4E" w:rsidRDefault="00DD6E4E" w:rsidP="007D4249">
      <w:pPr>
        <w:pStyle w:val="SingleTxtG"/>
        <w:ind w:firstLine="567"/>
        <w:rPr>
          <w:lang w:val="fr-FR"/>
        </w:rPr>
      </w:pPr>
      <w:r>
        <w:rPr>
          <w:lang w:val="fr-FR"/>
        </w:rPr>
        <w:t>e)</w:t>
      </w:r>
      <w:r>
        <w:rPr>
          <w:lang w:val="fr-FR"/>
        </w:rPr>
        <w:tab/>
        <w:t>Collaborer avec le groupe de travail informel en fonction des questions qui se posent et de l’avancement des travaux.</w:t>
      </w:r>
    </w:p>
    <w:p w14:paraId="4838E745" w14:textId="77777777" w:rsidR="00DD6E4E" w:rsidRPr="00EB7912" w:rsidRDefault="00DD6E4E" w:rsidP="007D4249">
      <w:pPr>
        <w:pStyle w:val="HChG"/>
        <w:rPr>
          <w:lang w:val="fr-FR"/>
        </w:rPr>
      </w:pPr>
      <w:r>
        <w:rPr>
          <w:bCs/>
          <w:lang w:val="fr-FR"/>
        </w:rPr>
        <w:tab/>
      </w:r>
      <w:r>
        <w:rPr>
          <w:bCs/>
          <w:lang w:val="fr-FR"/>
        </w:rPr>
        <w:tab/>
        <w:t>Mesures à prendre</w:t>
      </w:r>
    </w:p>
    <w:p w14:paraId="4A0D2EB6" w14:textId="77777777" w:rsidR="00DD6E4E" w:rsidRPr="00EB7912" w:rsidRDefault="00DD6E4E" w:rsidP="00DD6E4E">
      <w:pPr>
        <w:pStyle w:val="SingleTxtG"/>
        <w:rPr>
          <w:lang w:val="fr-FR"/>
        </w:rPr>
      </w:pPr>
      <w:r>
        <w:rPr>
          <w:lang w:val="fr-FR"/>
        </w:rPr>
        <w:t>13.</w:t>
      </w:r>
      <w:r>
        <w:rPr>
          <w:lang w:val="fr-FR"/>
        </w:rPr>
        <w:tab/>
        <w:t>Le Sous-Comité SGH est invité à examiner le mandat proposé pour l’OCDE concernant les perturbateurs endocriniens, tel qu’il est présenté au paragraphe 12.</w:t>
      </w:r>
    </w:p>
    <w:p w14:paraId="44F98D9A" w14:textId="0CFA4411" w:rsidR="00DD6E4E" w:rsidRPr="001162C0" w:rsidRDefault="00DD6E4E" w:rsidP="001162C0">
      <w:pPr>
        <w:spacing w:before="240"/>
        <w:jc w:val="center"/>
        <w:rPr>
          <w:u w:val="single"/>
          <w:lang w:val="fr-FR"/>
        </w:rPr>
      </w:pPr>
      <w:r w:rsidRPr="00EB7912">
        <w:rPr>
          <w:u w:val="single"/>
          <w:lang w:val="fr-FR"/>
        </w:rPr>
        <w:tab/>
      </w:r>
      <w:r w:rsidRPr="00EB7912">
        <w:rPr>
          <w:u w:val="single"/>
          <w:lang w:val="fr-FR"/>
        </w:rPr>
        <w:tab/>
      </w:r>
      <w:r w:rsidRPr="00EB7912">
        <w:rPr>
          <w:u w:val="single"/>
          <w:lang w:val="fr-FR"/>
        </w:rPr>
        <w:tab/>
      </w:r>
    </w:p>
    <w:sectPr w:rsidR="00DD6E4E" w:rsidRPr="001162C0" w:rsidSect="00B81B67">
      <w:headerReference w:type="even" r:id="rId8"/>
      <w:headerReference w:type="default" r:id="rId9"/>
      <w:footerReference w:type="even" r:id="rId10"/>
      <w:footerReference w:type="default" r:id="rId11"/>
      <w:footerReference w:type="first" r:id="rId12"/>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EE12B" w14:textId="77777777" w:rsidR="002E4F47" w:rsidRDefault="002E4F47" w:rsidP="00F95C08">
      <w:pPr>
        <w:spacing w:line="240" w:lineRule="auto"/>
      </w:pPr>
    </w:p>
  </w:endnote>
  <w:endnote w:type="continuationSeparator" w:id="0">
    <w:p w14:paraId="053DCF62" w14:textId="77777777" w:rsidR="002E4F47" w:rsidRPr="00AC3823" w:rsidRDefault="002E4F47" w:rsidP="00AC3823">
      <w:pPr>
        <w:pStyle w:val="Pieddepage"/>
      </w:pPr>
    </w:p>
  </w:endnote>
  <w:endnote w:type="continuationNotice" w:id="1">
    <w:p w14:paraId="35572BB5" w14:textId="77777777" w:rsidR="002E4F47" w:rsidRDefault="002E4F4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61523" w14:textId="65DD3277" w:rsidR="00B81B67" w:rsidRPr="00B81B67" w:rsidRDefault="00B81B67" w:rsidP="00B81B67">
    <w:pPr>
      <w:pStyle w:val="Pieddepage"/>
      <w:tabs>
        <w:tab w:val="right" w:pos="9638"/>
      </w:tabs>
    </w:pPr>
    <w:r w:rsidRPr="00B81B67">
      <w:rPr>
        <w:b/>
        <w:sz w:val="18"/>
      </w:rPr>
      <w:fldChar w:fldCharType="begin"/>
    </w:r>
    <w:r w:rsidRPr="00B81B67">
      <w:rPr>
        <w:b/>
        <w:sz w:val="18"/>
      </w:rPr>
      <w:instrText xml:space="preserve"> PAGE  \* MERGEFORMAT </w:instrText>
    </w:r>
    <w:r w:rsidRPr="00B81B67">
      <w:rPr>
        <w:b/>
        <w:sz w:val="18"/>
      </w:rPr>
      <w:fldChar w:fldCharType="separate"/>
    </w:r>
    <w:r w:rsidRPr="00B81B67">
      <w:rPr>
        <w:b/>
        <w:noProof/>
        <w:sz w:val="18"/>
      </w:rPr>
      <w:t>2</w:t>
    </w:r>
    <w:r w:rsidRPr="00B81B67">
      <w:rPr>
        <w:b/>
        <w:sz w:val="18"/>
      </w:rPr>
      <w:fldChar w:fldCharType="end"/>
    </w:r>
    <w:r>
      <w:rPr>
        <w:b/>
        <w:sz w:val="18"/>
      </w:rPr>
      <w:tab/>
    </w:r>
    <w:r>
      <w:t>GE.23-07968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D4B9C" w14:textId="1501E506" w:rsidR="00B81B67" w:rsidRPr="00B81B67" w:rsidRDefault="00B81B67" w:rsidP="00B81B67">
    <w:pPr>
      <w:pStyle w:val="Pieddepage"/>
      <w:tabs>
        <w:tab w:val="right" w:pos="9638"/>
      </w:tabs>
      <w:rPr>
        <w:b/>
        <w:sz w:val="18"/>
      </w:rPr>
    </w:pPr>
    <w:r>
      <w:t>GE.23-07968</w:t>
    </w:r>
    <w:r>
      <w:tab/>
    </w:r>
    <w:r w:rsidRPr="00B81B67">
      <w:rPr>
        <w:b/>
        <w:sz w:val="18"/>
      </w:rPr>
      <w:fldChar w:fldCharType="begin"/>
    </w:r>
    <w:r w:rsidRPr="00B81B67">
      <w:rPr>
        <w:b/>
        <w:sz w:val="18"/>
      </w:rPr>
      <w:instrText xml:space="preserve"> PAGE  \* MERGEFORMAT </w:instrText>
    </w:r>
    <w:r w:rsidRPr="00B81B67">
      <w:rPr>
        <w:b/>
        <w:sz w:val="18"/>
      </w:rPr>
      <w:fldChar w:fldCharType="separate"/>
    </w:r>
    <w:r w:rsidRPr="00B81B67">
      <w:rPr>
        <w:b/>
        <w:noProof/>
        <w:sz w:val="18"/>
      </w:rPr>
      <w:t>3</w:t>
    </w:r>
    <w:r w:rsidRPr="00B81B67">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C9F10" w14:textId="2CF29AC1" w:rsidR="0068456F" w:rsidRPr="00B81B67" w:rsidRDefault="00B81B67" w:rsidP="00B81B67">
    <w:pPr>
      <w:pStyle w:val="Pieddepage"/>
      <w:spacing w:before="120"/>
      <w:rPr>
        <w:sz w:val="20"/>
      </w:rPr>
    </w:pPr>
    <w:r>
      <w:rPr>
        <w:sz w:val="20"/>
      </w:rPr>
      <w:t>GE.</w:t>
    </w:r>
    <w:r w:rsidR="0068456F">
      <w:rPr>
        <w:noProof/>
        <w:lang w:eastAsia="fr-CH"/>
      </w:rPr>
      <w:drawing>
        <wp:anchor distT="0" distB="0" distL="114300" distR="114300" simplePos="0" relativeHeight="251659264" behindDoc="0" locked="0" layoutInCell="1" allowOverlap="0" wp14:anchorId="6FA41DF3" wp14:editId="41C52A73">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23-07968  (F)</w:t>
    </w:r>
    <w:r>
      <w:rPr>
        <w:noProof/>
        <w:sz w:val="20"/>
      </w:rPr>
      <w:drawing>
        <wp:anchor distT="0" distB="0" distL="114300" distR="114300" simplePos="0" relativeHeight="251660288" behindDoc="0" locked="0" layoutInCell="1" allowOverlap="1" wp14:anchorId="6F36C6A2" wp14:editId="4677BB1E">
          <wp:simplePos x="0" y="0"/>
          <wp:positionH relativeFrom="margin">
            <wp:posOffset>5489575</wp:posOffset>
          </wp:positionH>
          <wp:positionV relativeFrom="margin">
            <wp:posOffset>8891905</wp:posOffset>
          </wp:positionV>
          <wp:extent cx="638175" cy="638175"/>
          <wp:effectExtent l="0" t="0" r="9525" b="9525"/>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090523    090523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C32AA" w14:textId="77777777" w:rsidR="002E4F47" w:rsidRPr="00AC3823" w:rsidRDefault="002E4F47" w:rsidP="00AC3823">
      <w:pPr>
        <w:pStyle w:val="Pieddepage"/>
        <w:tabs>
          <w:tab w:val="right" w:pos="2155"/>
        </w:tabs>
        <w:spacing w:after="80" w:line="240" w:lineRule="atLeast"/>
        <w:ind w:left="680"/>
        <w:rPr>
          <w:u w:val="single"/>
        </w:rPr>
      </w:pPr>
      <w:r>
        <w:rPr>
          <w:u w:val="single"/>
        </w:rPr>
        <w:tab/>
      </w:r>
    </w:p>
  </w:footnote>
  <w:footnote w:type="continuationSeparator" w:id="0">
    <w:p w14:paraId="3FA12C39" w14:textId="77777777" w:rsidR="002E4F47" w:rsidRPr="00AC3823" w:rsidRDefault="002E4F47" w:rsidP="00AC3823">
      <w:pPr>
        <w:pStyle w:val="Pieddepage"/>
        <w:tabs>
          <w:tab w:val="right" w:pos="2155"/>
        </w:tabs>
        <w:spacing w:after="80" w:line="240" w:lineRule="atLeast"/>
        <w:ind w:left="680"/>
        <w:rPr>
          <w:u w:val="single"/>
        </w:rPr>
      </w:pPr>
      <w:r>
        <w:rPr>
          <w:u w:val="single"/>
        </w:rPr>
        <w:tab/>
      </w:r>
    </w:p>
  </w:footnote>
  <w:footnote w:type="continuationNotice" w:id="1">
    <w:p w14:paraId="65EEEAB8" w14:textId="77777777" w:rsidR="002E4F47" w:rsidRPr="00AC3823" w:rsidRDefault="002E4F47">
      <w:pPr>
        <w:spacing w:line="240" w:lineRule="auto"/>
        <w:rPr>
          <w:sz w:val="2"/>
          <w:szCs w:val="2"/>
        </w:rPr>
      </w:pPr>
    </w:p>
  </w:footnote>
  <w:footnote w:id="2">
    <w:p w14:paraId="67F0C44D" w14:textId="77777777" w:rsidR="00DD6E4E" w:rsidRPr="00EB7912" w:rsidRDefault="00DD6E4E" w:rsidP="00DD6E4E">
      <w:pPr>
        <w:pStyle w:val="Notedebasdepage"/>
        <w:rPr>
          <w:lang w:val="fr-FR"/>
        </w:rPr>
      </w:pPr>
      <w:r>
        <w:rPr>
          <w:lang w:val="fr-FR"/>
        </w:rPr>
        <w:tab/>
      </w:r>
      <w:r w:rsidRPr="00896E63">
        <w:rPr>
          <w:sz w:val="20"/>
          <w:lang w:val="fr-FR"/>
        </w:rPr>
        <w:t>*</w:t>
      </w:r>
      <w:r>
        <w:rPr>
          <w:lang w:val="fr-FR"/>
        </w:rPr>
        <w:tab/>
        <w:t>A/77/6 (Sect. 20), tableau 20.6.</w:t>
      </w:r>
    </w:p>
  </w:footnote>
  <w:footnote w:id="3">
    <w:p w14:paraId="1AA7A8AC" w14:textId="241EF381" w:rsidR="00DD6E4E" w:rsidRPr="00EB7912" w:rsidRDefault="00DD6E4E" w:rsidP="00DD6E4E">
      <w:pPr>
        <w:pStyle w:val="Notedebasdepage"/>
        <w:rPr>
          <w:lang w:val="fr-FR"/>
        </w:rPr>
      </w:pPr>
      <w:r>
        <w:rPr>
          <w:lang w:val="fr-FR"/>
        </w:rPr>
        <w:tab/>
      </w:r>
      <w:r w:rsidRPr="00F44DC9">
        <w:rPr>
          <w:rStyle w:val="Appelnotedebasdep"/>
        </w:rPr>
        <w:footnoteRef/>
      </w:r>
      <w:r>
        <w:rPr>
          <w:lang w:val="fr-FR"/>
        </w:rPr>
        <w:tab/>
        <w:t>Rapport du Sous-Comité d'experts du Système général harmonisé de classification et d'étiquetage des produits chimiques sur sa quarante-troisième session (</w:t>
      </w:r>
      <w:r w:rsidRPr="00A71676">
        <w:rPr>
          <w:lang w:val="fr-FR"/>
        </w:rPr>
        <w:t>ST/SG/</w:t>
      </w:r>
      <w:r w:rsidRPr="00A71676">
        <w:rPr>
          <w:lang w:val="fr-FR"/>
        </w:rPr>
        <w:t>A</w:t>
      </w:r>
      <w:r w:rsidRPr="00A71676">
        <w:rPr>
          <w:lang w:val="fr-FR"/>
        </w:rPr>
        <w:t>C.10/C.4/86</w:t>
      </w:r>
      <w:r>
        <w:rPr>
          <w:lang w:val="fr-FR"/>
        </w:rPr>
        <w:t>, par.53)</w:t>
      </w:r>
      <w:r w:rsidR="00896E63">
        <w:rPr>
          <w:lang w:val="fr-FR"/>
        </w:rPr>
        <w:t>.</w:t>
      </w:r>
    </w:p>
  </w:footnote>
  <w:footnote w:id="4">
    <w:p w14:paraId="2CFE9B23" w14:textId="17FDC53D" w:rsidR="00DD6E4E" w:rsidRPr="00EB7912" w:rsidRDefault="00DD6E4E" w:rsidP="00DD6E4E">
      <w:pPr>
        <w:pStyle w:val="Notedebasdepage"/>
        <w:rPr>
          <w:lang w:val="fr-FR"/>
        </w:rPr>
      </w:pPr>
      <w:r>
        <w:rPr>
          <w:lang w:val="fr-FR"/>
        </w:rPr>
        <w:tab/>
      </w:r>
      <w:r w:rsidRPr="00F44DC9">
        <w:rPr>
          <w:rStyle w:val="Appelnotedebasdep"/>
        </w:rPr>
        <w:footnoteRef/>
      </w:r>
      <w:r>
        <w:rPr>
          <w:lang w:val="fr-FR"/>
        </w:rPr>
        <w:tab/>
        <w:t xml:space="preserve">Additif au document ST/SG/AC.10/C.4/2022/18 </w:t>
      </w:r>
      <w:r w:rsidR="00896E63">
        <w:rPr>
          <w:lang w:val="fr-FR"/>
        </w:rPr>
        <w:t>−</w:t>
      </w:r>
      <w:r>
        <w:rPr>
          <w:lang w:val="fr-FR"/>
        </w:rPr>
        <w:t xml:space="preserve"> classes de danger qui ne sont pas encore prises en compte</w:t>
      </w:r>
      <w:r w:rsidR="00896E63">
        <w:rPr>
          <w:lang w:val="fr-FR"/>
        </w:rPr>
        <w:t> :</w:t>
      </w:r>
      <w:r>
        <w:rPr>
          <w:lang w:val="fr-FR"/>
        </w:rPr>
        <w:t xml:space="preserve"> mise à jour du mandat et du plan de travail</w:t>
      </w:r>
      <w:r w:rsidR="00896E63">
        <w:rPr>
          <w:lang w:val="fr-FR"/>
        </w:rPr>
        <w:t>.</w:t>
      </w:r>
    </w:p>
  </w:footnote>
  <w:footnote w:id="5">
    <w:p w14:paraId="3E926096" w14:textId="015F26FD" w:rsidR="00DD6E4E" w:rsidRPr="00EB7912" w:rsidRDefault="00DD6E4E" w:rsidP="00DD6E4E">
      <w:pPr>
        <w:pStyle w:val="Notedebasdepage"/>
        <w:rPr>
          <w:lang w:val="fr-FR"/>
        </w:rPr>
      </w:pPr>
      <w:r>
        <w:rPr>
          <w:lang w:val="fr-FR"/>
        </w:rPr>
        <w:tab/>
      </w:r>
      <w:r w:rsidRPr="00F44DC9">
        <w:rPr>
          <w:rStyle w:val="Appelnotedebasdep"/>
        </w:rPr>
        <w:footnoteRef/>
      </w:r>
      <w:r>
        <w:rPr>
          <w:lang w:val="fr-FR"/>
        </w:rPr>
        <w:tab/>
        <w:t>Proposition d’ajout, dans le programme de travail de la période biennale 2023-2024, de la question des classes de danger qui ne sont pas encore prises en compte dans le SGH</w:t>
      </w:r>
      <w:r w:rsidR="00896E63">
        <w:rPr>
          <w:lang w:val="fr-FR"/>
        </w:rPr>
        <w:t>.</w:t>
      </w:r>
    </w:p>
  </w:footnote>
  <w:footnote w:id="6">
    <w:p w14:paraId="1090304A" w14:textId="77777777" w:rsidR="00DD6E4E" w:rsidRPr="00EB7912" w:rsidRDefault="00DD6E4E" w:rsidP="00DD6E4E">
      <w:pPr>
        <w:pStyle w:val="Notedebasdepage"/>
        <w:rPr>
          <w:lang w:val="fr-FR"/>
        </w:rPr>
      </w:pPr>
      <w:r>
        <w:rPr>
          <w:lang w:val="fr-FR"/>
        </w:rPr>
        <w:tab/>
      </w:r>
      <w:r w:rsidRPr="00F44DC9">
        <w:rPr>
          <w:rStyle w:val="Appelnotedebasdep"/>
        </w:rPr>
        <w:footnoteRef/>
      </w:r>
      <w:r>
        <w:rPr>
          <w:lang w:val="fr-FR"/>
        </w:rPr>
        <w:t xml:space="preserve"> </w:t>
      </w:r>
      <w:r>
        <w:rPr>
          <w:lang w:val="fr-FR"/>
        </w:rPr>
        <w:tab/>
        <w:t>Voir le document informel INF.39 (quarante-troisième session), par. 4.</w:t>
      </w:r>
    </w:p>
  </w:footnote>
  <w:footnote w:id="7">
    <w:p w14:paraId="0699398A" w14:textId="5D0B0404" w:rsidR="00DD6E4E" w:rsidRPr="00EB7912" w:rsidRDefault="00DD6E4E" w:rsidP="00DD6E4E">
      <w:pPr>
        <w:pStyle w:val="Notedebasdepage"/>
        <w:rPr>
          <w:lang w:val="fr-FR"/>
        </w:rPr>
      </w:pPr>
      <w:r>
        <w:rPr>
          <w:lang w:val="fr-FR"/>
        </w:rPr>
        <w:tab/>
      </w:r>
      <w:r w:rsidRPr="00F44DC9">
        <w:rPr>
          <w:rStyle w:val="Appelnotedebasdep"/>
        </w:rPr>
        <w:footnoteRef/>
      </w:r>
      <w:r w:rsidRPr="00EB7912">
        <w:rPr>
          <w:lang w:val="en-US"/>
        </w:rPr>
        <w:t xml:space="preserve"> </w:t>
      </w:r>
      <w:r w:rsidRPr="00EB7912">
        <w:rPr>
          <w:lang w:val="en-US"/>
        </w:rPr>
        <w:tab/>
        <w:t>OMS/PNUE, 2013. State of the Science of Endocrine Disputing Chemicals</w:t>
      </w:r>
      <w:r w:rsidR="00572E5D">
        <w:rPr>
          <w:lang w:val="en-US"/>
        </w:rPr>
        <w:t> </w:t>
      </w:r>
      <w:r w:rsidRPr="00EB7912">
        <w:rPr>
          <w:lang w:val="en-US"/>
        </w:rPr>
        <w:t xml:space="preserve">; Vandenberg, L. N. et Turgeon, J. L., 2021. </w:t>
      </w:r>
      <w:r>
        <w:rPr>
          <w:lang w:val="fr-FR"/>
        </w:rPr>
        <w:t>Endocrine-</w:t>
      </w:r>
      <w:proofErr w:type="spellStart"/>
      <w:r>
        <w:rPr>
          <w:lang w:val="fr-FR"/>
        </w:rPr>
        <w:t>Disrupting</w:t>
      </w:r>
      <w:proofErr w:type="spellEnd"/>
      <w:r>
        <w:rPr>
          <w:lang w:val="fr-FR"/>
        </w:rPr>
        <w:t xml:space="preserve"> Chemicals. </w:t>
      </w:r>
      <w:proofErr w:type="spellStart"/>
      <w:r>
        <w:rPr>
          <w:lang w:val="fr-FR"/>
        </w:rPr>
        <w:t>Advances</w:t>
      </w:r>
      <w:proofErr w:type="spellEnd"/>
      <w:r>
        <w:rPr>
          <w:lang w:val="fr-FR"/>
        </w:rPr>
        <w:t xml:space="preserve"> in </w:t>
      </w:r>
      <w:proofErr w:type="spellStart"/>
      <w:r>
        <w:rPr>
          <w:lang w:val="fr-FR"/>
        </w:rPr>
        <w:t>Pharmacology</w:t>
      </w:r>
      <w:proofErr w:type="spellEnd"/>
      <w:r>
        <w:rPr>
          <w:lang w:val="fr-FR"/>
        </w:rPr>
        <w:t>, 92.</w:t>
      </w:r>
    </w:p>
  </w:footnote>
  <w:footnote w:id="8">
    <w:p w14:paraId="3F410E84" w14:textId="4F8C3F90" w:rsidR="00DD6E4E" w:rsidRPr="00EB7912" w:rsidRDefault="00DD6E4E" w:rsidP="00DD6E4E">
      <w:pPr>
        <w:pStyle w:val="Notedebasdepage"/>
        <w:rPr>
          <w:rFonts w:ascii="Verdana" w:hAnsi="Verdana"/>
          <w:lang w:val="fr-FR"/>
        </w:rPr>
      </w:pPr>
      <w:r>
        <w:rPr>
          <w:lang w:val="fr-FR"/>
        </w:rPr>
        <w:tab/>
      </w:r>
      <w:r w:rsidRPr="00F44DC9">
        <w:rPr>
          <w:rStyle w:val="Appelnotedebasdep"/>
        </w:rPr>
        <w:footnoteRef/>
      </w:r>
      <w:r>
        <w:rPr>
          <w:lang w:val="fr-FR"/>
        </w:rPr>
        <w:t xml:space="preserve"> </w:t>
      </w:r>
      <w:r>
        <w:rPr>
          <w:lang w:val="fr-FR"/>
        </w:rPr>
        <w:tab/>
      </w:r>
      <w:hyperlink r:id="rId1" w:history="1">
        <w:r w:rsidR="00244650" w:rsidRPr="00A13CE8">
          <w:rPr>
            <w:rStyle w:val="Lienhypertexte"/>
            <w:lang w:val="fr-FR"/>
          </w:rPr>
          <w:t>https://www.who.int/ipcs/publications/new_issues/e</w:t>
        </w:r>
        <w:r w:rsidR="00244650" w:rsidRPr="00A13CE8">
          <w:rPr>
            <w:rStyle w:val="Lienhypertexte"/>
            <w:lang w:val="fr-FR"/>
          </w:rPr>
          <w:t>n</w:t>
        </w:r>
        <w:r w:rsidR="00244650" w:rsidRPr="00A13CE8">
          <w:rPr>
            <w:rStyle w:val="Lienhypertexte"/>
            <w:lang w:val="fr-FR"/>
          </w:rPr>
          <w:t>docrine_disruptors</w:t>
        </w:r>
      </w:hyperlink>
      <w:r w:rsidR="00D92CFA">
        <w:rPr>
          <w:lang w:val="fr-FR"/>
        </w:rPr>
        <w:t> </w:t>
      </w:r>
      <w:r>
        <w:rPr>
          <w:lang w:val="fr-FR"/>
        </w:rPr>
        <w:t>: « </w:t>
      </w:r>
      <w:r>
        <w:rPr>
          <w:i/>
          <w:iCs/>
          <w:lang w:val="fr-FR"/>
        </w:rPr>
        <w:t>substance ou mélange exogène qui altère les fonctions du système endocrinien et de ce fait induit des effets néfastes dans un organisme intact, chez sa progéniture ou au sein de (sous)</w:t>
      </w:r>
      <w:r w:rsidR="00D92CFA">
        <w:rPr>
          <w:i/>
          <w:iCs/>
          <w:lang w:val="fr-FR"/>
        </w:rPr>
        <w:t xml:space="preserve"> −</w:t>
      </w:r>
      <w:r>
        <w:rPr>
          <w:i/>
          <w:iCs/>
          <w:lang w:val="fr-FR"/>
        </w:rPr>
        <w:t xml:space="preserve"> populations »</w:t>
      </w:r>
      <w:r>
        <w:rPr>
          <w:lang w:val="fr-FR"/>
        </w:rPr>
        <w:t>.</w:t>
      </w:r>
    </w:p>
  </w:footnote>
  <w:footnote w:id="9">
    <w:p w14:paraId="3DD6BE50" w14:textId="1E1E1B50" w:rsidR="00DD6E4E" w:rsidRPr="00DD6E4E" w:rsidRDefault="00DD6E4E" w:rsidP="00DD6E4E">
      <w:pPr>
        <w:pStyle w:val="Notedebasdepage"/>
        <w:rPr>
          <w:lang w:val="en-US"/>
        </w:rPr>
      </w:pPr>
      <w:r>
        <w:rPr>
          <w:lang w:val="fr-FR"/>
        </w:rPr>
        <w:tab/>
      </w:r>
      <w:r w:rsidRPr="00F44DC9">
        <w:rPr>
          <w:rStyle w:val="Appelnotedebasdep"/>
        </w:rPr>
        <w:footnoteRef/>
      </w:r>
      <w:r w:rsidRPr="00EB7912">
        <w:rPr>
          <w:lang w:val="en-US"/>
        </w:rPr>
        <w:t xml:space="preserve"> </w:t>
      </w:r>
      <w:r w:rsidRPr="00EB7912">
        <w:rPr>
          <w:lang w:val="en-US"/>
        </w:rPr>
        <w:tab/>
        <w:t xml:space="preserve">OCDE, 2018. Revised Guidance Document 150 on </w:t>
      </w:r>
      <w:proofErr w:type="spellStart"/>
      <w:r w:rsidRPr="00EB7912">
        <w:rPr>
          <w:lang w:val="en-US"/>
        </w:rPr>
        <w:t>Standardised</w:t>
      </w:r>
      <w:proofErr w:type="spellEnd"/>
      <w:r w:rsidRPr="00EB7912">
        <w:rPr>
          <w:lang w:val="en-US"/>
        </w:rPr>
        <w:t xml:space="preserve"> Test Guidelines for Evaluating Chemicals for Endocrine Disruption</w:t>
      </w:r>
      <w:r w:rsidR="00244650">
        <w:rPr>
          <w:lang w:val="en-US"/>
        </w:rPr>
        <w:t>.</w:t>
      </w:r>
    </w:p>
  </w:footnote>
  <w:footnote w:id="10">
    <w:p w14:paraId="724FCD2A" w14:textId="718889DF" w:rsidR="00DD6E4E" w:rsidRPr="00DD6E4E" w:rsidRDefault="00DD6E4E" w:rsidP="00DD6E4E">
      <w:pPr>
        <w:pStyle w:val="Notedebasdepage"/>
        <w:rPr>
          <w:lang w:val="en-US"/>
        </w:rPr>
      </w:pPr>
      <w:r w:rsidRPr="00EB7912">
        <w:rPr>
          <w:lang w:val="en-US"/>
        </w:rPr>
        <w:tab/>
      </w:r>
      <w:r w:rsidRPr="00F44DC9">
        <w:rPr>
          <w:rStyle w:val="Appelnotedebasdep"/>
        </w:rPr>
        <w:footnoteRef/>
      </w:r>
      <w:r w:rsidRPr="00EB7912">
        <w:rPr>
          <w:lang w:val="en-US"/>
        </w:rPr>
        <w:t xml:space="preserve"> </w:t>
      </w:r>
      <w:r w:rsidRPr="00EB7912">
        <w:rPr>
          <w:lang w:val="en-US"/>
        </w:rPr>
        <w:tab/>
        <w:t>OMS/PNUE, 2013. State of the Science of Endocrine Disputing Chemicals</w:t>
      </w:r>
      <w:r w:rsidR="00244650">
        <w:rPr>
          <w:lang w:val="en-US"/>
        </w:rPr>
        <w:t>.</w:t>
      </w:r>
    </w:p>
  </w:footnote>
  <w:footnote w:id="11">
    <w:p w14:paraId="7A7EB6BF" w14:textId="54663EEA" w:rsidR="00DD6E4E" w:rsidRPr="00DD6E4E" w:rsidRDefault="00DD6E4E" w:rsidP="00DD6E4E">
      <w:pPr>
        <w:pStyle w:val="Notedebasdepage"/>
        <w:rPr>
          <w:lang w:val="en-US"/>
        </w:rPr>
      </w:pPr>
      <w:r w:rsidRPr="00EB7912">
        <w:rPr>
          <w:lang w:val="en-US"/>
        </w:rPr>
        <w:tab/>
      </w:r>
      <w:r w:rsidRPr="00F44DC9">
        <w:rPr>
          <w:rStyle w:val="Appelnotedebasdep"/>
        </w:rPr>
        <w:footnoteRef/>
      </w:r>
      <w:r w:rsidRPr="00EB7912">
        <w:rPr>
          <w:lang w:val="en-US"/>
        </w:rPr>
        <w:t xml:space="preserve"> </w:t>
      </w:r>
      <w:r w:rsidRPr="00EB7912">
        <w:rPr>
          <w:lang w:val="en-US"/>
        </w:rPr>
        <w:tab/>
        <w:t>OMS/PISSC, 2002. Global assessment on the state of the science of endocrine disruptors</w:t>
      </w:r>
      <w:r w:rsidR="00244650">
        <w:rPr>
          <w:lang w:val="en-US"/>
        </w:rPr>
        <w:t>.</w:t>
      </w:r>
    </w:p>
  </w:footnote>
  <w:footnote w:id="12">
    <w:p w14:paraId="6A35AC34" w14:textId="5C30D1C1" w:rsidR="00DD6E4E" w:rsidRPr="00DD6E4E" w:rsidRDefault="00DD6E4E" w:rsidP="00DD6E4E">
      <w:pPr>
        <w:pStyle w:val="Notedebasdepage"/>
        <w:rPr>
          <w:lang w:val="en-US"/>
        </w:rPr>
      </w:pPr>
      <w:r w:rsidRPr="00EB7912">
        <w:rPr>
          <w:lang w:val="en-US"/>
        </w:rPr>
        <w:tab/>
      </w:r>
      <w:r w:rsidRPr="00F44DC9">
        <w:rPr>
          <w:rStyle w:val="Appelnotedebasdep"/>
        </w:rPr>
        <w:footnoteRef/>
      </w:r>
      <w:r w:rsidRPr="00EB7912">
        <w:rPr>
          <w:lang w:val="en-US"/>
        </w:rPr>
        <w:t xml:space="preserve"> </w:t>
      </w:r>
      <w:r w:rsidRPr="00EB7912">
        <w:rPr>
          <w:lang w:val="en-US"/>
        </w:rPr>
        <w:tab/>
      </w:r>
      <w:hyperlink r:id="rId2" w:history="1">
        <w:r w:rsidRPr="00244650">
          <w:rPr>
            <w:rStyle w:val="Lienhypertexte"/>
            <w:lang w:val="en-US"/>
          </w:rPr>
          <w:t>https://wedocs.unep.org/bitstream/handle/20.500.11822/25636/edc_report3.pdf</w:t>
        </w:r>
      </w:hyperlink>
      <w:r w:rsidR="00244650">
        <w:rPr>
          <w:lang w:val="en-US"/>
        </w:rPr>
        <w:t>.</w:t>
      </w:r>
    </w:p>
  </w:footnote>
  <w:footnote w:id="13">
    <w:p w14:paraId="281C399C" w14:textId="67160FBA" w:rsidR="00DD6E4E" w:rsidRPr="00DD6E4E" w:rsidRDefault="00DD6E4E" w:rsidP="00DD6E4E">
      <w:pPr>
        <w:pStyle w:val="Notedebasdepage"/>
        <w:rPr>
          <w:lang w:val="en-US"/>
        </w:rPr>
      </w:pPr>
      <w:r w:rsidRPr="00EB7912">
        <w:rPr>
          <w:lang w:val="en-US"/>
        </w:rPr>
        <w:tab/>
      </w:r>
      <w:r w:rsidRPr="00F44DC9">
        <w:rPr>
          <w:rStyle w:val="Appelnotedebasdep"/>
        </w:rPr>
        <w:footnoteRef/>
      </w:r>
      <w:r w:rsidRPr="00EB7912">
        <w:rPr>
          <w:lang w:val="en-US"/>
        </w:rPr>
        <w:t xml:space="preserve"> </w:t>
      </w:r>
      <w:r w:rsidRPr="00EB7912">
        <w:rPr>
          <w:lang w:val="en-US"/>
        </w:rPr>
        <w:tab/>
      </w:r>
      <w:hyperlink r:id="rId3" w:history="1">
        <w:r w:rsidRPr="00244650">
          <w:rPr>
            <w:rStyle w:val="Lienhypertexte"/>
            <w:lang w:val="en-US"/>
          </w:rPr>
          <w:t>https://unece.org/sites/default/files/2022-12/ST-SG-AC10-C4-86e_0.pdf</w:t>
        </w:r>
      </w:hyperlink>
      <w:r w:rsidR="00244650">
        <w:rPr>
          <w:lang w:val="en-US"/>
        </w:rPr>
        <w:t>.</w:t>
      </w:r>
      <w:r w:rsidRPr="00EB7912">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E994D" w14:textId="4109302A" w:rsidR="00B81B67" w:rsidRPr="00B81B67" w:rsidRDefault="00B81B67">
    <w:pPr>
      <w:pStyle w:val="En-tte"/>
    </w:pPr>
    <w:fldSimple w:instr=" TITLE  \* MERGEFORMAT ">
      <w:r w:rsidR="00D153FA">
        <w:t>ST/SG/AC.10/C.4/2023/6</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321D5" w14:textId="6F5DC672" w:rsidR="00B81B67" w:rsidRPr="00B81B67" w:rsidRDefault="00B81B67" w:rsidP="00B81B67">
    <w:pPr>
      <w:pStyle w:val="En-tte"/>
      <w:jc w:val="right"/>
    </w:pPr>
    <w:fldSimple w:instr=" TITLE  \* MERGEFORMAT ">
      <w:r w:rsidR="00D153FA">
        <w:t>ST/SG/AC.10/C.4/2023/6</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274CD73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981AAA34"/>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68AD07B2"/>
    <w:multiLevelType w:val="hybridMultilevel"/>
    <w:tmpl w:val="FE2C9A28"/>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16cid:durableId="874852151">
    <w:abstractNumId w:val="12"/>
  </w:num>
  <w:num w:numId="2" w16cid:durableId="1815563738">
    <w:abstractNumId w:val="11"/>
  </w:num>
  <w:num w:numId="3" w16cid:durableId="1154486457">
    <w:abstractNumId w:val="10"/>
  </w:num>
  <w:num w:numId="4" w16cid:durableId="2032609493">
    <w:abstractNumId w:val="8"/>
  </w:num>
  <w:num w:numId="5" w16cid:durableId="134376852">
    <w:abstractNumId w:val="3"/>
  </w:num>
  <w:num w:numId="6" w16cid:durableId="503977042">
    <w:abstractNumId w:val="2"/>
  </w:num>
  <w:num w:numId="7" w16cid:durableId="536047399">
    <w:abstractNumId w:val="1"/>
  </w:num>
  <w:num w:numId="8" w16cid:durableId="1481001278">
    <w:abstractNumId w:val="0"/>
  </w:num>
  <w:num w:numId="9" w16cid:durableId="1096050484">
    <w:abstractNumId w:val="9"/>
  </w:num>
  <w:num w:numId="10" w16cid:durableId="1113213226">
    <w:abstractNumId w:val="7"/>
  </w:num>
  <w:num w:numId="11" w16cid:durableId="1874266729">
    <w:abstractNumId w:val="6"/>
  </w:num>
  <w:num w:numId="12" w16cid:durableId="26295816">
    <w:abstractNumId w:val="5"/>
  </w:num>
  <w:num w:numId="13" w16cid:durableId="1181817610">
    <w:abstractNumId w:val="4"/>
  </w:num>
  <w:num w:numId="14" w16cid:durableId="341468035">
    <w:abstractNumId w:val="12"/>
  </w:num>
  <w:num w:numId="15" w16cid:durableId="1047947687">
    <w:abstractNumId w:val="11"/>
  </w:num>
  <w:num w:numId="16" w16cid:durableId="9257284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F47"/>
    <w:rsid w:val="00017F94"/>
    <w:rsid w:val="00023842"/>
    <w:rsid w:val="000305D3"/>
    <w:rsid w:val="000334F9"/>
    <w:rsid w:val="0007796D"/>
    <w:rsid w:val="000B7790"/>
    <w:rsid w:val="000E4234"/>
    <w:rsid w:val="000F134B"/>
    <w:rsid w:val="00111F2F"/>
    <w:rsid w:val="001162C0"/>
    <w:rsid w:val="00132EA9"/>
    <w:rsid w:val="0014365E"/>
    <w:rsid w:val="00172E49"/>
    <w:rsid w:val="00176178"/>
    <w:rsid w:val="001F525A"/>
    <w:rsid w:val="00223272"/>
    <w:rsid w:val="00244650"/>
    <w:rsid w:val="0024779E"/>
    <w:rsid w:val="00283190"/>
    <w:rsid w:val="002832AC"/>
    <w:rsid w:val="002D7C93"/>
    <w:rsid w:val="002E4F47"/>
    <w:rsid w:val="00340C7B"/>
    <w:rsid w:val="00441C3B"/>
    <w:rsid w:val="00446FE5"/>
    <w:rsid w:val="00452396"/>
    <w:rsid w:val="004861B7"/>
    <w:rsid w:val="00496256"/>
    <w:rsid w:val="004E468C"/>
    <w:rsid w:val="005505B7"/>
    <w:rsid w:val="00572E5D"/>
    <w:rsid w:val="00573BE5"/>
    <w:rsid w:val="00584DC4"/>
    <w:rsid w:val="00586ED3"/>
    <w:rsid w:val="00596AA9"/>
    <w:rsid w:val="005E07C8"/>
    <w:rsid w:val="0064346C"/>
    <w:rsid w:val="0068456F"/>
    <w:rsid w:val="0071601D"/>
    <w:rsid w:val="00726859"/>
    <w:rsid w:val="0074562F"/>
    <w:rsid w:val="007A62E6"/>
    <w:rsid w:val="007D4249"/>
    <w:rsid w:val="0080684C"/>
    <w:rsid w:val="008123E0"/>
    <w:rsid w:val="00871C75"/>
    <w:rsid w:val="008776DC"/>
    <w:rsid w:val="00896E63"/>
    <w:rsid w:val="008B40CD"/>
    <w:rsid w:val="008C603E"/>
    <w:rsid w:val="00936851"/>
    <w:rsid w:val="009705C8"/>
    <w:rsid w:val="009C1CF4"/>
    <w:rsid w:val="009C3FAE"/>
    <w:rsid w:val="00A30353"/>
    <w:rsid w:val="00A71676"/>
    <w:rsid w:val="00A81281"/>
    <w:rsid w:val="00AC3823"/>
    <w:rsid w:val="00AE323C"/>
    <w:rsid w:val="00B00181"/>
    <w:rsid w:val="00B00B0D"/>
    <w:rsid w:val="00B765F7"/>
    <w:rsid w:val="00B81B67"/>
    <w:rsid w:val="00BA0CA9"/>
    <w:rsid w:val="00C02897"/>
    <w:rsid w:val="00C8327F"/>
    <w:rsid w:val="00CC2478"/>
    <w:rsid w:val="00D153FA"/>
    <w:rsid w:val="00D3439C"/>
    <w:rsid w:val="00D92CFA"/>
    <w:rsid w:val="00DB1831"/>
    <w:rsid w:val="00DD3BFD"/>
    <w:rsid w:val="00DD6E4E"/>
    <w:rsid w:val="00DF6678"/>
    <w:rsid w:val="00EF2E22"/>
    <w:rsid w:val="00F01738"/>
    <w:rsid w:val="00F660DF"/>
    <w:rsid w:val="00F730C8"/>
    <w:rsid w:val="00F95C08"/>
    <w:rsid w:val="00FC2777"/>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E776FA"/>
  <w15:docId w15:val="{8749356F-5C9B-4DE7-AED5-CAC6402D6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DC4"/>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Titre1">
    <w:name w:val="heading 1"/>
    <w:aliases w:val="Table_G"/>
    <w:basedOn w:val="SingleTxtG"/>
    <w:next w:val="SingleTxtG"/>
    <w:link w:val="Titre1Car"/>
    <w:qFormat/>
    <w:rsid w:val="00584DC4"/>
    <w:pPr>
      <w:keepNext/>
      <w:keepLines/>
      <w:spacing w:after="0" w:line="240" w:lineRule="auto"/>
      <w:ind w:right="0"/>
      <w:jc w:val="left"/>
      <w:outlineLvl w:val="0"/>
    </w:pPr>
  </w:style>
  <w:style w:type="paragraph" w:styleId="Titre2">
    <w:name w:val="heading 2"/>
    <w:basedOn w:val="Normal"/>
    <w:next w:val="Normal"/>
    <w:link w:val="Titre2Car"/>
    <w:semiHidden/>
    <w:qFormat/>
    <w:rsid w:val="00023842"/>
    <w:pPr>
      <w:outlineLvl w:val="1"/>
    </w:pPr>
  </w:style>
  <w:style w:type="paragraph" w:styleId="Titre3">
    <w:name w:val="heading 3"/>
    <w:basedOn w:val="Normal"/>
    <w:next w:val="Normal"/>
    <w:link w:val="Titre3Car"/>
    <w:semiHidden/>
    <w:qFormat/>
    <w:rsid w:val="00023842"/>
    <w:pPr>
      <w:outlineLvl w:val="2"/>
    </w:pPr>
  </w:style>
  <w:style w:type="paragraph" w:styleId="Titre4">
    <w:name w:val="heading 4"/>
    <w:basedOn w:val="Normal"/>
    <w:next w:val="Normal"/>
    <w:link w:val="Titre4Car"/>
    <w:semiHidden/>
    <w:qFormat/>
    <w:rsid w:val="00023842"/>
    <w:pPr>
      <w:outlineLvl w:val="3"/>
    </w:pPr>
  </w:style>
  <w:style w:type="paragraph" w:styleId="Titre5">
    <w:name w:val="heading 5"/>
    <w:basedOn w:val="Normal"/>
    <w:next w:val="Normal"/>
    <w:link w:val="Titre5Car"/>
    <w:semiHidden/>
    <w:qFormat/>
    <w:rsid w:val="00023842"/>
    <w:pPr>
      <w:outlineLvl w:val="4"/>
    </w:pPr>
  </w:style>
  <w:style w:type="paragraph" w:styleId="Titre6">
    <w:name w:val="heading 6"/>
    <w:basedOn w:val="Normal"/>
    <w:next w:val="Normal"/>
    <w:link w:val="Titre6Car"/>
    <w:semiHidden/>
    <w:qFormat/>
    <w:rsid w:val="00023842"/>
    <w:pPr>
      <w:outlineLvl w:val="5"/>
    </w:pPr>
  </w:style>
  <w:style w:type="paragraph" w:styleId="Titre7">
    <w:name w:val="heading 7"/>
    <w:basedOn w:val="Normal"/>
    <w:next w:val="Normal"/>
    <w:link w:val="Titre7Car"/>
    <w:semiHidden/>
    <w:qFormat/>
    <w:rsid w:val="00023842"/>
    <w:pPr>
      <w:outlineLvl w:val="6"/>
    </w:pPr>
  </w:style>
  <w:style w:type="paragraph" w:styleId="Titre8">
    <w:name w:val="heading 8"/>
    <w:basedOn w:val="Normal"/>
    <w:next w:val="Normal"/>
    <w:link w:val="Titre8Car"/>
    <w:semiHidden/>
    <w:qFormat/>
    <w:rsid w:val="00023842"/>
    <w:pPr>
      <w:outlineLvl w:val="7"/>
    </w:pPr>
  </w:style>
  <w:style w:type="paragraph" w:styleId="Titre9">
    <w:name w:val="heading 9"/>
    <w:basedOn w:val="Normal"/>
    <w:next w:val="Normal"/>
    <w:link w:val="Titre9Car"/>
    <w:semiHidden/>
    <w:qFormat/>
    <w:rsid w:val="00023842"/>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584DC4"/>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584DC4"/>
    <w:rPr>
      <w:rFonts w:ascii="Times New Roman" w:eastAsiaTheme="minorHAnsi" w:hAnsi="Times New Roman" w:cs="Times New Roman"/>
      <w:b/>
      <w:sz w:val="18"/>
      <w:szCs w:val="20"/>
      <w:lang w:eastAsia="en-US"/>
    </w:rPr>
  </w:style>
  <w:style w:type="paragraph" w:styleId="Pieddepage">
    <w:name w:val="footer"/>
    <w:aliases w:val="3_G"/>
    <w:basedOn w:val="Normal"/>
    <w:next w:val="Normal"/>
    <w:link w:val="PieddepageCar"/>
    <w:qFormat/>
    <w:rsid w:val="00584DC4"/>
    <w:pPr>
      <w:spacing w:line="240" w:lineRule="auto"/>
    </w:pPr>
    <w:rPr>
      <w:sz w:val="16"/>
    </w:rPr>
  </w:style>
  <w:style w:type="character" w:customStyle="1" w:styleId="PieddepageCar">
    <w:name w:val="Pied de page Car"/>
    <w:aliases w:val="3_G Car"/>
    <w:basedOn w:val="Policepardfaut"/>
    <w:link w:val="Pieddepage"/>
    <w:rsid w:val="00584DC4"/>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584DC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584DC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link w:val="H1GChar"/>
    <w:qFormat/>
    <w:rsid w:val="00584DC4"/>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584DC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584DC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584DC4"/>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ar"/>
    <w:qFormat/>
    <w:rsid w:val="00584DC4"/>
    <w:pPr>
      <w:tabs>
        <w:tab w:val="left" w:pos="1701"/>
        <w:tab w:val="left" w:pos="2268"/>
        <w:tab w:val="left" w:pos="2835"/>
      </w:tabs>
      <w:spacing w:after="120"/>
      <w:ind w:left="1134" w:right="1134"/>
      <w:jc w:val="both"/>
    </w:pPr>
  </w:style>
  <w:style w:type="paragraph" w:customStyle="1" w:styleId="SLG">
    <w:name w:val="__S_L_G"/>
    <w:basedOn w:val="Normal"/>
    <w:next w:val="Normal"/>
    <w:rsid w:val="00584DC4"/>
    <w:pPr>
      <w:keepNext/>
      <w:keepLines/>
      <w:spacing w:before="240" w:after="240" w:line="580" w:lineRule="exact"/>
      <w:ind w:left="1134" w:right="1134"/>
    </w:pPr>
    <w:rPr>
      <w:b/>
      <w:sz w:val="56"/>
    </w:rPr>
  </w:style>
  <w:style w:type="paragraph" w:customStyle="1" w:styleId="SMG">
    <w:name w:val="__S_M_G"/>
    <w:basedOn w:val="Normal"/>
    <w:next w:val="Normal"/>
    <w:rsid w:val="00584DC4"/>
    <w:pPr>
      <w:keepNext/>
      <w:keepLines/>
      <w:spacing w:before="240" w:after="240" w:line="420" w:lineRule="exact"/>
      <w:ind w:left="1134" w:right="1134"/>
    </w:pPr>
    <w:rPr>
      <w:b/>
      <w:sz w:val="40"/>
    </w:rPr>
  </w:style>
  <w:style w:type="paragraph" w:customStyle="1" w:styleId="SSG">
    <w:name w:val="__S_S_G"/>
    <w:basedOn w:val="Normal"/>
    <w:next w:val="Normal"/>
    <w:rsid w:val="00584DC4"/>
    <w:pPr>
      <w:keepNext/>
      <w:keepLines/>
      <w:spacing w:before="240" w:after="240" w:line="300" w:lineRule="exact"/>
      <w:ind w:left="1134" w:right="1134"/>
    </w:pPr>
    <w:rPr>
      <w:b/>
      <w:sz w:val="28"/>
    </w:rPr>
  </w:style>
  <w:style w:type="paragraph" w:customStyle="1" w:styleId="XLargeG">
    <w:name w:val="__XLarge_G"/>
    <w:basedOn w:val="Normal"/>
    <w:next w:val="Normal"/>
    <w:rsid w:val="00584DC4"/>
    <w:pPr>
      <w:keepNext/>
      <w:keepLines/>
      <w:spacing w:before="240" w:after="240" w:line="420" w:lineRule="exact"/>
      <w:ind w:left="1134" w:right="1134"/>
    </w:pPr>
    <w:rPr>
      <w:b/>
      <w:sz w:val="40"/>
    </w:rPr>
  </w:style>
  <w:style w:type="paragraph" w:customStyle="1" w:styleId="Bullet1G">
    <w:name w:val="_Bullet 1_G"/>
    <w:basedOn w:val="Normal"/>
    <w:qFormat/>
    <w:rsid w:val="00584DC4"/>
    <w:pPr>
      <w:numPr>
        <w:numId w:val="14"/>
      </w:numPr>
      <w:spacing w:after="120"/>
      <w:ind w:right="1134"/>
      <w:jc w:val="both"/>
    </w:pPr>
  </w:style>
  <w:style w:type="paragraph" w:customStyle="1" w:styleId="Bullet2G">
    <w:name w:val="_Bullet 2_G"/>
    <w:basedOn w:val="Normal"/>
    <w:qFormat/>
    <w:rsid w:val="00584DC4"/>
    <w:pPr>
      <w:numPr>
        <w:numId w:val="15"/>
      </w:numPr>
      <w:spacing w:after="120"/>
      <w:ind w:right="1134"/>
      <w:jc w:val="both"/>
    </w:pPr>
  </w:style>
  <w:style w:type="paragraph" w:customStyle="1" w:styleId="ParNoG">
    <w:name w:val="_ParNo_G"/>
    <w:basedOn w:val="Normal"/>
    <w:qFormat/>
    <w:rsid w:val="00584DC4"/>
    <w:pPr>
      <w:numPr>
        <w:numId w:val="16"/>
      </w:numPr>
      <w:tabs>
        <w:tab w:val="left" w:pos="1701"/>
        <w:tab w:val="left" w:pos="2268"/>
        <w:tab w:val="left" w:pos="2835"/>
      </w:tabs>
      <w:spacing w:after="120"/>
      <w:ind w:right="1134"/>
      <w:jc w:val="both"/>
    </w:pPr>
  </w:style>
  <w:style w:type="character" w:styleId="Appelnotedebasdep">
    <w:name w:val="footnote reference"/>
    <w:aliases w:val="4_G"/>
    <w:basedOn w:val="Policepardfaut"/>
    <w:qFormat/>
    <w:rsid w:val="00896E63"/>
    <w:rPr>
      <w:rFonts w:ascii="Times New Roman" w:hAnsi="Times New Roman"/>
      <w:sz w:val="18"/>
      <w:vertAlign w:val="superscript"/>
      <w:lang w:val="fr-CH"/>
    </w:rPr>
  </w:style>
  <w:style w:type="character" w:styleId="Appeldenotedefin">
    <w:name w:val="endnote reference"/>
    <w:aliases w:val="1_G"/>
    <w:basedOn w:val="Appelnotedebasdep"/>
    <w:qFormat/>
    <w:rsid w:val="00584DC4"/>
    <w:rPr>
      <w:rFonts w:ascii="Times New Roman" w:hAnsi="Times New Roman"/>
      <w:sz w:val="18"/>
      <w:vertAlign w:val="superscript"/>
      <w:lang w:val="fr-CH"/>
    </w:rPr>
  </w:style>
  <w:style w:type="table" w:styleId="Grilledutableau">
    <w:name w:val="Table Grid"/>
    <w:basedOn w:val="TableauNormal"/>
    <w:rsid w:val="00584DC4"/>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584DC4"/>
    <w:rPr>
      <w:color w:val="0000FF"/>
      <w:u w:val="none"/>
    </w:rPr>
  </w:style>
  <w:style w:type="character" w:styleId="Lienhypertextesuivivisit">
    <w:name w:val="FollowedHyperlink"/>
    <w:basedOn w:val="Policepardfaut"/>
    <w:unhideWhenUsed/>
    <w:rsid w:val="00584DC4"/>
    <w:rPr>
      <w:color w:val="0000FF"/>
      <w:u w:val="none"/>
    </w:rPr>
  </w:style>
  <w:style w:type="paragraph" w:styleId="Notedebasdepage">
    <w:name w:val="footnote text"/>
    <w:aliases w:val="5_G"/>
    <w:basedOn w:val="Normal"/>
    <w:link w:val="NotedebasdepageCar"/>
    <w:qFormat/>
    <w:rsid w:val="00584DC4"/>
    <w:pPr>
      <w:tabs>
        <w:tab w:val="right" w:pos="1021"/>
      </w:tabs>
      <w:spacing w:line="220" w:lineRule="exact"/>
      <w:ind w:left="1134" w:right="1134" w:hanging="1134"/>
    </w:pPr>
    <w:rPr>
      <w:sz w:val="18"/>
    </w:rPr>
  </w:style>
  <w:style w:type="character" w:customStyle="1" w:styleId="NotedebasdepageCar">
    <w:name w:val="Note de bas de page Car"/>
    <w:aliases w:val="5_G Car"/>
    <w:basedOn w:val="Policepardfaut"/>
    <w:link w:val="Notedebasdepage"/>
    <w:rsid w:val="00584DC4"/>
    <w:rPr>
      <w:rFonts w:ascii="Times New Roman" w:eastAsiaTheme="minorHAnsi" w:hAnsi="Times New Roman" w:cs="Times New Roman"/>
      <w:sz w:val="18"/>
      <w:szCs w:val="20"/>
      <w:lang w:eastAsia="en-US"/>
    </w:rPr>
  </w:style>
  <w:style w:type="paragraph" w:styleId="Notedefin">
    <w:name w:val="endnote text"/>
    <w:aliases w:val="2_G"/>
    <w:basedOn w:val="Notedebasdepage"/>
    <w:link w:val="NotedefinCar"/>
    <w:qFormat/>
    <w:rsid w:val="00584DC4"/>
  </w:style>
  <w:style w:type="character" w:customStyle="1" w:styleId="NotedefinCar">
    <w:name w:val="Note de fin Car"/>
    <w:aliases w:val="2_G Car"/>
    <w:basedOn w:val="Policepardfaut"/>
    <w:link w:val="Notedefin"/>
    <w:rsid w:val="00584DC4"/>
    <w:rPr>
      <w:rFonts w:ascii="Times New Roman" w:eastAsiaTheme="minorHAnsi" w:hAnsi="Times New Roman" w:cs="Times New Roman"/>
      <w:sz w:val="18"/>
      <w:szCs w:val="20"/>
      <w:lang w:eastAsia="en-US"/>
    </w:rPr>
  </w:style>
  <w:style w:type="character" w:styleId="Numrodepage">
    <w:name w:val="page number"/>
    <w:aliases w:val="7_G"/>
    <w:basedOn w:val="Policepardfaut"/>
    <w:qFormat/>
    <w:rsid w:val="00584DC4"/>
    <w:rPr>
      <w:rFonts w:ascii="Times New Roman" w:hAnsi="Times New Roman"/>
      <w:b/>
      <w:sz w:val="18"/>
      <w:lang w:val="fr-CH"/>
    </w:rPr>
  </w:style>
  <w:style w:type="character" w:customStyle="1" w:styleId="Titre1Car">
    <w:name w:val="Titre 1 Car"/>
    <w:aliases w:val="Table_G Car"/>
    <w:basedOn w:val="Policepardfaut"/>
    <w:link w:val="Titre1"/>
    <w:rsid w:val="00584DC4"/>
    <w:rPr>
      <w:rFonts w:ascii="Times New Roman" w:eastAsiaTheme="minorHAnsi" w:hAnsi="Times New Roman" w:cs="Times New Roman"/>
      <w:sz w:val="20"/>
      <w:szCs w:val="20"/>
      <w:lang w:eastAsia="en-US"/>
    </w:rPr>
  </w:style>
  <w:style w:type="character" w:customStyle="1" w:styleId="Titre2Car">
    <w:name w:val="Titre 2 Car"/>
    <w:basedOn w:val="Policepardfaut"/>
    <w:link w:val="Titre2"/>
    <w:semiHidden/>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semiHidden/>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semiHidden/>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semiHidden/>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semiHidden/>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semiHidden/>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semiHidden/>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semiHidden/>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iPriority w:val="99"/>
    <w:semiHidden/>
    <w:unhideWhenUsed/>
    <w:rsid w:val="00132EA9"/>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32EA9"/>
    <w:rPr>
      <w:rFonts w:ascii="Tahoma" w:hAnsi="Tahoma" w:cs="Tahoma"/>
      <w:sz w:val="16"/>
      <w:szCs w:val="16"/>
      <w:lang w:eastAsia="en-US"/>
    </w:rPr>
  </w:style>
  <w:style w:type="character" w:customStyle="1" w:styleId="HChGChar">
    <w:name w:val="_ H _Ch_G Char"/>
    <w:link w:val="HChG"/>
    <w:locked/>
    <w:rsid w:val="00DD6E4E"/>
    <w:rPr>
      <w:rFonts w:ascii="Times New Roman" w:eastAsiaTheme="minorHAnsi" w:hAnsi="Times New Roman" w:cs="Times New Roman"/>
      <w:b/>
      <w:sz w:val="28"/>
      <w:szCs w:val="20"/>
      <w:lang w:eastAsia="en-US"/>
    </w:rPr>
  </w:style>
  <w:style w:type="character" w:customStyle="1" w:styleId="H1GChar">
    <w:name w:val="_ H_1_G Char"/>
    <w:link w:val="H1G"/>
    <w:locked/>
    <w:rsid w:val="00DD6E4E"/>
    <w:rPr>
      <w:rFonts w:ascii="Times New Roman" w:eastAsiaTheme="minorHAnsi" w:hAnsi="Times New Roman" w:cs="Times New Roman"/>
      <w:b/>
      <w:sz w:val="24"/>
      <w:szCs w:val="20"/>
      <w:lang w:eastAsia="en-US"/>
    </w:rPr>
  </w:style>
  <w:style w:type="character" w:customStyle="1" w:styleId="SingleTxtGCar">
    <w:name w:val="_ Single Txt_G Car"/>
    <w:link w:val="SingleTxtG"/>
    <w:locked/>
    <w:rsid w:val="00DD6E4E"/>
    <w:rPr>
      <w:rFonts w:ascii="Times New Roman" w:eastAsiaTheme="minorHAnsi" w:hAnsi="Times New Roman" w:cs="Times New Roman"/>
      <w:sz w:val="20"/>
      <w:szCs w:val="20"/>
      <w:lang w:eastAsia="en-US"/>
    </w:rPr>
  </w:style>
  <w:style w:type="character" w:styleId="Mentionnonrsolue">
    <w:name w:val="Unresolved Mention"/>
    <w:basedOn w:val="Policepardfaut"/>
    <w:uiPriority w:val="99"/>
    <w:semiHidden/>
    <w:unhideWhenUsed/>
    <w:rsid w:val="004861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unece.org/sites/default/files/2022-12/ST-SG-AC10-C4-86e_0.pdf%20" TargetMode="External"/><Relationship Id="rId2" Type="http://schemas.openxmlformats.org/officeDocument/2006/relationships/hyperlink" Target="https://wedocs.unep.org/bitstream/handle/20.500.11822/25636/edc_report3.pdf" TargetMode="External"/><Relationship Id="rId1" Type="http://schemas.openxmlformats.org/officeDocument/2006/relationships/hyperlink" Target="https://www.who.int/ipcs/publications/new_issues/endocrine_disrupto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S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ST.dotm</Template>
  <TotalTime>3</TotalTime>
  <Pages>4</Pages>
  <Words>1037</Words>
  <Characters>7950</Characters>
  <Application>Microsoft Office Word</Application>
  <DocSecurity>0</DocSecurity>
  <Lines>2650</Lines>
  <Paragraphs>748</Paragraphs>
  <ScaleCrop>false</ScaleCrop>
  <HeadingPairs>
    <vt:vector size="2" baseType="variant">
      <vt:variant>
        <vt:lpstr>Titre</vt:lpstr>
      </vt:variant>
      <vt:variant>
        <vt:i4>1</vt:i4>
      </vt:variant>
    </vt:vector>
  </HeadingPairs>
  <TitlesOfParts>
    <vt:vector size="1" baseType="lpstr">
      <vt:lpstr>ST/SG/AC.10/C.4/2023/6</vt:lpstr>
    </vt:vector>
  </TitlesOfParts>
  <Company>DCM</Company>
  <LinksUpToDate>false</LinksUpToDate>
  <CharactersWithSpaces>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ST/SG/AC.10/C.4/2023/6</dc:title>
  <dc:subject/>
  <dc:creator>Nathalie VITTOZ</dc:creator>
  <cp:keywords/>
  <cp:lastModifiedBy>Nathalie Vittoz</cp:lastModifiedBy>
  <cp:revision>3</cp:revision>
  <cp:lastPrinted>2023-05-09T11:00:00Z</cp:lastPrinted>
  <dcterms:created xsi:type="dcterms:W3CDTF">2023-05-09T11:00:00Z</dcterms:created>
  <dcterms:modified xsi:type="dcterms:W3CDTF">2023-05-09T11:01:00Z</dcterms:modified>
</cp:coreProperties>
</file>