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5219EE82" w14:textId="77777777" w:rsidTr="006476E1">
        <w:trPr>
          <w:trHeight w:val="851"/>
        </w:trPr>
        <w:tc>
          <w:tcPr>
            <w:tcW w:w="1259" w:type="dxa"/>
            <w:tcBorders>
              <w:top w:val="nil"/>
              <w:left w:val="nil"/>
              <w:bottom w:val="single" w:sz="4" w:space="0" w:color="auto"/>
              <w:right w:val="nil"/>
            </w:tcBorders>
          </w:tcPr>
          <w:p w14:paraId="71854545" w14:textId="77777777" w:rsidR="00E52109" w:rsidRPr="002A32CB" w:rsidRDefault="00E52109" w:rsidP="004858F5"/>
        </w:tc>
        <w:tc>
          <w:tcPr>
            <w:tcW w:w="2236" w:type="dxa"/>
            <w:tcBorders>
              <w:top w:val="nil"/>
              <w:left w:val="nil"/>
              <w:bottom w:val="single" w:sz="4" w:space="0" w:color="auto"/>
              <w:right w:val="nil"/>
            </w:tcBorders>
            <w:vAlign w:val="bottom"/>
          </w:tcPr>
          <w:p w14:paraId="20BF49A0" w14:textId="77777777" w:rsidR="00E52109" w:rsidRDefault="00E52109" w:rsidP="006476E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657845C8" w14:textId="1F1E663E" w:rsidR="00E52109" w:rsidRDefault="00E36B6A" w:rsidP="00E36B6A">
            <w:pPr>
              <w:jc w:val="right"/>
            </w:pPr>
            <w:r w:rsidRPr="00E36B6A">
              <w:rPr>
                <w:sz w:val="40"/>
              </w:rPr>
              <w:t>ST</w:t>
            </w:r>
            <w:r>
              <w:t>/SG/AC.10/C.4/2023/6</w:t>
            </w:r>
          </w:p>
        </w:tc>
      </w:tr>
      <w:tr w:rsidR="00E52109" w14:paraId="77BACDB2" w14:textId="77777777" w:rsidTr="006476E1">
        <w:trPr>
          <w:trHeight w:val="2835"/>
        </w:trPr>
        <w:tc>
          <w:tcPr>
            <w:tcW w:w="1259" w:type="dxa"/>
            <w:tcBorders>
              <w:top w:val="single" w:sz="4" w:space="0" w:color="auto"/>
              <w:left w:val="nil"/>
              <w:bottom w:val="single" w:sz="12" w:space="0" w:color="auto"/>
              <w:right w:val="nil"/>
            </w:tcBorders>
          </w:tcPr>
          <w:p w14:paraId="47DFDDCC" w14:textId="77777777" w:rsidR="00E52109" w:rsidRDefault="00E52109" w:rsidP="006476E1">
            <w:pPr>
              <w:spacing w:before="120"/>
              <w:jc w:val="center"/>
            </w:pPr>
            <w:r>
              <w:rPr>
                <w:noProof/>
                <w:lang w:val="fr-CH" w:eastAsia="fr-CH"/>
              </w:rPr>
              <w:drawing>
                <wp:inline distT="0" distB="0" distL="0" distR="0" wp14:anchorId="395D3065" wp14:editId="47166377">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724CBC83" w14:textId="77777777" w:rsidR="00E52109" w:rsidRDefault="00D94B05" w:rsidP="006476E1">
            <w:pPr>
              <w:spacing w:before="120" w:line="420" w:lineRule="exact"/>
              <w:rPr>
                <w:b/>
                <w:sz w:val="40"/>
                <w:szCs w:val="40"/>
              </w:rPr>
            </w:pPr>
            <w:r>
              <w:rPr>
                <w:b/>
                <w:sz w:val="40"/>
                <w:szCs w:val="40"/>
              </w:rPr>
              <w:t>Secretariat</w:t>
            </w:r>
          </w:p>
        </w:tc>
        <w:tc>
          <w:tcPr>
            <w:tcW w:w="2930" w:type="dxa"/>
            <w:tcBorders>
              <w:top w:val="single" w:sz="4" w:space="0" w:color="auto"/>
              <w:left w:val="nil"/>
              <w:bottom w:val="single" w:sz="12" w:space="0" w:color="auto"/>
              <w:right w:val="nil"/>
            </w:tcBorders>
          </w:tcPr>
          <w:p w14:paraId="21CA9449" w14:textId="77777777" w:rsidR="00D94B05" w:rsidRPr="009F26A6" w:rsidRDefault="00E36B6A" w:rsidP="00E36B6A">
            <w:pPr>
              <w:spacing w:before="240" w:line="240" w:lineRule="exact"/>
            </w:pPr>
            <w:r w:rsidRPr="009F26A6">
              <w:t>Distr.: General</w:t>
            </w:r>
          </w:p>
          <w:p w14:paraId="3868C1AE" w14:textId="5BE63E0A" w:rsidR="00E36B6A" w:rsidRDefault="00AA23AE" w:rsidP="00E36B6A">
            <w:pPr>
              <w:spacing w:line="240" w:lineRule="exact"/>
            </w:pPr>
            <w:r w:rsidRPr="009F26A6">
              <w:t>2</w:t>
            </w:r>
            <w:r w:rsidR="000B302F">
              <w:t>7</w:t>
            </w:r>
            <w:r w:rsidRPr="009F26A6">
              <w:t xml:space="preserve"> </w:t>
            </w:r>
            <w:r w:rsidR="00E36B6A" w:rsidRPr="009F26A6">
              <w:t>April 2023</w:t>
            </w:r>
          </w:p>
          <w:p w14:paraId="60AFD44A" w14:textId="77777777" w:rsidR="00E36B6A" w:rsidRDefault="00E36B6A" w:rsidP="00E36B6A">
            <w:pPr>
              <w:spacing w:line="240" w:lineRule="exact"/>
            </w:pPr>
          </w:p>
          <w:p w14:paraId="04E8F2E4" w14:textId="546FF2C6" w:rsidR="00E36B6A" w:rsidRDefault="00E36B6A" w:rsidP="00E36B6A">
            <w:pPr>
              <w:spacing w:line="240" w:lineRule="exact"/>
            </w:pPr>
            <w:r>
              <w:t>Original: English</w:t>
            </w:r>
          </w:p>
        </w:tc>
      </w:tr>
    </w:tbl>
    <w:p w14:paraId="49F90AD4" w14:textId="77777777" w:rsidR="00E36B6A" w:rsidRPr="009F0F06" w:rsidRDefault="00E36B6A" w:rsidP="004858F5">
      <w:pPr>
        <w:spacing w:before="120"/>
        <w:rPr>
          <w:b/>
          <w:sz w:val="24"/>
          <w:szCs w:val="24"/>
          <w:lang w:val="en-US"/>
        </w:rPr>
      </w:pPr>
      <w:r w:rsidRPr="009F0F06">
        <w:rPr>
          <w:b/>
          <w:sz w:val="24"/>
          <w:szCs w:val="24"/>
          <w:lang w:val="en-US"/>
        </w:rPr>
        <w:t>Committee of Experts on the Transport of Dangerous Goods</w:t>
      </w:r>
      <w:r>
        <w:rPr>
          <w:b/>
          <w:sz w:val="24"/>
          <w:szCs w:val="24"/>
          <w:lang w:val="en-US"/>
        </w:rPr>
        <w:br/>
      </w:r>
      <w:r w:rsidRPr="009F0F06">
        <w:rPr>
          <w:b/>
          <w:sz w:val="24"/>
          <w:szCs w:val="24"/>
          <w:lang w:val="en-US"/>
        </w:rPr>
        <w:t>and on the Globally Harmonized System of Classification</w:t>
      </w:r>
      <w:r>
        <w:rPr>
          <w:b/>
          <w:sz w:val="24"/>
          <w:szCs w:val="24"/>
          <w:lang w:val="en-US"/>
        </w:rPr>
        <w:br/>
      </w:r>
      <w:r w:rsidRPr="009F0F06">
        <w:rPr>
          <w:b/>
          <w:sz w:val="24"/>
          <w:szCs w:val="24"/>
          <w:lang w:val="en-US"/>
        </w:rPr>
        <w:t>and Labelling of Chemicals</w:t>
      </w:r>
    </w:p>
    <w:p w14:paraId="72214D5D" w14:textId="77777777" w:rsidR="00E36B6A" w:rsidRPr="009F0F06" w:rsidRDefault="00E36B6A" w:rsidP="004858F5">
      <w:pPr>
        <w:spacing w:before="120"/>
        <w:rPr>
          <w:rFonts w:ascii="Helv" w:hAnsi="Helv" w:cs="Helv"/>
          <w:b/>
          <w:color w:val="000000"/>
          <w:lang w:val="en-US"/>
        </w:rPr>
      </w:pPr>
      <w:r w:rsidRPr="009F0F06">
        <w:rPr>
          <w:b/>
          <w:lang w:val="en-US"/>
        </w:rPr>
        <w:t>Sub-Committee of Experts on the Globally Harmonized</w:t>
      </w:r>
      <w:r>
        <w:rPr>
          <w:b/>
          <w:lang w:val="en-US"/>
        </w:rPr>
        <w:br/>
      </w:r>
      <w:r w:rsidRPr="009F0F06">
        <w:rPr>
          <w:b/>
          <w:lang w:val="en-US"/>
        </w:rPr>
        <w:t>System of Classification and Labelling of Chemicals</w:t>
      </w:r>
    </w:p>
    <w:p w14:paraId="19181B1C" w14:textId="77777777" w:rsidR="007B17C6" w:rsidRDefault="007B17C6" w:rsidP="007B17C6">
      <w:pPr>
        <w:spacing w:before="120"/>
        <w:rPr>
          <w:b/>
        </w:rPr>
      </w:pPr>
      <w:r>
        <w:rPr>
          <w:b/>
        </w:rPr>
        <w:t>Forty-fourth session</w:t>
      </w:r>
    </w:p>
    <w:p w14:paraId="4CD4B193" w14:textId="77777777" w:rsidR="007B17C6" w:rsidRDefault="007B17C6" w:rsidP="007B17C6">
      <w:r>
        <w:t xml:space="preserve">Geneva, 10-12 July 2023 </w:t>
      </w:r>
    </w:p>
    <w:p w14:paraId="16AD3B48" w14:textId="0814CDDD" w:rsidR="007B17C6" w:rsidRDefault="007B17C6" w:rsidP="007B17C6">
      <w:r>
        <w:t>Item 2 (e) of the provisional agenda</w:t>
      </w:r>
    </w:p>
    <w:p w14:paraId="0F8C7542" w14:textId="276E0D73" w:rsidR="00690C7F" w:rsidRDefault="007816E8" w:rsidP="008F00C8">
      <w:pPr>
        <w:rPr>
          <w:b/>
          <w:bCs/>
        </w:rPr>
      </w:pPr>
      <w:r w:rsidRPr="007816E8">
        <w:rPr>
          <w:b/>
          <w:bCs/>
        </w:rPr>
        <w:t xml:space="preserve">Work on the Globally Harmonized System of </w:t>
      </w:r>
      <w:r>
        <w:rPr>
          <w:b/>
          <w:bCs/>
        </w:rPr>
        <w:br/>
      </w:r>
      <w:r w:rsidRPr="007816E8">
        <w:rPr>
          <w:b/>
          <w:bCs/>
        </w:rPr>
        <w:t>Classification and Labelling of Chemicals</w:t>
      </w:r>
      <w:r>
        <w:rPr>
          <w:b/>
          <w:bCs/>
        </w:rPr>
        <w:t xml:space="preserve">: </w:t>
      </w:r>
      <w:r w:rsidR="00690C7F">
        <w:rPr>
          <w:b/>
          <w:bCs/>
        </w:rPr>
        <w:br/>
      </w:r>
      <w:r w:rsidR="00690C7F" w:rsidRPr="00690C7F">
        <w:rPr>
          <w:b/>
          <w:bCs/>
        </w:rPr>
        <w:t xml:space="preserve">Potential hazard issues and their presentation </w:t>
      </w:r>
      <w:r w:rsidR="00690C7F" w:rsidRPr="00690C7F">
        <w:rPr>
          <w:b/>
          <w:bCs/>
        </w:rPr>
        <w:br/>
        <w:t>in the Globally Harmonized System</w:t>
      </w:r>
    </w:p>
    <w:p w14:paraId="580B2F7B" w14:textId="32D51B4F" w:rsidR="00F65839" w:rsidRPr="00133ECC" w:rsidRDefault="00F65839" w:rsidP="00133ECC">
      <w:pPr>
        <w:pStyle w:val="HChG"/>
      </w:pPr>
      <w:r>
        <w:tab/>
      </w:r>
      <w:r>
        <w:tab/>
      </w:r>
      <w:r w:rsidRPr="00133ECC">
        <w:t xml:space="preserve">Potential hazard issues and their presentation in the </w:t>
      </w:r>
      <w:r w:rsidR="00C27765" w:rsidRPr="00133ECC">
        <w:t>Globally Harmonized System</w:t>
      </w:r>
      <w:r w:rsidR="0089739A" w:rsidRPr="00133ECC">
        <w:t>:</w:t>
      </w:r>
      <w:r w:rsidRPr="00133ECC">
        <w:t xml:space="preserve"> Mandate to the </w:t>
      </w:r>
      <w:r w:rsidR="00C27765" w:rsidRPr="00133ECC">
        <w:t xml:space="preserve">Organisation </w:t>
      </w:r>
      <w:r w:rsidR="002400FF" w:rsidRPr="00133ECC">
        <w:t>for Economic Co-operation and Development (</w:t>
      </w:r>
      <w:r w:rsidRPr="00133ECC">
        <w:t>OECD</w:t>
      </w:r>
      <w:r w:rsidR="002400FF" w:rsidRPr="00133ECC">
        <w:t>)</w:t>
      </w:r>
      <w:r w:rsidRPr="00133ECC">
        <w:t xml:space="preserve"> on endocrine disruptors</w:t>
      </w:r>
    </w:p>
    <w:p w14:paraId="40295647" w14:textId="5DA5F8CD" w:rsidR="00F65839" w:rsidRPr="00133ECC" w:rsidRDefault="00F65839" w:rsidP="00133ECC">
      <w:pPr>
        <w:pStyle w:val="H1G"/>
      </w:pPr>
      <w:r>
        <w:tab/>
      </w:r>
      <w:r>
        <w:tab/>
      </w:r>
      <w:r w:rsidRPr="00133ECC">
        <w:t xml:space="preserve">Transmitted by the European Union on behalf of the informal working group on potential hazard issues and their presentation in the </w:t>
      </w:r>
      <w:r w:rsidR="00DE2C87" w:rsidRPr="00133ECC">
        <w:t>Globally Harmonized System</w:t>
      </w:r>
      <w:r w:rsidR="00866B29" w:rsidRPr="00866B29">
        <w:rPr>
          <w:rStyle w:val="FootnoteReference"/>
          <w:sz w:val="20"/>
          <w:vertAlign w:val="baseline"/>
        </w:rPr>
        <w:footnoteReference w:customMarkFollows="1" w:id="2"/>
        <w:t>*</w:t>
      </w:r>
    </w:p>
    <w:p w14:paraId="0CDFBE68" w14:textId="77777777" w:rsidR="00F65839" w:rsidRDefault="00F65839" w:rsidP="00F65839">
      <w:pPr>
        <w:pStyle w:val="HChG"/>
        <w:ind w:left="2268"/>
      </w:pPr>
      <w:r>
        <w:t>Background</w:t>
      </w:r>
    </w:p>
    <w:p w14:paraId="7E9862BC" w14:textId="72A1AD03" w:rsidR="00F65839" w:rsidRPr="008F00C8" w:rsidRDefault="0089739A" w:rsidP="008F00C8">
      <w:pPr>
        <w:pStyle w:val="SingleTxtG"/>
      </w:pPr>
      <w:r w:rsidRPr="008F00C8">
        <w:t>1.</w:t>
      </w:r>
      <w:r w:rsidRPr="008F00C8">
        <w:tab/>
      </w:r>
      <w:r w:rsidR="00F65839" w:rsidRPr="008F00C8">
        <w:t xml:space="preserve">During its </w:t>
      </w:r>
      <w:r w:rsidR="00890A7E">
        <w:t>forty-third</w:t>
      </w:r>
      <w:r w:rsidR="00890A7E" w:rsidRPr="008F00C8">
        <w:t xml:space="preserve"> </w:t>
      </w:r>
      <w:r w:rsidR="00F65839" w:rsidRPr="008F00C8">
        <w:t>session in December 2022, the Sub-Committee of Experts on the Globally Harmonized System of Classification and Labelling of Chemical (GHS Sub-Committee) decided</w:t>
      </w:r>
      <w:r w:rsidR="00211627">
        <w:rPr>
          <w:rStyle w:val="FootnoteReference"/>
        </w:rPr>
        <w:footnoteReference w:id="3"/>
      </w:r>
      <w:r w:rsidR="00F65839" w:rsidRPr="008F00C8">
        <w:t xml:space="preserve"> to include a new item on its programme of work for the biennium 2023-2024: the creation of an </w:t>
      </w:r>
      <w:r w:rsidR="00890A7E">
        <w:t>i</w:t>
      </w:r>
      <w:r w:rsidR="00F65839" w:rsidRPr="008F00C8">
        <w:t xml:space="preserve">nformal </w:t>
      </w:r>
      <w:r w:rsidR="00890A7E">
        <w:t>w</w:t>
      </w:r>
      <w:r w:rsidR="00F65839" w:rsidRPr="008F00C8">
        <w:t xml:space="preserve">orking </w:t>
      </w:r>
      <w:r w:rsidR="00890A7E">
        <w:t>g</w:t>
      </w:r>
      <w:r w:rsidR="00F65839" w:rsidRPr="008F00C8">
        <w:t xml:space="preserve">roup, coordinated by the European Union, on </w:t>
      </w:r>
      <w:r w:rsidR="00890A7E">
        <w:t>p</w:t>
      </w:r>
      <w:r w:rsidR="00F65839" w:rsidRPr="008F00C8">
        <w:t xml:space="preserve">otential </w:t>
      </w:r>
      <w:r w:rsidR="00890A7E">
        <w:t>h</w:t>
      </w:r>
      <w:r w:rsidR="00F65839" w:rsidRPr="008F00C8">
        <w:t xml:space="preserve">azard </w:t>
      </w:r>
      <w:r w:rsidR="00890A7E">
        <w:t>i</w:t>
      </w:r>
      <w:r w:rsidR="00F65839" w:rsidRPr="008F00C8">
        <w:t xml:space="preserve">ssues and their presentation in GHS (PHI-IWG) based on </w:t>
      </w:r>
      <w:r w:rsidR="00CB09D2">
        <w:t>informal d</w:t>
      </w:r>
      <w:r w:rsidR="00F65839" w:rsidRPr="008F00C8">
        <w:t>ocument INF.39</w:t>
      </w:r>
      <w:r w:rsidR="00211627">
        <w:rPr>
          <w:rStyle w:val="FootnoteReference"/>
        </w:rPr>
        <w:footnoteReference w:id="4"/>
      </w:r>
      <w:r w:rsidR="00F65839" w:rsidRPr="008F00C8">
        <w:t xml:space="preserve"> </w:t>
      </w:r>
      <w:r w:rsidR="00042D27">
        <w:t>u</w:t>
      </w:r>
      <w:r w:rsidR="00F65839" w:rsidRPr="008F00C8">
        <w:t xml:space="preserve">pdated </w:t>
      </w:r>
      <w:r w:rsidR="00042D27">
        <w:t>t</w:t>
      </w:r>
      <w:r w:rsidR="00F65839" w:rsidRPr="008F00C8">
        <w:t xml:space="preserve">erms of </w:t>
      </w:r>
      <w:r w:rsidR="00042D27">
        <w:t>r</w:t>
      </w:r>
      <w:r w:rsidR="00F65839" w:rsidRPr="008F00C8">
        <w:t>eference (</w:t>
      </w:r>
      <w:proofErr w:type="spellStart"/>
      <w:r w:rsidR="00F65839" w:rsidRPr="008F00C8">
        <w:t>ToR</w:t>
      </w:r>
      <w:proofErr w:type="spellEnd"/>
      <w:r w:rsidR="00F65839" w:rsidRPr="008F00C8">
        <w:t xml:space="preserve">), in combination with </w:t>
      </w:r>
      <w:r w:rsidR="00CB09D2">
        <w:t>d</w:t>
      </w:r>
      <w:r w:rsidR="00F65839" w:rsidRPr="008F00C8">
        <w:t>ocument ST/SG/AC.10/C.4/2022/18</w:t>
      </w:r>
      <w:r w:rsidR="00634C9A">
        <w:rPr>
          <w:rStyle w:val="FootnoteReference"/>
        </w:rPr>
        <w:footnoteReference w:id="5"/>
      </w:r>
      <w:r w:rsidR="00F65839" w:rsidRPr="008F00C8">
        <w:t xml:space="preserve">. </w:t>
      </w:r>
    </w:p>
    <w:p w14:paraId="3710C706" w14:textId="194A2D3A" w:rsidR="00F65839" w:rsidRDefault="0089739A" w:rsidP="008F00C8">
      <w:pPr>
        <w:pStyle w:val="SingleTxtG"/>
        <w:tabs>
          <w:tab w:val="clear" w:pos="2268"/>
          <w:tab w:val="clear" w:pos="2835"/>
        </w:tabs>
        <w:suppressAutoHyphens/>
        <w:kinsoku w:val="0"/>
        <w:overflowPunct w:val="0"/>
        <w:autoSpaceDE w:val="0"/>
        <w:autoSpaceDN w:val="0"/>
        <w:adjustRightInd w:val="0"/>
        <w:snapToGrid w:val="0"/>
        <w:rPr>
          <w:lang w:val="en-IE"/>
        </w:rPr>
      </w:pPr>
      <w:r>
        <w:rPr>
          <w:lang w:val="en-IE"/>
        </w:rPr>
        <w:t>2.</w:t>
      </w:r>
      <w:r>
        <w:rPr>
          <w:lang w:val="en-IE"/>
        </w:rPr>
        <w:tab/>
      </w:r>
      <w:r w:rsidR="00F65839">
        <w:rPr>
          <w:lang w:val="en-IE"/>
        </w:rPr>
        <w:t xml:space="preserve">These documents define the PHI-IWG terms of reference for all potential hazard issues with endocrine disruptors (ED) and with persistent, </w:t>
      </w:r>
      <w:proofErr w:type="spellStart"/>
      <w:r w:rsidR="00F65839">
        <w:rPr>
          <w:lang w:val="en-IE"/>
        </w:rPr>
        <w:t>bioaccumulative</w:t>
      </w:r>
      <w:proofErr w:type="spellEnd"/>
      <w:r w:rsidR="00F65839">
        <w:rPr>
          <w:lang w:val="en-IE"/>
        </w:rPr>
        <w:t xml:space="preserve">, toxic (PBT), </w:t>
      </w:r>
      <w:r w:rsidR="00F65839">
        <w:rPr>
          <w:lang w:val="en-IE"/>
        </w:rPr>
        <w:lastRenderedPageBreak/>
        <w:t xml:space="preserve">very persistent, very </w:t>
      </w:r>
      <w:proofErr w:type="spellStart"/>
      <w:r w:rsidR="00F65839">
        <w:rPr>
          <w:lang w:val="en-IE"/>
        </w:rPr>
        <w:t>bioaccumulative</w:t>
      </w:r>
      <w:proofErr w:type="spellEnd"/>
      <w:r w:rsidR="00F65839">
        <w:rPr>
          <w:lang w:val="en-IE"/>
        </w:rPr>
        <w:t xml:space="preserve"> (</w:t>
      </w:r>
      <w:proofErr w:type="spellStart"/>
      <w:r w:rsidR="00F65839">
        <w:rPr>
          <w:lang w:val="en-IE"/>
        </w:rPr>
        <w:t>vPvB</w:t>
      </w:r>
      <w:proofErr w:type="spellEnd"/>
      <w:r w:rsidR="00F65839">
        <w:rPr>
          <w:lang w:val="en-IE"/>
        </w:rPr>
        <w:t>), persistent, mobile, toxic (PMT) and very persistent, very mobile (</w:t>
      </w:r>
      <w:proofErr w:type="spellStart"/>
      <w:r w:rsidR="00F65839">
        <w:rPr>
          <w:lang w:val="en-IE"/>
        </w:rPr>
        <w:t>vPvM</w:t>
      </w:r>
      <w:proofErr w:type="spellEnd"/>
      <w:r w:rsidR="00F65839">
        <w:rPr>
          <w:lang w:val="en-IE"/>
        </w:rPr>
        <w:t>) chemicals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08"/>
      </w:tblGrid>
      <w:tr w:rsidR="00F65839" w14:paraId="3C9C31A4" w14:textId="77777777" w:rsidTr="00F65839">
        <w:tc>
          <w:tcPr>
            <w:tcW w:w="534" w:type="dxa"/>
          </w:tcPr>
          <w:p w14:paraId="19B00D6B" w14:textId="77777777" w:rsidR="00F65839" w:rsidRDefault="00F65839">
            <w:pPr>
              <w:pStyle w:val="SingleTxtG"/>
              <w:rPr>
                <w:lang w:val="en-IE"/>
              </w:rPr>
            </w:pPr>
          </w:p>
        </w:tc>
        <w:tc>
          <w:tcPr>
            <w:tcW w:w="8708" w:type="dxa"/>
            <w:hideMark/>
          </w:tcPr>
          <w:p w14:paraId="11FF8C5A" w14:textId="386517AE" w:rsidR="00F65839" w:rsidRDefault="0089739A" w:rsidP="00890A7E">
            <w:pPr>
              <w:pStyle w:val="SingleTxtG"/>
              <w:tabs>
                <w:tab w:val="clear" w:pos="1701"/>
                <w:tab w:val="clear" w:pos="2835"/>
              </w:tabs>
              <w:kinsoku w:val="0"/>
              <w:overflowPunct w:val="0"/>
              <w:autoSpaceDE w:val="0"/>
              <w:autoSpaceDN w:val="0"/>
              <w:adjustRightInd w:val="0"/>
              <w:snapToGrid w:val="0"/>
              <w:ind w:left="1494" w:hanging="360"/>
              <w:rPr>
                <w:lang w:val="en-IE"/>
              </w:rPr>
            </w:pPr>
            <w:r>
              <w:rPr>
                <w:lang w:val="en-IE"/>
              </w:rPr>
              <w:t>(a)</w:t>
            </w:r>
            <w:r>
              <w:rPr>
                <w:lang w:val="en-IE"/>
              </w:rPr>
              <w:tab/>
            </w:r>
            <w:r w:rsidR="00F65839">
              <w:rPr>
                <w:lang w:val="en-IE"/>
              </w:rPr>
              <w:t>Priority setting;</w:t>
            </w:r>
          </w:p>
          <w:p w14:paraId="13B8214E" w14:textId="7AD78062" w:rsidR="00F65839" w:rsidRDefault="0089739A" w:rsidP="00890A7E">
            <w:pPr>
              <w:pStyle w:val="SingleTxtG"/>
              <w:tabs>
                <w:tab w:val="clear" w:pos="1701"/>
                <w:tab w:val="clear" w:pos="2835"/>
              </w:tabs>
              <w:kinsoku w:val="0"/>
              <w:overflowPunct w:val="0"/>
              <w:autoSpaceDE w:val="0"/>
              <w:autoSpaceDN w:val="0"/>
              <w:adjustRightInd w:val="0"/>
              <w:snapToGrid w:val="0"/>
              <w:ind w:left="1494" w:hanging="360"/>
              <w:rPr>
                <w:lang w:val="en-IE"/>
              </w:rPr>
            </w:pPr>
            <w:r>
              <w:rPr>
                <w:lang w:val="en-IE"/>
              </w:rPr>
              <w:t>(b)</w:t>
            </w:r>
            <w:r>
              <w:rPr>
                <w:lang w:val="en-IE"/>
              </w:rPr>
              <w:tab/>
            </w:r>
            <w:r w:rsidR="00F65839">
              <w:rPr>
                <w:lang w:val="en-IE"/>
              </w:rPr>
              <w:t>Development of OECD mandates for GHS Sub-Committee approval;</w:t>
            </w:r>
          </w:p>
          <w:p w14:paraId="19E26130" w14:textId="7EB4D836" w:rsidR="00F65839" w:rsidRDefault="0089739A" w:rsidP="00890A7E">
            <w:pPr>
              <w:pStyle w:val="SingleTxtG"/>
              <w:tabs>
                <w:tab w:val="clear" w:pos="1701"/>
                <w:tab w:val="clear" w:pos="2835"/>
              </w:tabs>
              <w:kinsoku w:val="0"/>
              <w:overflowPunct w:val="0"/>
              <w:autoSpaceDE w:val="0"/>
              <w:autoSpaceDN w:val="0"/>
              <w:adjustRightInd w:val="0"/>
              <w:snapToGrid w:val="0"/>
              <w:ind w:left="1494" w:hanging="360"/>
              <w:rPr>
                <w:lang w:val="en-IE"/>
              </w:rPr>
            </w:pPr>
            <w:r>
              <w:rPr>
                <w:lang w:val="en-IE"/>
              </w:rPr>
              <w:t>(c)</w:t>
            </w:r>
            <w:r>
              <w:rPr>
                <w:lang w:val="en-IE"/>
              </w:rPr>
              <w:tab/>
            </w:r>
            <w:r w:rsidR="00F65839">
              <w:rPr>
                <w:lang w:val="en-IE"/>
              </w:rPr>
              <w:t>Placement of a new hazard and criteria into the GHS;</w:t>
            </w:r>
          </w:p>
          <w:p w14:paraId="1CB73C97" w14:textId="45DB0753" w:rsidR="00F65839" w:rsidRDefault="0089739A" w:rsidP="00890A7E">
            <w:pPr>
              <w:pStyle w:val="SingleTxtG"/>
              <w:tabs>
                <w:tab w:val="clear" w:pos="1701"/>
                <w:tab w:val="clear" w:pos="2835"/>
              </w:tabs>
              <w:kinsoku w:val="0"/>
              <w:overflowPunct w:val="0"/>
              <w:autoSpaceDE w:val="0"/>
              <w:autoSpaceDN w:val="0"/>
              <w:adjustRightInd w:val="0"/>
              <w:snapToGrid w:val="0"/>
              <w:ind w:left="1494" w:hanging="360"/>
              <w:rPr>
                <w:lang w:val="en-IE"/>
              </w:rPr>
            </w:pPr>
            <w:r>
              <w:rPr>
                <w:lang w:val="en-IE"/>
              </w:rPr>
              <w:t>(d)</w:t>
            </w:r>
            <w:r>
              <w:rPr>
                <w:lang w:val="en-IE"/>
              </w:rPr>
              <w:tab/>
            </w:r>
            <w:r w:rsidR="00F65839">
              <w:rPr>
                <w:lang w:val="en-IE"/>
              </w:rPr>
              <w:t>Classification criteria.</w:t>
            </w:r>
          </w:p>
        </w:tc>
      </w:tr>
    </w:tbl>
    <w:p w14:paraId="4F2930AD" w14:textId="0378A192" w:rsidR="00F65839" w:rsidRPr="008F00C8" w:rsidRDefault="0089739A" w:rsidP="008F00C8">
      <w:pPr>
        <w:pStyle w:val="SingleTxtG"/>
      </w:pPr>
      <w:r w:rsidRPr="008F00C8">
        <w:t>3.</w:t>
      </w:r>
      <w:r w:rsidRPr="008F00C8">
        <w:tab/>
      </w:r>
      <w:r w:rsidR="00F65839" w:rsidRPr="008F00C8">
        <w:t>The documents also define the initial tasks of the PHI-IWG ahead of the July 2023 session of the GHS Sub-Committee</w:t>
      </w:r>
      <w:r w:rsidR="00F65839" w:rsidRPr="008F00C8">
        <w:rPr>
          <w:vertAlign w:val="superscript"/>
        </w:rPr>
        <w:footnoteReference w:id="6"/>
      </w:r>
      <w:r w:rsidR="00F65839" w:rsidRPr="008F00C8">
        <w:t>. These are:</w:t>
      </w:r>
    </w:p>
    <w:p w14:paraId="7A3D3D5A" w14:textId="6A61DA73" w:rsidR="00F65839" w:rsidRDefault="0089739A" w:rsidP="00890A7E">
      <w:pPr>
        <w:pStyle w:val="SingleTxtG"/>
        <w:tabs>
          <w:tab w:val="clear" w:pos="1701"/>
          <w:tab w:val="clear" w:pos="2268"/>
          <w:tab w:val="clear" w:pos="2835"/>
        </w:tabs>
        <w:suppressAutoHyphens/>
        <w:kinsoku w:val="0"/>
        <w:overflowPunct w:val="0"/>
        <w:autoSpaceDE w:val="0"/>
        <w:autoSpaceDN w:val="0"/>
        <w:adjustRightInd w:val="0"/>
        <w:snapToGrid w:val="0"/>
        <w:ind w:left="2061" w:hanging="360"/>
        <w:rPr>
          <w:lang w:val="en-IE"/>
        </w:rPr>
      </w:pPr>
      <w:r>
        <w:rPr>
          <w:lang w:val="en-IE"/>
        </w:rPr>
        <w:t>(a)</w:t>
      </w:r>
      <w:r>
        <w:rPr>
          <w:lang w:val="en-IE"/>
        </w:rPr>
        <w:tab/>
      </w:r>
      <w:r w:rsidR="00F65839">
        <w:rPr>
          <w:lang w:val="en-IE"/>
        </w:rPr>
        <w:t xml:space="preserve">To develop, for GHS Sub-Committee approval, a mandate to OECD on the science needed to identify EDs; and </w:t>
      </w:r>
    </w:p>
    <w:p w14:paraId="1A67A41A" w14:textId="7747041A" w:rsidR="00F65839" w:rsidRDefault="0089739A" w:rsidP="00890A7E">
      <w:pPr>
        <w:pStyle w:val="SingleTxtG"/>
        <w:tabs>
          <w:tab w:val="clear" w:pos="1701"/>
          <w:tab w:val="clear" w:pos="2268"/>
          <w:tab w:val="clear" w:pos="2835"/>
        </w:tabs>
        <w:suppressAutoHyphens/>
        <w:kinsoku w:val="0"/>
        <w:overflowPunct w:val="0"/>
        <w:autoSpaceDE w:val="0"/>
        <w:autoSpaceDN w:val="0"/>
        <w:adjustRightInd w:val="0"/>
        <w:snapToGrid w:val="0"/>
        <w:ind w:left="2061" w:hanging="360"/>
        <w:rPr>
          <w:lang w:val="en-IE"/>
        </w:rPr>
      </w:pPr>
      <w:r>
        <w:rPr>
          <w:lang w:val="en-IE"/>
        </w:rPr>
        <w:t>(b)</w:t>
      </w:r>
      <w:r>
        <w:rPr>
          <w:lang w:val="en-IE"/>
        </w:rPr>
        <w:tab/>
      </w:r>
      <w:r w:rsidR="00F65839">
        <w:rPr>
          <w:lang w:val="en-IE"/>
        </w:rPr>
        <w:t>To determine its priorities and further develop an agreed 2023-2024 workplan for GHS Sub-Committee approval.</w:t>
      </w:r>
    </w:p>
    <w:p w14:paraId="150F3D69" w14:textId="7CC80105" w:rsidR="00F65839" w:rsidRPr="00136517" w:rsidRDefault="0089739A" w:rsidP="008F00C8">
      <w:pPr>
        <w:pStyle w:val="SingleTxtG"/>
      </w:pPr>
      <w:r w:rsidRPr="00136517">
        <w:t>4.</w:t>
      </w:r>
      <w:r w:rsidRPr="00136517">
        <w:tab/>
      </w:r>
      <w:r w:rsidR="00F65839" w:rsidRPr="00136517">
        <w:t>This document presents a proposal on a mandate to OECD</w:t>
      </w:r>
      <w:r w:rsidR="00E6411D">
        <w:t>,</w:t>
      </w:r>
      <w:r w:rsidR="00F65839" w:rsidRPr="00136517">
        <w:t xml:space="preserve"> for approval </w:t>
      </w:r>
      <w:r w:rsidR="001D187A">
        <w:t>by</w:t>
      </w:r>
      <w:r w:rsidR="001D187A" w:rsidRPr="00136517">
        <w:t xml:space="preserve"> </w:t>
      </w:r>
      <w:r w:rsidR="00F65839" w:rsidRPr="00136517">
        <w:t xml:space="preserve">the GHS Sub-Committee in line with </w:t>
      </w:r>
      <w:r w:rsidR="00C84A49">
        <w:t>sub-</w:t>
      </w:r>
      <w:r w:rsidR="00F65839" w:rsidRPr="00136517">
        <w:t>paragraph 3</w:t>
      </w:r>
      <w:r w:rsidR="00340294">
        <w:t> </w:t>
      </w:r>
      <w:r w:rsidR="00F65839" w:rsidRPr="00136517">
        <w:t>(a).</w:t>
      </w:r>
    </w:p>
    <w:p w14:paraId="04B38EF5" w14:textId="2B022856" w:rsidR="00F65839" w:rsidRPr="00136517" w:rsidRDefault="0089739A" w:rsidP="008F00C8">
      <w:pPr>
        <w:pStyle w:val="SingleTxtG"/>
      </w:pPr>
      <w:r w:rsidRPr="00136517">
        <w:t>5.</w:t>
      </w:r>
      <w:r w:rsidRPr="00136517">
        <w:tab/>
      </w:r>
      <w:r w:rsidR="00F65839" w:rsidRPr="00136517">
        <w:t>In the implementation of this proposed mandate, the participation of OECD members in the PHI-IWG is encouraged. Similarly, participation of PHI-IWG members in the OECD group who will be responsible for the implementation of the proposed mandate is also encouraged. This would allow a smooth and continuous information exchange between all interested parties.</w:t>
      </w:r>
    </w:p>
    <w:p w14:paraId="77800E1D" w14:textId="25C8FF98" w:rsidR="00F65839" w:rsidRPr="00133ECC" w:rsidRDefault="0089739A" w:rsidP="008F00C8">
      <w:pPr>
        <w:pStyle w:val="SingleTxtG"/>
      </w:pPr>
      <w:r w:rsidRPr="00133ECC">
        <w:t>6.</w:t>
      </w:r>
      <w:r w:rsidRPr="00133ECC">
        <w:tab/>
      </w:r>
      <w:r w:rsidR="00F65839" w:rsidRPr="00133ECC">
        <w:t>Based on the report of the OECD work under paragraph 12 below of the proposed mandate, the PHI-IWG will discuss the next steps.</w:t>
      </w:r>
    </w:p>
    <w:p w14:paraId="06AA68D2" w14:textId="77777777" w:rsidR="00F65839" w:rsidRPr="00340294" w:rsidRDefault="00F65839" w:rsidP="008F00C8">
      <w:pPr>
        <w:pStyle w:val="HChG"/>
      </w:pPr>
      <w:r w:rsidRPr="00340294">
        <w:tab/>
      </w:r>
      <w:r w:rsidRPr="00340294">
        <w:tab/>
        <w:t>Information to support the proposed mandate</w:t>
      </w:r>
    </w:p>
    <w:p w14:paraId="5284048C" w14:textId="1A861B10" w:rsidR="00F65839" w:rsidRPr="008F00C8" w:rsidRDefault="0089739A" w:rsidP="008F00C8">
      <w:pPr>
        <w:pStyle w:val="SingleTxtG"/>
      </w:pPr>
      <w:r w:rsidRPr="008F00C8">
        <w:t>7.</w:t>
      </w:r>
      <w:r w:rsidRPr="008F00C8">
        <w:tab/>
      </w:r>
      <w:r w:rsidR="00F65839" w:rsidRPr="008F00C8">
        <w:t>Over the last 30 years, an increasing body of scientific research has focused on the endocrine disrupting properties of chemicals. The resulting knowledge identifies endocrine disruptors as a concern to public and wildlife health</w:t>
      </w:r>
      <w:r w:rsidR="00F65839" w:rsidRPr="00340294">
        <w:rPr>
          <w:vertAlign w:val="superscript"/>
        </w:rPr>
        <w:footnoteReference w:id="7"/>
      </w:r>
      <w:r w:rsidR="00F65839" w:rsidRPr="008F00C8">
        <w:t xml:space="preserve">. The increasing incidence of many endocrine-related disorders in humans have important parallels in some wildlife populations. </w:t>
      </w:r>
    </w:p>
    <w:p w14:paraId="2DAF5AE8" w14:textId="2471517E" w:rsidR="00F65839" w:rsidRPr="008F00C8" w:rsidRDefault="0089739A" w:rsidP="008F00C8">
      <w:pPr>
        <w:pStyle w:val="SingleTxtG"/>
      </w:pPr>
      <w:r w:rsidRPr="008F00C8">
        <w:t>8.</w:t>
      </w:r>
      <w:r w:rsidRPr="008F00C8">
        <w:tab/>
      </w:r>
      <w:r w:rsidR="00F65839" w:rsidRPr="008F00C8">
        <w:t xml:space="preserve">Currently, endocrine disruptors may not be identified within existing GHS hazard classes. There is concern that this limits the ability of users of chemicals to adopt suitable risk management measures. OECD, as the focal point for GHS on health and environmental hazards, </w:t>
      </w:r>
      <w:r w:rsidR="00700813">
        <w:t>could</w:t>
      </w:r>
      <w:r w:rsidR="00700813" w:rsidRPr="008F00C8">
        <w:t xml:space="preserve"> </w:t>
      </w:r>
      <w:r w:rsidR="00F65839" w:rsidRPr="008F00C8">
        <w:t>be tasked with reviewing existing GHS hazard classes to identify any possible gaps.</w:t>
      </w:r>
    </w:p>
    <w:p w14:paraId="3B3F4D46" w14:textId="78E2CD5F" w:rsidR="00F65839" w:rsidRPr="008F00C8" w:rsidRDefault="0089739A" w:rsidP="008F00C8">
      <w:pPr>
        <w:pStyle w:val="SingleTxtG"/>
      </w:pPr>
      <w:r w:rsidRPr="008F00C8">
        <w:t>9.</w:t>
      </w:r>
      <w:r w:rsidRPr="008F00C8">
        <w:tab/>
      </w:r>
      <w:r w:rsidR="00F65839" w:rsidRPr="00340294">
        <w:t xml:space="preserve">However, for some endocrine pathways, available science may not be as advanced as the knowledge on the </w:t>
      </w:r>
      <w:proofErr w:type="spellStart"/>
      <w:r w:rsidR="000749FE" w:rsidRPr="00340294">
        <w:t>estrogen</w:t>
      </w:r>
      <w:proofErr w:type="spellEnd"/>
      <w:r w:rsidR="00F65839" w:rsidRPr="00340294">
        <w:t>, androgen, thyroid and steroidogenic</w:t>
      </w:r>
      <w:r w:rsidR="000A7B00">
        <w:t xml:space="preserve"> (</w:t>
      </w:r>
      <w:r w:rsidR="000A7B00" w:rsidRPr="00340294">
        <w:t>EATS</w:t>
      </w:r>
      <w:r w:rsidR="00F65839" w:rsidRPr="00340294">
        <w:t>) pathways. Therefore, it is proposed that OECD reviews the knowledge on the EATS pathways and then consider other endocrine pathways for which available methods and scientific knowledge may not be as advanced.</w:t>
      </w:r>
    </w:p>
    <w:p w14:paraId="6406A305" w14:textId="45A6AB26" w:rsidR="00214770" w:rsidRPr="008F00C8" w:rsidRDefault="0089739A" w:rsidP="00AA23AE">
      <w:pPr>
        <w:pStyle w:val="SingleTxtG"/>
      </w:pPr>
      <w:r w:rsidRPr="008F00C8">
        <w:t>10.</w:t>
      </w:r>
      <w:r w:rsidRPr="008F00C8">
        <w:tab/>
      </w:r>
      <w:r w:rsidR="00EC4BA0">
        <w:t>It is proposed that OECD use existing knowledge available (for example, international test guidelines</w:t>
      </w:r>
      <w:r w:rsidR="002D4992">
        <w:t xml:space="preserve">, such as </w:t>
      </w:r>
      <w:r w:rsidR="00C27E35">
        <w:t xml:space="preserve">those developed by </w:t>
      </w:r>
      <w:r w:rsidR="002D4992">
        <w:t>OECD</w:t>
      </w:r>
      <w:r w:rsidR="00D95072">
        <w:t xml:space="preserve">, information available from </w:t>
      </w:r>
      <w:r w:rsidR="00C27E35">
        <w:t>other international bodies</w:t>
      </w:r>
      <w:r w:rsidR="00D95072">
        <w:t xml:space="preserve"> and national </w:t>
      </w:r>
      <w:r w:rsidR="002577C3">
        <w:t>or regional schemes</w:t>
      </w:r>
      <w:r w:rsidR="0080370A">
        <w:t xml:space="preserve">) </w:t>
      </w:r>
      <w:r w:rsidR="00F7717F">
        <w:t xml:space="preserve">and link </w:t>
      </w:r>
      <w:r w:rsidR="00F7717F" w:rsidRPr="000A7B00">
        <w:t>some endocrine mechanisms of action to adverse effects in both humans and the environment</w:t>
      </w:r>
      <w:r w:rsidR="00F7717F">
        <w:t>.</w:t>
      </w:r>
    </w:p>
    <w:p w14:paraId="1C5EA05F" w14:textId="7339DE56" w:rsidR="00F65839" w:rsidRPr="008F00C8" w:rsidRDefault="0089739A" w:rsidP="008F00C8">
      <w:pPr>
        <w:pStyle w:val="SingleTxtG"/>
      </w:pPr>
      <w:r w:rsidRPr="008F00C8">
        <w:t>11.</w:t>
      </w:r>
      <w:r w:rsidRPr="008F00C8">
        <w:tab/>
      </w:r>
      <w:r w:rsidR="00F65839" w:rsidRPr="008F00C8">
        <w:t xml:space="preserve">Furthermore, while there is general support for using the generic definition of endocrine disruptor as defined by the </w:t>
      </w:r>
      <w:r w:rsidR="00803D34">
        <w:t xml:space="preserve">World Health Organization International Programme </w:t>
      </w:r>
      <w:r w:rsidR="00803D34">
        <w:lastRenderedPageBreak/>
        <w:t>of Chemical Safety (</w:t>
      </w:r>
      <w:r w:rsidR="00F65839" w:rsidRPr="008F00C8">
        <w:t>WHO/IPCS</w:t>
      </w:r>
      <w:r w:rsidR="00803D34">
        <w:t>)</w:t>
      </w:r>
      <w:r w:rsidR="00F65839" w:rsidRPr="008F00C8">
        <w:t xml:space="preserve"> (2002)</w:t>
      </w:r>
      <w:r w:rsidR="00F65839" w:rsidRPr="00726CAC">
        <w:rPr>
          <w:vertAlign w:val="superscript"/>
        </w:rPr>
        <w:footnoteReference w:id="8"/>
      </w:r>
      <w:r w:rsidR="00F65839" w:rsidRPr="008F00C8">
        <w:t xml:space="preserve"> as a starting point for the GHS definition, there is some concern that the WHO definition may be overly broad. </w:t>
      </w:r>
      <w:r w:rsidR="00E32080" w:rsidRPr="008F00C8">
        <w:t xml:space="preserve">It </w:t>
      </w:r>
      <w:r w:rsidR="00F65839" w:rsidRPr="008F00C8">
        <w:t xml:space="preserve">may need to be adapted for application within the GHS. </w:t>
      </w:r>
    </w:p>
    <w:p w14:paraId="753B1C7F" w14:textId="360F23C2" w:rsidR="00F65839" w:rsidRDefault="00F65839" w:rsidP="00F65839">
      <w:pPr>
        <w:pStyle w:val="HChG"/>
      </w:pPr>
      <w:r>
        <w:tab/>
      </w:r>
      <w:r>
        <w:tab/>
      </w:r>
      <w:r>
        <w:tab/>
        <w:t>Propos</w:t>
      </w:r>
      <w:r w:rsidR="009B56CB">
        <w:t>ed</w:t>
      </w:r>
      <w:r>
        <w:t xml:space="preserve"> mandate to OECD</w:t>
      </w:r>
    </w:p>
    <w:p w14:paraId="77C138FB" w14:textId="262F6685" w:rsidR="00F65839" w:rsidRPr="009B56CB" w:rsidRDefault="0089739A" w:rsidP="008F00C8">
      <w:pPr>
        <w:pStyle w:val="SingleTxtG"/>
      </w:pPr>
      <w:r w:rsidRPr="009B56CB">
        <w:t>12.</w:t>
      </w:r>
      <w:r w:rsidRPr="009B56CB">
        <w:tab/>
      </w:r>
      <w:r w:rsidR="00F65839" w:rsidRPr="009B56CB">
        <w:t>The GHS Sub-Committee mandates OECD to review the science needed for classification and labelling of substances and mixtures that have endocrine disrupting properties</w:t>
      </w:r>
      <w:r w:rsidR="00D7446B">
        <w:t xml:space="preserve">, </w:t>
      </w:r>
      <w:r w:rsidR="00313214">
        <w:t>as follows</w:t>
      </w:r>
      <w:r w:rsidR="00F65839" w:rsidRPr="009B56CB">
        <w:t>:</w:t>
      </w:r>
    </w:p>
    <w:p w14:paraId="53C74B31" w14:textId="049847AB" w:rsidR="006424BA" w:rsidRDefault="0089739A" w:rsidP="00C24F33">
      <w:pPr>
        <w:pStyle w:val="SingleTxtG"/>
        <w:tabs>
          <w:tab w:val="clear" w:pos="1701"/>
        </w:tabs>
        <w:ind w:left="2268" w:hanging="567"/>
      </w:pPr>
      <w:r w:rsidRPr="008F00C8">
        <w:t>(a)</w:t>
      </w:r>
      <w:r w:rsidRPr="008F00C8">
        <w:tab/>
      </w:r>
      <w:r w:rsidR="00313214">
        <w:t>R</w:t>
      </w:r>
      <w:r w:rsidR="00F65839" w:rsidRPr="008F00C8">
        <w:t xml:space="preserve">eview existing GHS hazard classes (e.g. carcinogenicity, reproductive toxicity, specific target organ toxicity, hazardous to the aquatic environment) that may include endocrine disruptors. </w:t>
      </w:r>
      <w:r w:rsidR="006424BA" w:rsidRPr="008F00C8">
        <w:t>Th</w:t>
      </w:r>
      <w:r w:rsidR="006424BA">
        <w:t>e</w:t>
      </w:r>
      <w:r w:rsidR="006424BA" w:rsidRPr="008F00C8">
        <w:t xml:space="preserve"> </w:t>
      </w:r>
      <w:r w:rsidR="00F65839" w:rsidRPr="008F00C8">
        <w:t>review should</w:t>
      </w:r>
      <w:r w:rsidR="006424BA">
        <w:t>:</w:t>
      </w:r>
    </w:p>
    <w:p w14:paraId="4AB3F755" w14:textId="363D0C8B" w:rsidR="00F65839" w:rsidRPr="008F00C8" w:rsidRDefault="006424BA" w:rsidP="008F00C8">
      <w:pPr>
        <w:pStyle w:val="SingleTxtG"/>
        <w:tabs>
          <w:tab w:val="clear" w:pos="1701"/>
          <w:tab w:val="clear" w:pos="2268"/>
        </w:tabs>
        <w:ind w:left="2835" w:hanging="567"/>
      </w:pPr>
      <w:r>
        <w:t>(</w:t>
      </w:r>
      <w:proofErr w:type="spellStart"/>
      <w:r>
        <w:t>i</w:t>
      </w:r>
      <w:proofErr w:type="spellEnd"/>
      <w:r>
        <w:t>)</w:t>
      </w:r>
      <w:r w:rsidR="008F0E63">
        <w:tab/>
        <w:t>I</w:t>
      </w:r>
      <w:r w:rsidR="00F65839" w:rsidRPr="008F00C8">
        <w:t>dentify any gaps regarding the possibility to adequately classify and label under the GHS substances and mixtures that have endocrine disrupting properties for human health and/or for the environment</w:t>
      </w:r>
      <w:r w:rsidR="00C84A49">
        <w:t>;</w:t>
      </w:r>
      <w:r w:rsidR="00F65839" w:rsidRPr="008F00C8">
        <w:t xml:space="preserve"> </w:t>
      </w:r>
    </w:p>
    <w:p w14:paraId="75246559" w14:textId="6958E5F7" w:rsidR="00F65839" w:rsidRPr="008F00C8" w:rsidRDefault="008F0E63" w:rsidP="008F00C8">
      <w:pPr>
        <w:pStyle w:val="SingleTxtG"/>
        <w:tabs>
          <w:tab w:val="clear" w:pos="1701"/>
          <w:tab w:val="clear" w:pos="2268"/>
        </w:tabs>
        <w:ind w:left="2835" w:hanging="567"/>
      </w:pPr>
      <w:r>
        <w:t>(ii)</w:t>
      </w:r>
      <w:r>
        <w:tab/>
      </w:r>
      <w:r w:rsidR="001F4B5D">
        <w:t>S</w:t>
      </w:r>
      <w:r w:rsidR="00F65839" w:rsidRPr="008F00C8">
        <w:t xml:space="preserve">tart with knowledge of EATS endocrine pathways and then consider other endocrine pathways for which available methods and scientific knowledge may not be as advanced. Under this task, OECD should use the existing scientific knowledge available, for example OECD </w:t>
      </w:r>
      <w:r w:rsidR="0044405B" w:rsidRPr="00C24F33">
        <w:t>Guidance Document</w:t>
      </w:r>
      <w:r w:rsidR="0044405B" w:rsidRPr="008F00C8">
        <w:t xml:space="preserve"> </w:t>
      </w:r>
      <w:r w:rsidR="00F65839" w:rsidRPr="008F00C8">
        <w:t>150</w:t>
      </w:r>
      <w:r w:rsidR="00F65839" w:rsidRPr="008F00C8">
        <w:rPr>
          <w:rStyle w:val="FootnoteReference"/>
          <w:sz w:val="20"/>
        </w:rPr>
        <w:footnoteReference w:id="9"/>
      </w:r>
      <w:r w:rsidR="00F65839" w:rsidRPr="008F00C8">
        <w:t>, WHO/UNEP 2013 “State of the Science of Endocrine Disputing Chemicals”</w:t>
      </w:r>
      <w:r w:rsidR="00F65839" w:rsidRPr="008F00C8">
        <w:rPr>
          <w:rStyle w:val="FootnoteReference"/>
          <w:sz w:val="20"/>
        </w:rPr>
        <w:footnoteReference w:id="10"/>
      </w:r>
      <w:r w:rsidR="00F65839" w:rsidRPr="008F00C8">
        <w:rPr>
          <w:vertAlign w:val="superscript"/>
        </w:rPr>
        <w:t xml:space="preserve"> </w:t>
      </w:r>
      <w:r w:rsidR="00F65839" w:rsidRPr="008F00C8">
        <w:t>and WHO/IPCS (2002)</w:t>
      </w:r>
      <w:r w:rsidR="00F65839" w:rsidRPr="008F00C8">
        <w:rPr>
          <w:rStyle w:val="FootnoteReference"/>
          <w:sz w:val="20"/>
        </w:rPr>
        <w:footnoteReference w:id="11"/>
      </w:r>
      <w:r w:rsidR="00F65839" w:rsidRPr="008F00C8">
        <w:t>. OECD could also consider in this gap analysis, existing national or regional schemes for identifying endocrine disruptors, including those identified in the 2017 overview report (III)</w:t>
      </w:r>
      <w:r w:rsidR="00F65839" w:rsidRPr="008F00C8">
        <w:rPr>
          <w:vertAlign w:val="superscript"/>
        </w:rPr>
        <w:footnoteReference w:id="12"/>
      </w:r>
      <w:r w:rsidR="00F65839" w:rsidRPr="008F00C8">
        <w:rPr>
          <w:vertAlign w:val="superscript"/>
        </w:rPr>
        <w:t xml:space="preserve"> </w:t>
      </w:r>
      <w:r w:rsidR="001621E6" w:rsidRPr="00C24F33">
        <w:t xml:space="preserve">published by the United Nations </w:t>
      </w:r>
      <w:r w:rsidR="00266717" w:rsidRPr="00C24F33">
        <w:t>Environment Programme (UNEP)</w:t>
      </w:r>
      <w:r w:rsidR="00C84A49">
        <w:t>;</w:t>
      </w:r>
    </w:p>
    <w:p w14:paraId="2CCBF30E" w14:textId="4518C0E0" w:rsidR="003E5231" w:rsidRDefault="0089739A" w:rsidP="003E5231">
      <w:pPr>
        <w:pStyle w:val="SingleTxtG"/>
        <w:tabs>
          <w:tab w:val="clear" w:pos="1701"/>
        </w:tabs>
        <w:ind w:left="2268" w:hanging="567"/>
      </w:pPr>
      <w:r w:rsidRPr="008F00C8">
        <w:t>(b)</w:t>
      </w:r>
      <w:r w:rsidRPr="008F00C8">
        <w:tab/>
      </w:r>
      <w:r w:rsidR="00F65839" w:rsidRPr="008F00C8">
        <w:t>Following the review of gaps, assess whether the existing definition of endocrine disruptors as defined by the WHO/IPCS (2002) is sufficient in the context of the GHS and, if warranted, provide recommendations to the GHS Sub-Committee for adapting the 2002 definition for application under the GHS</w:t>
      </w:r>
      <w:r w:rsidR="00C84A49">
        <w:t>;</w:t>
      </w:r>
    </w:p>
    <w:p w14:paraId="0C05EDB3" w14:textId="278691AF" w:rsidR="00F65839" w:rsidRPr="008F00C8" w:rsidRDefault="003E5231" w:rsidP="003E5231">
      <w:pPr>
        <w:pStyle w:val="SingleTxtG"/>
        <w:tabs>
          <w:tab w:val="clear" w:pos="1701"/>
        </w:tabs>
        <w:ind w:left="2268" w:hanging="567"/>
      </w:pPr>
      <w:r>
        <w:t>(c)</w:t>
      </w:r>
      <w:r>
        <w:tab/>
      </w:r>
      <w:r w:rsidR="00F65839">
        <w:t xml:space="preserve">Based on the report from OECD on (a) and (b) above, the PHI-IWG will discuss the next steps as per </w:t>
      </w:r>
      <w:r w:rsidR="00F31C32">
        <w:t>sub-</w:t>
      </w:r>
      <w:r w:rsidR="00F65839">
        <w:t>paragraph 3</w:t>
      </w:r>
      <w:r w:rsidR="00F31C32">
        <w:t> </w:t>
      </w:r>
      <w:r w:rsidR="00F65839">
        <w:t xml:space="preserve">(c) of </w:t>
      </w:r>
      <w:r w:rsidR="00A25919">
        <w:t>its t</w:t>
      </w:r>
      <w:r w:rsidR="00F65839">
        <w:t xml:space="preserve">erms of </w:t>
      </w:r>
      <w:r w:rsidR="00A25919">
        <w:t>r</w:t>
      </w:r>
      <w:r w:rsidR="00F65839">
        <w:t xml:space="preserve">eference </w:t>
      </w:r>
      <w:r w:rsidR="00316BE2">
        <w:t>(see</w:t>
      </w:r>
      <w:r w:rsidR="00F31C32">
        <w:t> </w:t>
      </w:r>
      <w:r w:rsidR="00684730">
        <w:t>informal document INF.39 (forty</w:t>
      </w:r>
      <w:r w:rsidR="00B67E2E">
        <w:t>-third session)</w:t>
      </w:r>
      <w:r w:rsidR="006B3D99">
        <w:rPr>
          <w:rStyle w:val="FootnoteReference"/>
        </w:rPr>
        <w:footnoteReference w:id="13"/>
      </w:r>
      <w:r w:rsidR="00B67E2E">
        <w:t xml:space="preserve"> </w:t>
      </w:r>
      <w:r w:rsidR="00F65839">
        <w:t>and</w:t>
      </w:r>
      <w:r w:rsidR="00F65839" w:rsidRPr="003E5231">
        <w:t xml:space="preserve"> </w:t>
      </w:r>
      <w:r w:rsidRPr="003E5231">
        <w:t>propose recommendations to the GHS Sub-</w:t>
      </w:r>
      <w:r w:rsidR="00F31C32">
        <w:t>C</w:t>
      </w:r>
      <w:r w:rsidRPr="003E5231">
        <w:t>ommittee on how to proceed. The GHS Sub-</w:t>
      </w:r>
      <w:r w:rsidR="0054678E">
        <w:t>C</w:t>
      </w:r>
      <w:r w:rsidRPr="003E5231">
        <w:t xml:space="preserve">ommittee </w:t>
      </w:r>
      <w:r w:rsidR="0054678E">
        <w:t xml:space="preserve">could </w:t>
      </w:r>
      <w:r w:rsidRPr="003E5231">
        <w:t>then task the OECD with a specific request on how to fill any gaps</w:t>
      </w:r>
      <w:r w:rsidR="00C84A49">
        <w:t>;</w:t>
      </w:r>
      <w:r w:rsidR="00F65839" w:rsidRPr="003E5231">
        <w:t xml:space="preserve"> </w:t>
      </w:r>
    </w:p>
    <w:p w14:paraId="5A7CA951" w14:textId="55683918" w:rsidR="00F65839" w:rsidRPr="008F00C8" w:rsidRDefault="0089739A" w:rsidP="003E5231">
      <w:pPr>
        <w:pStyle w:val="SingleTxtG"/>
        <w:tabs>
          <w:tab w:val="clear" w:pos="1701"/>
          <w:tab w:val="clear" w:pos="2268"/>
          <w:tab w:val="clear" w:pos="2835"/>
        </w:tabs>
        <w:suppressAutoHyphens/>
        <w:kinsoku w:val="0"/>
        <w:overflowPunct w:val="0"/>
        <w:autoSpaceDE w:val="0"/>
        <w:autoSpaceDN w:val="0"/>
        <w:adjustRightInd w:val="0"/>
        <w:snapToGrid w:val="0"/>
        <w:ind w:left="2265" w:hanging="564"/>
      </w:pPr>
      <w:r w:rsidRPr="00F2549A">
        <w:rPr>
          <w:lang w:val="en-IE"/>
        </w:rPr>
        <w:t>(d)</w:t>
      </w:r>
      <w:r w:rsidRPr="008F00C8">
        <w:tab/>
      </w:r>
      <w:r w:rsidR="003E5231">
        <w:tab/>
      </w:r>
      <w:r w:rsidR="00675693">
        <w:t>R</w:t>
      </w:r>
      <w:r w:rsidR="00F65839" w:rsidRPr="008F00C8">
        <w:t>eport to the GHS Sub-Committee at each plenary session on the progress made in the implementation on the current mandate. The first report should include a provisional timetable</w:t>
      </w:r>
      <w:r w:rsidR="00C84A49">
        <w:t>;</w:t>
      </w:r>
    </w:p>
    <w:p w14:paraId="4995BA83" w14:textId="5D808408" w:rsidR="006F177B" w:rsidRPr="008F00C8" w:rsidRDefault="0089739A" w:rsidP="008F00C8">
      <w:pPr>
        <w:pStyle w:val="SingleTxtG"/>
        <w:tabs>
          <w:tab w:val="clear" w:pos="1701"/>
        </w:tabs>
        <w:ind w:left="2268" w:hanging="567"/>
      </w:pPr>
      <w:r w:rsidRPr="00F2549A">
        <w:rPr>
          <w:lang w:val="en-IE"/>
        </w:rPr>
        <w:t>(e)</w:t>
      </w:r>
      <w:r w:rsidRPr="008F00C8">
        <w:tab/>
      </w:r>
      <w:r w:rsidR="00675693">
        <w:t>E</w:t>
      </w:r>
      <w:r w:rsidR="00F65839" w:rsidRPr="008F00C8">
        <w:t>ngage with the PHI-IWG as questions arise and progress warrants.</w:t>
      </w:r>
    </w:p>
    <w:p w14:paraId="57B735D6" w14:textId="77777777" w:rsidR="00F65839" w:rsidRDefault="00F65839" w:rsidP="00B86F48">
      <w:pPr>
        <w:pStyle w:val="HChG"/>
        <w:pageBreakBefore/>
      </w:pPr>
      <w:r>
        <w:lastRenderedPageBreak/>
        <w:tab/>
      </w:r>
      <w:r>
        <w:tab/>
        <w:t>Action requested</w:t>
      </w:r>
    </w:p>
    <w:p w14:paraId="2A992BAF" w14:textId="32BFD4F8" w:rsidR="00F65839" w:rsidRPr="008D0E0D" w:rsidRDefault="0089739A" w:rsidP="008F00C8">
      <w:pPr>
        <w:pStyle w:val="SingleTxtG"/>
      </w:pPr>
      <w:r w:rsidRPr="008D0E0D">
        <w:t>13.</w:t>
      </w:r>
      <w:r w:rsidRPr="008D0E0D">
        <w:tab/>
      </w:r>
      <w:r w:rsidR="00F65839" w:rsidRPr="008D0E0D">
        <w:t>The GHS Sub-Committee is invited to consider the proposed mandate for OECD on endocrine disruptors as presented in paragraph 12.</w:t>
      </w:r>
    </w:p>
    <w:p w14:paraId="006B800C" w14:textId="2B7F96C0" w:rsidR="00690C7F" w:rsidRPr="00F2549A" w:rsidRDefault="00F2549A" w:rsidP="00F2549A">
      <w:pPr>
        <w:spacing w:before="240"/>
        <w:jc w:val="center"/>
        <w:rPr>
          <w:u w:val="single"/>
        </w:rPr>
      </w:pPr>
      <w:r>
        <w:rPr>
          <w:u w:val="single"/>
        </w:rPr>
        <w:tab/>
      </w:r>
      <w:r>
        <w:rPr>
          <w:u w:val="single"/>
        </w:rPr>
        <w:tab/>
      </w:r>
      <w:r>
        <w:rPr>
          <w:u w:val="single"/>
        </w:rPr>
        <w:tab/>
      </w:r>
    </w:p>
    <w:sectPr w:rsidR="00690C7F" w:rsidRPr="00F2549A" w:rsidSect="00E36B6A">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F9C0" w14:textId="77777777" w:rsidR="00967F9E" w:rsidRPr="00C47B2E" w:rsidRDefault="00967F9E" w:rsidP="00C47B2E">
      <w:pPr>
        <w:pStyle w:val="Footer"/>
      </w:pPr>
    </w:p>
  </w:endnote>
  <w:endnote w:type="continuationSeparator" w:id="0">
    <w:p w14:paraId="478A0860" w14:textId="77777777" w:rsidR="00967F9E" w:rsidRPr="00C47B2E" w:rsidRDefault="00967F9E" w:rsidP="00C47B2E">
      <w:pPr>
        <w:pStyle w:val="Footer"/>
      </w:pPr>
    </w:p>
  </w:endnote>
  <w:endnote w:type="continuationNotice" w:id="1">
    <w:p w14:paraId="09295E92" w14:textId="77777777" w:rsidR="00967F9E" w:rsidRPr="00C47B2E" w:rsidRDefault="00967F9E"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86CF" w14:textId="564D5461" w:rsidR="00D94B05" w:rsidRPr="00E36B6A" w:rsidRDefault="00E36B6A" w:rsidP="00E36B6A">
    <w:pPr>
      <w:pStyle w:val="Footer"/>
      <w:tabs>
        <w:tab w:val="right" w:pos="9598"/>
        <w:tab w:val="right" w:pos="9638"/>
      </w:tabs>
      <w:rPr>
        <w:sz w:val="18"/>
      </w:rPr>
    </w:pPr>
    <w:r w:rsidRPr="00E36B6A">
      <w:rPr>
        <w:b/>
        <w:sz w:val="18"/>
      </w:rPr>
      <w:fldChar w:fldCharType="begin"/>
    </w:r>
    <w:r w:rsidRPr="00E36B6A">
      <w:rPr>
        <w:b/>
        <w:sz w:val="18"/>
      </w:rPr>
      <w:instrText xml:space="preserve"> PAGE  \* MERGEFORMAT </w:instrText>
    </w:r>
    <w:r w:rsidRPr="00E36B6A">
      <w:rPr>
        <w:b/>
        <w:sz w:val="18"/>
      </w:rPr>
      <w:fldChar w:fldCharType="separate"/>
    </w:r>
    <w:r w:rsidRPr="00E36B6A">
      <w:rPr>
        <w:b/>
        <w:noProof/>
        <w:sz w:val="18"/>
      </w:rPr>
      <w:t>2</w:t>
    </w:r>
    <w:r w:rsidRPr="00E36B6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59AE" w14:textId="3D24F64F" w:rsidR="00D94B05" w:rsidRPr="008F00C8" w:rsidRDefault="00E36B6A" w:rsidP="008F00C8">
    <w:pPr>
      <w:pStyle w:val="Footer"/>
      <w:tabs>
        <w:tab w:val="left" w:pos="5775"/>
        <w:tab w:val="right" w:pos="9598"/>
        <w:tab w:val="right" w:pos="9638"/>
      </w:tabs>
      <w:jc w:val="right"/>
      <w:rPr>
        <w:b/>
        <w:bCs/>
        <w:sz w:val="18"/>
      </w:rPr>
    </w:pPr>
    <w:r>
      <w:rPr>
        <w:b/>
        <w:sz w:val="18"/>
      </w:rPr>
      <w:tab/>
    </w:r>
    <w:r w:rsidRPr="008F00C8">
      <w:rPr>
        <w:b/>
        <w:bCs/>
        <w:sz w:val="18"/>
      </w:rPr>
      <w:fldChar w:fldCharType="begin"/>
    </w:r>
    <w:r w:rsidRPr="008F00C8">
      <w:rPr>
        <w:b/>
        <w:bCs/>
        <w:sz w:val="18"/>
        <w:rPrChange w:id="0" w:author="Rosa Garcia Couto" w:date="2023-04-18T11:50:00Z">
          <w:rPr>
            <w:sz w:val="18"/>
          </w:rPr>
        </w:rPrChange>
      </w:rPr>
      <w:instrText xml:space="preserve"> PAGE  \* MERGEFORMAT </w:instrText>
    </w:r>
    <w:r w:rsidRPr="008F00C8">
      <w:rPr>
        <w:b/>
        <w:bCs/>
        <w:sz w:val="18"/>
      </w:rPr>
      <w:fldChar w:fldCharType="separate"/>
    </w:r>
    <w:r w:rsidRPr="008F00C8">
      <w:rPr>
        <w:b/>
        <w:bCs/>
        <w:noProof/>
        <w:sz w:val="18"/>
        <w:rPrChange w:id="1" w:author="Rosa Garcia Couto" w:date="2023-04-18T11:50:00Z">
          <w:rPr>
            <w:noProof/>
            <w:sz w:val="18"/>
          </w:rPr>
        </w:rPrChange>
      </w:rPr>
      <w:t>3</w:t>
    </w:r>
    <w:r w:rsidRPr="008F00C8">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9909" w14:textId="6B66F949" w:rsidR="00D94B05" w:rsidRDefault="00F31ABA" w:rsidP="00F31ABA">
    <w:pPr>
      <w:pStyle w:val="Footer"/>
      <w:rPr>
        <w:rFonts w:asciiTheme="majorBidi" w:hAnsiTheme="majorBidi" w:cstheme="majorBidi"/>
        <w:sz w:val="20"/>
      </w:rPr>
    </w:pPr>
    <w:r w:rsidRPr="00F31ABA">
      <w:rPr>
        <w:rFonts w:asciiTheme="majorBidi" w:hAnsiTheme="majorBidi" w:cstheme="majorBidi"/>
        <w:noProof/>
        <w:sz w:val="20"/>
        <w:lang w:val="en-US"/>
      </w:rPr>
      <w:drawing>
        <wp:anchor distT="0" distB="0" distL="114300" distR="114300" simplePos="0" relativeHeight="251660288" behindDoc="0" locked="1" layoutInCell="1" allowOverlap="1" wp14:anchorId="61A6E6B0" wp14:editId="5AECE945">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6A73840" w14:textId="3D68D3BD" w:rsidR="00F31ABA" w:rsidRPr="00F31ABA" w:rsidRDefault="00F31ABA" w:rsidP="00F31ABA">
    <w:pPr>
      <w:pStyle w:val="Footer"/>
      <w:ind w:right="1134"/>
      <w:rPr>
        <w:rFonts w:asciiTheme="majorBidi" w:hAnsiTheme="majorBidi" w:cstheme="majorBidi"/>
        <w:sz w:val="20"/>
      </w:rPr>
    </w:pPr>
    <w:r>
      <w:rPr>
        <w:rFonts w:asciiTheme="majorBidi" w:hAnsiTheme="majorBidi" w:cstheme="majorBidi"/>
        <w:sz w:val="20"/>
      </w:rPr>
      <w:t>GE.23-07968(E)</w:t>
    </w:r>
    <w:r>
      <w:rPr>
        <w:rFonts w:asciiTheme="majorBidi" w:hAnsiTheme="majorBidi" w:cstheme="majorBidi"/>
        <w:noProof/>
        <w:sz w:val="20"/>
      </w:rPr>
      <w:drawing>
        <wp:anchor distT="0" distB="0" distL="114300" distR="114300" simplePos="0" relativeHeight="251661312" behindDoc="0" locked="0" layoutInCell="1" allowOverlap="1" wp14:anchorId="7CE89034" wp14:editId="7C34165A">
          <wp:simplePos x="0" y="0"/>
          <wp:positionH relativeFrom="margin">
            <wp:posOffset>5615940</wp:posOffset>
          </wp:positionH>
          <wp:positionV relativeFrom="margin">
            <wp:posOffset>8905875</wp:posOffset>
          </wp:positionV>
          <wp:extent cx="561975" cy="5619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9152" w14:textId="77777777" w:rsidR="00967F9E" w:rsidRPr="00C47B2E" w:rsidRDefault="00967F9E" w:rsidP="00C47B2E">
      <w:pPr>
        <w:tabs>
          <w:tab w:val="right" w:pos="2155"/>
        </w:tabs>
        <w:spacing w:after="80" w:line="240" w:lineRule="auto"/>
        <w:ind w:left="680"/>
      </w:pPr>
      <w:r>
        <w:rPr>
          <w:u w:val="single"/>
        </w:rPr>
        <w:tab/>
      </w:r>
    </w:p>
  </w:footnote>
  <w:footnote w:type="continuationSeparator" w:id="0">
    <w:p w14:paraId="0FDCA872" w14:textId="77777777" w:rsidR="00967F9E" w:rsidRPr="00C47B2E" w:rsidRDefault="00967F9E" w:rsidP="005E716E">
      <w:pPr>
        <w:tabs>
          <w:tab w:val="right" w:pos="2155"/>
        </w:tabs>
        <w:spacing w:after="80" w:line="240" w:lineRule="auto"/>
        <w:ind w:left="680"/>
      </w:pPr>
      <w:r>
        <w:rPr>
          <w:u w:val="single"/>
        </w:rPr>
        <w:tab/>
      </w:r>
    </w:p>
  </w:footnote>
  <w:footnote w:type="continuationNotice" w:id="1">
    <w:p w14:paraId="13BC5ABB" w14:textId="77777777" w:rsidR="00967F9E" w:rsidRPr="00C47B2E" w:rsidRDefault="00967F9E" w:rsidP="00C47B2E">
      <w:pPr>
        <w:pStyle w:val="Footer"/>
      </w:pPr>
    </w:p>
  </w:footnote>
  <w:footnote w:id="2">
    <w:p w14:paraId="4346BC25" w14:textId="62654331" w:rsidR="00866B29" w:rsidRPr="00866B29" w:rsidRDefault="00866B29">
      <w:pPr>
        <w:pStyle w:val="FootnoteText"/>
        <w:rPr>
          <w:lang w:val="fr-CH"/>
        </w:rPr>
      </w:pPr>
      <w:r>
        <w:rPr>
          <w:rStyle w:val="FootnoteReference"/>
        </w:rPr>
        <w:tab/>
      </w:r>
      <w:r w:rsidRPr="00866B29">
        <w:rPr>
          <w:rStyle w:val="FootnoteReference"/>
          <w:sz w:val="20"/>
          <w:vertAlign w:val="baseline"/>
        </w:rPr>
        <w:t>*</w:t>
      </w:r>
      <w:r>
        <w:rPr>
          <w:rStyle w:val="FootnoteReference"/>
          <w:sz w:val="20"/>
          <w:vertAlign w:val="baseline"/>
        </w:rPr>
        <w:tab/>
      </w:r>
      <w:r>
        <w:t>A/77/6 (Sect. 20), table 20.6.</w:t>
      </w:r>
    </w:p>
  </w:footnote>
  <w:footnote w:id="3">
    <w:p w14:paraId="252F2511" w14:textId="374FC12B" w:rsidR="00211627" w:rsidRPr="00726CAC" w:rsidRDefault="00211627" w:rsidP="00211627">
      <w:pPr>
        <w:pStyle w:val="FootnoteText"/>
        <w:widowControl w:val="0"/>
        <w:tabs>
          <w:tab w:val="clear" w:pos="1021"/>
          <w:tab w:val="right" w:pos="1020"/>
        </w:tabs>
        <w:suppressAutoHyphens/>
        <w:rPr>
          <w:lang w:val="en-IE"/>
        </w:rPr>
      </w:pPr>
      <w:r>
        <w:tab/>
      </w:r>
      <w:r>
        <w:rPr>
          <w:rStyle w:val="FootnoteReference"/>
        </w:rPr>
        <w:footnoteRef/>
      </w:r>
      <w:r>
        <w:tab/>
      </w:r>
      <w:r w:rsidRPr="00211627">
        <w:t>Report of the Sub-Committee of Experts on the Globally Harmonized System of Classification and Labelling of Chemicals on its forty-third session</w:t>
      </w:r>
      <w:r>
        <w:rPr>
          <w:rStyle w:val="Hyperlink"/>
        </w:rPr>
        <w:t xml:space="preserve"> (</w:t>
      </w:r>
      <w:hyperlink r:id="rId1" w:history="1">
        <w:r w:rsidRPr="00211627">
          <w:rPr>
            <w:rStyle w:val="Hyperlink"/>
          </w:rPr>
          <w:t>ST/SG/AC.10/C.4/86, paragraph 53</w:t>
        </w:r>
      </w:hyperlink>
      <w:r>
        <w:t>)</w:t>
      </w:r>
    </w:p>
  </w:footnote>
  <w:footnote w:id="4">
    <w:p w14:paraId="40FB0DD8" w14:textId="09B26D42" w:rsidR="00211627" w:rsidRPr="00726CAC" w:rsidRDefault="00211627" w:rsidP="00211627">
      <w:pPr>
        <w:pStyle w:val="FootnoteText"/>
        <w:widowControl w:val="0"/>
        <w:tabs>
          <w:tab w:val="clear" w:pos="1021"/>
          <w:tab w:val="right" w:pos="1020"/>
        </w:tabs>
        <w:suppressAutoHyphens/>
        <w:rPr>
          <w:lang w:val="en-IE"/>
        </w:rPr>
      </w:pPr>
      <w:r>
        <w:tab/>
      </w:r>
      <w:r>
        <w:rPr>
          <w:rStyle w:val="FootnoteReference"/>
        </w:rPr>
        <w:footnoteRef/>
      </w:r>
      <w:r>
        <w:tab/>
      </w:r>
      <w:hyperlink r:id="rId2" w:history="1">
        <w:r>
          <w:rPr>
            <w:rStyle w:val="Hyperlink"/>
          </w:rPr>
          <w:t>Addendum to ST/SG/AC.10/C.4/2022/18 - unaddressed hazard classes: Updated terms of reference and workplan</w:t>
        </w:r>
      </w:hyperlink>
    </w:p>
  </w:footnote>
  <w:footnote w:id="5">
    <w:p w14:paraId="2A5AAFC3" w14:textId="103734EF" w:rsidR="00634C9A" w:rsidRPr="00726CAC" w:rsidRDefault="00634C9A" w:rsidP="00634C9A">
      <w:pPr>
        <w:pStyle w:val="FootnoteText"/>
        <w:widowControl w:val="0"/>
        <w:tabs>
          <w:tab w:val="clear" w:pos="1021"/>
          <w:tab w:val="right" w:pos="1020"/>
        </w:tabs>
        <w:suppressAutoHyphens/>
        <w:rPr>
          <w:lang w:val="en-IE"/>
        </w:rPr>
      </w:pPr>
      <w:r>
        <w:tab/>
      </w:r>
      <w:r>
        <w:rPr>
          <w:rStyle w:val="FootnoteReference"/>
        </w:rPr>
        <w:footnoteRef/>
      </w:r>
      <w:r>
        <w:tab/>
      </w:r>
      <w:hyperlink r:id="rId3" w:history="1">
        <w:r>
          <w:rPr>
            <w:rStyle w:val="Hyperlink"/>
          </w:rPr>
          <w:t xml:space="preserve">Proposal for new work on unaddressed hazard classes in the programme of work for the biennium 2023-2024 </w:t>
        </w:r>
      </w:hyperlink>
    </w:p>
  </w:footnote>
  <w:footnote w:id="6">
    <w:p w14:paraId="59DA29AB" w14:textId="6B949727" w:rsidR="00773910" w:rsidRDefault="0054678E" w:rsidP="00773910">
      <w:pPr>
        <w:pStyle w:val="FootnoteText"/>
        <w:rPr>
          <w:lang w:val="en-IE"/>
        </w:rPr>
      </w:pPr>
      <w:r>
        <w:rPr>
          <w:lang w:val="en-IE"/>
        </w:rPr>
        <w:tab/>
      </w:r>
      <w:r w:rsidR="00F65839">
        <w:rPr>
          <w:rStyle w:val="FootnoteReference"/>
        </w:rPr>
        <w:footnoteRef/>
      </w:r>
      <w:r w:rsidR="00F65839">
        <w:rPr>
          <w:lang w:val="en-IE"/>
        </w:rPr>
        <w:t xml:space="preserve"> </w:t>
      </w:r>
      <w:r>
        <w:rPr>
          <w:lang w:val="en-IE"/>
        </w:rPr>
        <w:tab/>
      </w:r>
      <w:r w:rsidR="00F65839">
        <w:rPr>
          <w:lang w:val="en-IE"/>
        </w:rPr>
        <w:t xml:space="preserve">See </w:t>
      </w:r>
      <w:hyperlink r:id="rId4" w:history="1">
        <w:r w:rsidR="009B56CB" w:rsidRPr="00BC4FB4">
          <w:rPr>
            <w:rStyle w:val="Hyperlink"/>
            <w:lang w:val="en-IE"/>
          </w:rPr>
          <w:t xml:space="preserve">informal document </w:t>
        </w:r>
        <w:r w:rsidR="00F65839" w:rsidRPr="00BC4FB4">
          <w:rPr>
            <w:rStyle w:val="Hyperlink"/>
            <w:lang w:val="en-IE"/>
          </w:rPr>
          <w:t>INF.39</w:t>
        </w:r>
        <w:r w:rsidR="009B56CB" w:rsidRPr="00BC4FB4">
          <w:rPr>
            <w:rStyle w:val="Hyperlink"/>
            <w:lang w:val="en-IE"/>
          </w:rPr>
          <w:t xml:space="preserve"> (forty-third session)</w:t>
        </w:r>
        <w:r w:rsidR="00F65839" w:rsidRPr="00BC4FB4">
          <w:rPr>
            <w:rStyle w:val="Hyperlink"/>
            <w:lang w:val="en-IE"/>
          </w:rPr>
          <w:t>, paragraph 4</w:t>
        </w:r>
      </w:hyperlink>
      <w:r w:rsidR="00BC4FB4">
        <w:rPr>
          <w:lang w:val="en-IE"/>
        </w:rPr>
        <w:t>.</w:t>
      </w:r>
    </w:p>
  </w:footnote>
  <w:footnote w:id="7">
    <w:p w14:paraId="07628413" w14:textId="10711D8A" w:rsidR="00F65839" w:rsidRDefault="0054678E" w:rsidP="00F65839">
      <w:pPr>
        <w:pStyle w:val="FootnoteText"/>
      </w:pPr>
      <w:r>
        <w:tab/>
      </w:r>
      <w:r w:rsidR="00F65839">
        <w:rPr>
          <w:rStyle w:val="FootnoteReference"/>
        </w:rPr>
        <w:footnoteRef/>
      </w:r>
      <w:r w:rsidR="00F65839">
        <w:t xml:space="preserve"> </w:t>
      </w:r>
      <w:r>
        <w:tab/>
      </w:r>
      <w:r w:rsidR="00F65839">
        <w:t xml:space="preserve">WHO/UNEP, 2013. </w:t>
      </w:r>
      <w:hyperlink r:id="rId5" w:history="1">
        <w:r w:rsidR="00F65839">
          <w:rPr>
            <w:rStyle w:val="Hyperlink"/>
          </w:rPr>
          <w:t>State of the Science of Endocrine Disputing Chemicals</w:t>
        </w:r>
      </w:hyperlink>
      <w:r w:rsidR="00F65839">
        <w:t>; Vandenberg, L. N. and Turgeon, J. L., 2021. Endocrine-Disrupting Chemicals. Advances in Pharmacology, 92.</w:t>
      </w:r>
    </w:p>
  </w:footnote>
  <w:footnote w:id="8">
    <w:p w14:paraId="697170F1" w14:textId="19EAAC31" w:rsidR="00F65839" w:rsidRDefault="0054678E" w:rsidP="00F65839">
      <w:pPr>
        <w:pStyle w:val="FootnoteText"/>
        <w:rPr>
          <w:rFonts w:ascii="Verdana" w:hAnsi="Verdana"/>
          <w:lang w:val="en-IE"/>
        </w:rPr>
      </w:pPr>
      <w:r>
        <w:tab/>
      </w:r>
      <w:r w:rsidR="00F65839">
        <w:rPr>
          <w:rStyle w:val="FootnoteReference"/>
        </w:rPr>
        <w:footnoteRef/>
      </w:r>
      <w:r w:rsidR="00F65839">
        <w:t xml:space="preserve"> </w:t>
      </w:r>
      <w:r>
        <w:tab/>
      </w:r>
      <w:hyperlink r:id="rId6" w:history="1">
        <w:r w:rsidRPr="00886ED1">
          <w:rPr>
            <w:rStyle w:val="Hyperlink"/>
          </w:rPr>
          <w:t>https://www.who.int/ipcs/publications/new_issues/endocrine_disruptors/en/</w:t>
        </w:r>
      </w:hyperlink>
      <w:r w:rsidR="00F65839">
        <w:rPr>
          <w:rStyle w:val="Hyperlink"/>
        </w:rPr>
        <w:t xml:space="preserve"> : </w:t>
      </w:r>
      <w:r w:rsidR="00F65839">
        <w:rPr>
          <w:snapToGrid w:val="0"/>
          <w:color w:val="000000" w:themeColor="text1"/>
        </w:rPr>
        <w:t>"</w:t>
      </w:r>
      <w:r w:rsidR="00F65839">
        <w:rPr>
          <w:i/>
          <w:iCs/>
          <w:snapToGrid w:val="0"/>
          <w:color w:val="000000" w:themeColor="text1"/>
        </w:rPr>
        <w:t xml:space="preserve">an exogenous substance or mixture that alters function(s) of the endocrine system and consequently </w:t>
      </w:r>
      <w:r w:rsidR="00F65839">
        <w:rPr>
          <w:i/>
          <w:iCs/>
          <w:lang w:val="en-IE"/>
        </w:rPr>
        <w:t>causes</w:t>
      </w:r>
      <w:r w:rsidR="00F65839">
        <w:rPr>
          <w:i/>
          <w:iCs/>
          <w:snapToGrid w:val="0"/>
          <w:color w:val="000000" w:themeColor="text1"/>
        </w:rPr>
        <w:t xml:space="preserve"> adverse health effects in an intact organism, or its progeny, or (sub)populations</w:t>
      </w:r>
      <w:r w:rsidR="00F65839">
        <w:rPr>
          <w:snapToGrid w:val="0"/>
          <w:color w:val="000000" w:themeColor="text1"/>
        </w:rPr>
        <w:t>"</w:t>
      </w:r>
      <w:r>
        <w:rPr>
          <w:snapToGrid w:val="0"/>
          <w:color w:val="000000" w:themeColor="text1"/>
        </w:rPr>
        <w:t>.</w:t>
      </w:r>
    </w:p>
  </w:footnote>
  <w:footnote w:id="9">
    <w:p w14:paraId="4006B58D" w14:textId="253B03C1" w:rsidR="00F65839" w:rsidRDefault="00897534" w:rsidP="00F65839">
      <w:pPr>
        <w:pStyle w:val="FootnoteText"/>
      </w:pPr>
      <w:r>
        <w:tab/>
      </w:r>
      <w:r w:rsidR="00F65839">
        <w:rPr>
          <w:rStyle w:val="FootnoteReference"/>
        </w:rPr>
        <w:footnoteRef/>
      </w:r>
      <w:r w:rsidR="00F65839">
        <w:t xml:space="preserve"> </w:t>
      </w:r>
      <w:r>
        <w:tab/>
      </w:r>
      <w:r w:rsidR="00F65839">
        <w:t xml:space="preserve">OECD, 2018. </w:t>
      </w:r>
      <w:hyperlink r:id="rId7" w:history="1">
        <w:r w:rsidR="00F65839">
          <w:rPr>
            <w:rStyle w:val="Hyperlink"/>
          </w:rPr>
          <w:t>Revised Guidance Document 150 on Standardised Test Guidelines for Evaluating Chemicals for Endocrine Disruption</w:t>
        </w:r>
      </w:hyperlink>
    </w:p>
  </w:footnote>
  <w:footnote w:id="10">
    <w:p w14:paraId="5C6FC08E" w14:textId="320F1D85" w:rsidR="00F65839" w:rsidRDefault="00897534" w:rsidP="00F65839">
      <w:pPr>
        <w:pStyle w:val="FootnoteText"/>
      </w:pPr>
      <w:r>
        <w:tab/>
      </w:r>
      <w:r w:rsidR="00F65839">
        <w:rPr>
          <w:rStyle w:val="FootnoteReference"/>
        </w:rPr>
        <w:footnoteRef/>
      </w:r>
      <w:r w:rsidR="00F65839">
        <w:t xml:space="preserve"> </w:t>
      </w:r>
      <w:r>
        <w:tab/>
      </w:r>
      <w:r w:rsidR="00F65839">
        <w:t xml:space="preserve">WHO/UNEP, 2013. </w:t>
      </w:r>
      <w:hyperlink r:id="rId8" w:history="1">
        <w:r w:rsidR="00F65839">
          <w:rPr>
            <w:rStyle w:val="Hyperlink"/>
          </w:rPr>
          <w:t>State of the Science of Endocrine Disputing Chemicals</w:t>
        </w:r>
      </w:hyperlink>
    </w:p>
  </w:footnote>
  <w:footnote w:id="11">
    <w:p w14:paraId="463AFBBA" w14:textId="6854D25B" w:rsidR="00F65839" w:rsidRDefault="00897534" w:rsidP="00F65839">
      <w:pPr>
        <w:pStyle w:val="FootnoteText"/>
      </w:pPr>
      <w:r>
        <w:tab/>
      </w:r>
      <w:r w:rsidR="00F65839">
        <w:rPr>
          <w:rStyle w:val="FootnoteReference"/>
        </w:rPr>
        <w:footnoteRef/>
      </w:r>
      <w:r w:rsidR="00F65839">
        <w:t xml:space="preserve"> </w:t>
      </w:r>
      <w:r>
        <w:tab/>
      </w:r>
      <w:r w:rsidR="00F65839">
        <w:t xml:space="preserve">WHO/IPCS, 2002. </w:t>
      </w:r>
      <w:hyperlink r:id="rId9" w:history="1">
        <w:r w:rsidR="00F65839">
          <w:rPr>
            <w:rStyle w:val="Hyperlink"/>
          </w:rPr>
          <w:t>Global assessment on the state of the science of endocrine disruptors</w:t>
        </w:r>
      </w:hyperlink>
    </w:p>
  </w:footnote>
  <w:footnote w:id="12">
    <w:p w14:paraId="5FD7D6E0" w14:textId="72C4143D" w:rsidR="00F65839" w:rsidRDefault="00897534" w:rsidP="00F65839">
      <w:pPr>
        <w:pStyle w:val="FootnoteText"/>
        <w:rPr>
          <w:lang w:val="en-US"/>
        </w:rPr>
      </w:pPr>
      <w:r>
        <w:rPr>
          <w:lang w:val="en-US"/>
        </w:rPr>
        <w:tab/>
      </w:r>
      <w:r w:rsidR="00F65839">
        <w:rPr>
          <w:rStyle w:val="FootnoteReference"/>
        </w:rPr>
        <w:footnoteRef/>
      </w:r>
      <w:r w:rsidR="00F65839">
        <w:rPr>
          <w:lang w:val="en-US"/>
        </w:rPr>
        <w:t xml:space="preserve"> </w:t>
      </w:r>
      <w:r>
        <w:rPr>
          <w:lang w:val="en-US"/>
        </w:rPr>
        <w:tab/>
      </w:r>
      <w:hyperlink r:id="rId10" w:history="1">
        <w:r w:rsidRPr="00886ED1">
          <w:rPr>
            <w:rStyle w:val="Hyperlink"/>
            <w:lang w:val="en-US"/>
          </w:rPr>
          <w:t>https://wedocs.unep.org/bitstream/handle/20.500.11822/25636/edc_report3.pdf</w:t>
        </w:r>
      </w:hyperlink>
    </w:p>
  </w:footnote>
  <w:footnote w:id="13">
    <w:p w14:paraId="431E4F24" w14:textId="1077E1D8" w:rsidR="006B3D99" w:rsidRPr="00726CAC" w:rsidRDefault="00897534">
      <w:pPr>
        <w:pStyle w:val="FootnoteText"/>
        <w:rPr>
          <w:lang w:val="en-US"/>
        </w:rPr>
      </w:pPr>
      <w:r>
        <w:tab/>
      </w:r>
      <w:r w:rsidR="006B3D99">
        <w:rPr>
          <w:rStyle w:val="FootnoteReference"/>
        </w:rPr>
        <w:footnoteRef/>
      </w:r>
      <w:r w:rsidR="006B3D99">
        <w:t xml:space="preserve"> </w:t>
      </w:r>
      <w:r>
        <w:tab/>
      </w:r>
      <w:hyperlink r:id="rId11" w:history="1">
        <w:r w:rsidRPr="00886ED1">
          <w:rPr>
            <w:rStyle w:val="Hyperlink"/>
          </w:rPr>
          <w:t>https://unece.org/sites/default/files/2022-12/ST-SG-AC10-C4-86e_0.pdf</w:t>
        </w:r>
      </w:hyperlink>
      <w:r w:rsidR="003E523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2E7D" w14:textId="2FF4CD08" w:rsidR="00E36B6A" w:rsidRPr="00E36B6A" w:rsidRDefault="00C61A6C">
    <w:pPr>
      <w:pStyle w:val="Header"/>
    </w:pPr>
    <w:r>
      <w:fldChar w:fldCharType="begin"/>
    </w:r>
    <w:r>
      <w:instrText xml:space="preserve"> TITLE  \* MERGEFORMAT </w:instrText>
    </w:r>
    <w:r>
      <w:fldChar w:fldCharType="separate"/>
    </w:r>
    <w:r w:rsidR="00E36B6A">
      <w:t>ST/SG/AC.10/C.4/2023/6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E237" w14:textId="4130C126" w:rsidR="00D94B05" w:rsidRPr="00E36B6A" w:rsidRDefault="00C61A6C" w:rsidP="00E36B6A">
    <w:pPr>
      <w:pStyle w:val="Header"/>
      <w:jc w:val="right"/>
    </w:pPr>
    <w:r>
      <w:fldChar w:fldCharType="begin"/>
    </w:r>
    <w:r>
      <w:instrText xml:space="preserve"> TITLE  \* MERGEFORMAT </w:instrText>
    </w:r>
    <w:r>
      <w:fldChar w:fldCharType="separate"/>
    </w:r>
    <w:r w:rsidR="00E36B6A">
      <w:t>ST/SG/AC.10/C.4/2023/6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38205F2"/>
    <w:multiLevelType w:val="hybridMultilevel"/>
    <w:tmpl w:val="8A1CCFDC"/>
    <w:lvl w:ilvl="0" w:tplc="1809000F">
      <w:start w:val="1"/>
      <w:numFmt w:val="decimal"/>
      <w:lvlText w:val="%1."/>
      <w:lvlJc w:val="left"/>
      <w:pPr>
        <w:ind w:left="1440" w:hanging="360"/>
      </w:pPr>
    </w:lvl>
    <w:lvl w:ilvl="1" w:tplc="788C2814">
      <w:start w:val="1"/>
      <w:numFmt w:val="lowerLetter"/>
      <w:lvlText w:val="(%2)"/>
      <w:lvlJc w:val="left"/>
      <w:pPr>
        <w:ind w:left="2061" w:hanging="360"/>
      </w:pPr>
    </w:lvl>
    <w:lvl w:ilvl="2" w:tplc="1809001B">
      <w:start w:val="1"/>
      <w:numFmt w:val="lowerRoman"/>
      <w:lvlText w:val="%3."/>
      <w:lvlJc w:val="right"/>
      <w:pPr>
        <w:ind w:left="2934" w:hanging="180"/>
      </w:pPr>
    </w:lvl>
    <w:lvl w:ilvl="3" w:tplc="1809000F">
      <w:start w:val="1"/>
      <w:numFmt w:val="decimal"/>
      <w:lvlText w:val="%4."/>
      <w:lvlJc w:val="left"/>
      <w:pPr>
        <w:ind w:left="3654" w:hanging="360"/>
      </w:pPr>
    </w:lvl>
    <w:lvl w:ilvl="4" w:tplc="18090019">
      <w:start w:val="1"/>
      <w:numFmt w:val="lowerLetter"/>
      <w:lvlText w:val="%5."/>
      <w:lvlJc w:val="left"/>
      <w:pPr>
        <w:ind w:left="4374" w:hanging="360"/>
      </w:pPr>
    </w:lvl>
    <w:lvl w:ilvl="5" w:tplc="1809001B">
      <w:start w:val="1"/>
      <w:numFmt w:val="lowerRoman"/>
      <w:lvlText w:val="%6."/>
      <w:lvlJc w:val="right"/>
      <w:pPr>
        <w:ind w:left="5094" w:hanging="180"/>
      </w:pPr>
    </w:lvl>
    <w:lvl w:ilvl="6" w:tplc="1809000F">
      <w:start w:val="1"/>
      <w:numFmt w:val="decimal"/>
      <w:lvlText w:val="%7."/>
      <w:lvlJc w:val="left"/>
      <w:pPr>
        <w:ind w:left="5814" w:hanging="360"/>
      </w:pPr>
    </w:lvl>
    <w:lvl w:ilvl="7" w:tplc="18090019">
      <w:start w:val="1"/>
      <w:numFmt w:val="lowerLetter"/>
      <w:lvlText w:val="%8."/>
      <w:lvlJc w:val="left"/>
      <w:pPr>
        <w:ind w:left="6534" w:hanging="360"/>
      </w:pPr>
    </w:lvl>
    <w:lvl w:ilvl="8" w:tplc="1809001B">
      <w:start w:val="1"/>
      <w:numFmt w:val="lowerRoman"/>
      <w:lvlText w:val="%9."/>
      <w:lvlJc w:val="right"/>
      <w:pPr>
        <w:ind w:left="7254" w:hanging="18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E3A89"/>
    <w:multiLevelType w:val="hybridMultilevel"/>
    <w:tmpl w:val="EE8043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A33538"/>
    <w:multiLevelType w:val="hybridMultilevel"/>
    <w:tmpl w:val="75628BF6"/>
    <w:lvl w:ilvl="0" w:tplc="68B69220">
      <w:start w:val="10"/>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536A7"/>
    <w:multiLevelType w:val="hybridMultilevel"/>
    <w:tmpl w:val="235E21AE"/>
    <w:lvl w:ilvl="0" w:tplc="788C2814">
      <w:start w:val="1"/>
      <w:numFmt w:val="lowerLetter"/>
      <w:lvlText w:val="(%1)"/>
      <w:lvlJc w:val="left"/>
      <w:pPr>
        <w:ind w:left="2061" w:hanging="360"/>
      </w:pPr>
    </w:lvl>
    <w:lvl w:ilvl="1" w:tplc="18090019">
      <w:start w:val="1"/>
      <w:numFmt w:val="lowerLetter"/>
      <w:lvlText w:val="%2."/>
      <w:lvlJc w:val="left"/>
      <w:pPr>
        <w:ind w:left="2781" w:hanging="360"/>
      </w:pPr>
    </w:lvl>
    <w:lvl w:ilvl="2" w:tplc="1809001B">
      <w:start w:val="1"/>
      <w:numFmt w:val="lowerRoman"/>
      <w:lvlText w:val="%3."/>
      <w:lvlJc w:val="right"/>
      <w:pPr>
        <w:ind w:left="3501" w:hanging="180"/>
      </w:pPr>
    </w:lvl>
    <w:lvl w:ilvl="3" w:tplc="1809000F">
      <w:start w:val="1"/>
      <w:numFmt w:val="decimal"/>
      <w:lvlText w:val="%4."/>
      <w:lvlJc w:val="left"/>
      <w:pPr>
        <w:ind w:left="4221" w:hanging="360"/>
      </w:pPr>
    </w:lvl>
    <w:lvl w:ilvl="4" w:tplc="18090019">
      <w:start w:val="1"/>
      <w:numFmt w:val="lowerLetter"/>
      <w:lvlText w:val="%5."/>
      <w:lvlJc w:val="left"/>
      <w:pPr>
        <w:ind w:left="4941" w:hanging="360"/>
      </w:pPr>
    </w:lvl>
    <w:lvl w:ilvl="5" w:tplc="1809001B">
      <w:start w:val="1"/>
      <w:numFmt w:val="lowerRoman"/>
      <w:lvlText w:val="%6."/>
      <w:lvlJc w:val="right"/>
      <w:pPr>
        <w:ind w:left="5661" w:hanging="180"/>
      </w:pPr>
    </w:lvl>
    <w:lvl w:ilvl="6" w:tplc="1809000F">
      <w:start w:val="1"/>
      <w:numFmt w:val="decimal"/>
      <w:lvlText w:val="%7."/>
      <w:lvlJc w:val="left"/>
      <w:pPr>
        <w:ind w:left="6381" w:hanging="360"/>
      </w:pPr>
    </w:lvl>
    <w:lvl w:ilvl="7" w:tplc="18090019">
      <w:start w:val="1"/>
      <w:numFmt w:val="lowerLetter"/>
      <w:lvlText w:val="%8."/>
      <w:lvlJc w:val="left"/>
      <w:pPr>
        <w:ind w:left="7101" w:hanging="360"/>
      </w:pPr>
    </w:lvl>
    <w:lvl w:ilvl="8" w:tplc="1809001B">
      <w:start w:val="1"/>
      <w:numFmt w:val="lowerRoman"/>
      <w:lvlText w:val="%9."/>
      <w:lvlJc w:val="right"/>
      <w:pPr>
        <w:ind w:left="7821" w:hanging="180"/>
      </w:pPr>
    </w:lvl>
  </w:abstractNum>
  <w:abstractNum w:abstractNumId="10" w15:restartNumberingAfterBreak="0">
    <w:nsid w:val="491C6BCA"/>
    <w:multiLevelType w:val="hybridMultilevel"/>
    <w:tmpl w:val="1D769AF6"/>
    <w:lvl w:ilvl="0" w:tplc="EEC6B3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4B0DAE"/>
    <w:multiLevelType w:val="hybridMultilevel"/>
    <w:tmpl w:val="6DF02A70"/>
    <w:lvl w:ilvl="0" w:tplc="788C2814">
      <w:start w:val="1"/>
      <w:numFmt w:val="lowerLetter"/>
      <w:lvlText w:val="(%1)"/>
      <w:lvlJc w:val="left"/>
      <w:pPr>
        <w:ind w:left="1494" w:hanging="360"/>
      </w:p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start w:val="1"/>
      <w:numFmt w:val="decimal"/>
      <w:lvlText w:val="%4."/>
      <w:lvlJc w:val="left"/>
      <w:pPr>
        <w:ind w:left="3654" w:hanging="360"/>
      </w:pPr>
    </w:lvl>
    <w:lvl w:ilvl="4" w:tplc="FFFFFFFF">
      <w:start w:val="1"/>
      <w:numFmt w:val="lowerLetter"/>
      <w:lvlText w:val="%5."/>
      <w:lvlJc w:val="left"/>
      <w:pPr>
        <w:ind w:left="4374" w:hanging="360"/>
      </w:pPr>
    </w:lvl>
    <w:lvl w:ilvl="5" w:tplc="FFFFFFFF">
      <w:start w:val="1"/>
      <w:numFmt w:val="lowerRoman"/>
      <w:lvlText w:val="%6."/>
      <w:lvlJc w:val="right"/>
      <w:pPr>
        <w:ind w:left="5094" w:hanging="180"/>
      </w:pPr>
    </w:lvl>
    <w:lvl w:ilvl="6" w:tplc="FFFFFFFF">
      <w:start w:val="1"/>
      <w:numFmt w:val="decimal"/>
      <w:lvlText w:val="%7."/>
      <w:lvlJc w:val="left"/>
      <w:pPr>
        <w:ind w:left="5814" w:hanging="360"/>
      </w:pPr>
    </w:lvl>
    <w:lvl w:ilvl="7" w:tplc="FFFFFFFF">
      <w:start w:val="1"/>
      <w:numFmt w:val="lowerLetter"/>
      <w:lvlText w:val="%8."/>
      <w:lvlJc w:val="left"/>
      <w:pPr>
        <w:ind w:left="6534" w:hanging="360"/>
      </w:pPr>
    </w:lvl>
    <w:lvl w:ilvl="8" w:tplc="FFFFFFFF">
      <w:start w:val="1"/>
      <w:numFmt w:val="lowerRoman"/>
      <w:lvlText w:val="%9."/>
      <w:lvlJc w:val="right"/>
      <w:pPr>
        <w:ind w:left="7254" w:hanging="180"/>
      </w:pPr>
    </w:lvl>
  </w:abstractNum>
  <w:abstractNum w:abstractNumId="12" w15:restartNumberingAfterBreak="0">
    <w:nsid w:val="5A943029"/>
    <w:multiLevelType w:val="hybridMultilevel"/>
    <w:tmpl w:val="EB54A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254FAD"/>
    <w:multiLevelType w:val="hybridMultilevel"/>
    <w:tmpl w:val="C186B47E"/>
    <w:lvl w:ilvl="0" w:tplc="3E4C3432">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597AF2"/>
    <w:multiLevelType w:val="hybridMultilevel"/>
    <w:tmpl w:val="174867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4972D0"/>
    <w:multiLevelType w:val="hybridMultilevel"/>
    <w:tmpl w:val="E558DCCE"/>
    <w:lvl w:ilvl="0" w:tplc="AA1C88FE">
      <w:start w:val="10"/>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44494878">
    <w:abstractNumId w:val="7"/>
  </w:num>
  <w:num w:numId="2" w16cid:durableId="1213347761">
    <w:abstractNumId w:val="5"/>
  </w:num>
  <w:num w:numId="3" w16cid:durableId="247546223">
    <w:abstractNumId w:val="0"/>
  </w:num>
  <w:num w:numId="4" w16cid:durableId="1707951967">
    <w:abstractNumId w:val="14"/>
  </w:num>
  <w:num w:numId="5" w16cid:durableId="1773430189">
    <w:abstractNumId w:val="15"/>
  </w:num>
  <w:num w:numId="6" w16cid:durableId="1919746845">
    <w:abstractNumId w:val="19"/>
  </w:num>
  <w:num w:numId="7" w16cid:durableId="1074741502">
    <w:abstractNumId w:val="4"/>
  </w:num>
  <w:num w:numId="8" w16cid:durableId="1379432076">
    <w:abstractNumId w:val="1"/>
  </w:num>
  <w:num w:numId="9" w16cid:durableId="1255893460">
    <w:abstractNumId w:val="16"/>
  </w:num>
  <w:num w:numId="10" w16cid:durableId="1273853499">
    <w:abstractNumId w:val="1"/>
  </w:num>
  <w:num w:numId="11" w16cid:durableId="156191025">
    <w:abstractNumId w:val="16"/>
  </w:num>
  <w:num w:numId="12" w16cid:durableId="924537634">
    <w:abstractNumId w:val="2"/>
  </w:num>
  <w:num w:numId="13" w16cid:durableId="55318840">
    <w:abstractNumId w:val="2"/>
  </w:num>
  <w:num w:numId="14" w16cid:durableId="21030680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05683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5768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528960">
    <w:abstractNumId w:val="12"/>
  </w:num>
  <w:num w:numId="18" w16cid:durableId="542400554">
    <w:abstractNumId w:val="6"/>
  </w:num>
  <w:num w:numId="19" w16cid:durableId="133180955">
    <w:abstractNumId w:val="17"/>
  </w:num>
  <w:num w:numId="20" w16cid:durableId="105543393">
    <w:abstractNumId w:val="18"/>
  </w:num>
  <w:num w:numId="21" w16cid:durableId="1923178032">
    <w:abstractNumId w:val="8"/>
  </w:num>
  <w:num w:numId="22" w16cid:durableId="1700398410">
    <w:abstractNumId w:val="13"/>
  </w:num>
  <w:num w:numId="23" w16cid:durableId="142168084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a Garcia Couto">
    <w15:presenceInfo w15:providerId="AD" w15:userId="S::rosa.garciacouto@un.org::30e29b13-e96a-4539-ac2f-24abd1083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SGAC10_E"/>
  </w:docVars>
  <w:rsids>
    <w:rsidRoot w:val="00E36B6A"/>
    <w:rsid w:val="00010BA8"/>
    <w:rsid w:val="0002408B"/>
    <w:rsid w:val="00025897"/>
    <w:rsid w:val="00042D27"/>
    <w:rsid w:val="00046E92"/>
    <w:rsid w:val="00063C90"/>
    <w:rsid w:val="00066561"/>
    <w:rsid w:val="00070000"/>
    <w:rsid w:val="00070779"/>
    <w:rsid w:val="000749FE"/>
    <w:rsid w:val="000A2AFD"/>
    <w:rsid w:val="000A7B00"/>
    <w:rsid w:val="000B0A02"/>
    <w:rsid w:val="000B302F"/>
    <w:rsid w:val="00101B98"/>
    <w:rsid w:val="00114A9A"/>
    <w:rsid w:val="00133ECC"/>
    <w:rsid w:val="00136517"/>
    <w:rsid w:val="00136A8E"/>
    <w:rsid w:val="00145584"/>
    <w:rsid w:val="001514D1"/>
    <w:rsid w:val="001621E6"/>
    <w:rsid w:val="001B77AC"/>
    <w:rsid w:val="001D187A"/>
    <w:rsid w:val="001E42EC"/>
    <w:rsid w:val="001F3E16"/>
    <w:rsid w:val="001F44DB"/>
    <w:rsid w:val="001F4B5D"/>
    <w:rsid w:val="00203EB5"/>
    <w:rsid w:val="00211627"/>
    <w:rsid w:val="00214770"/>
    <w:rsid w:val="002400FF"/>
    <w:rsid w:val="00247E2C"/>
    <w:rsid w:val="00256EAF"/>
    <w:rsid w:val="002577C3"/>
    <w:rsid w:val="00261ACD"/>
    <w:rsid w:val="002637B6"/>
    <w:rsid w:val="00266717"/>
    <w:rsid w:val="002A32CB"/>
    <w:rsid w:val="002D4992"/>
    <w:rsid w:val="002D5B2C"/>
    <w:rsid w:val="002D69FA"/>
    <w:rsid w:val="002D6C53"/>
    <w:rsid w:val="002F5595"/>
    <w:rsid w:val="00307232"/>
    <w:rsid w:val="00313214"/>
    <w:rsid w:val="00316BE2"/>
    <w:rsid w:val="00334F6A"/>
    <w:rsid w:val="00340294"/>
    <w:rsid w:val="00342AC8"/>
    <w:rsid w:val="00343302"/>
    <w:rsid w:val="003522B8"/>
    <w:rsid w:val="00391B1E"/>
    <w:rsid w:val="003979DE"/>
    <w:rsid w:val="003B4550"/>
    <w:rsid w:val="003C6AB2"/>
    <w:rsid w:val="003C7B8C"/>
    <w:rsid w:val="003D2A18"/>
    <w:rsid w:val="003D3939"/>
    <w:rsid w:val="003E5231"/>
    <w:rsid w:val="003F7806"/>
    <w:rsid w:val="00413386"/>
    <w:rsid w:val="004149ED"/>
    <w:rsid w:val="00433A25"/>
    <w:rsid w:val="0044405B"/>
    <w:rsid w:val="00461253"/>
    <w:rsid w:val="004858F5"/>
    <w:rsid w:val="004865D9"/>
    <w:rsid w:val="004959FD"/>
    <w:rsid w:val="004A2814"/>
    <w:rsid w:val="004A3E2B"/>
    <w:rsid w:val="004C0622"/>
    <w:rsid w:val="004D0455"/>
    <w:rsid w:val="004F73D0"/>
    <w:rsid w:val="005042C2"/>
    <w:rsid w:val="00533310"/>
    <w:rsid w:val="00543F1E"/>
    <w:rsid w:val="0054678E"/>
    <w:rsid w:val="00557E53"/>
    <w:rsid w:val="00561973"/>
    <w:rsid w:val="0058590C"/>
    <w:rsid w:val="00587B8E"/>
    <w:rsid w:val="005B2C37"/>
    <w:rsid w:val="005B7201"/>
    <w:rsid w:val="005E17BB"/>
    <w:rsid w:val="005E2BBC"/>
    <w:rsid w:val="005E716E"/>
    <w:rsid w:val="005F591B"/>
    <w:rsid w:val="00602923"/>
    <w:rsid w:val="00605BDE"/>
    <w:rsid w:val="006300ED"/>
    <w:rsid w:val="00630578"/>
    <w:rsid w:val="00634C9A"/>
    <w:rsid w:val="006424BA"/>
    <w:rsid w:val="006476E1"/>
    <w:rsid w:val="006604DF"/>
    <w:rsid w:val="00660B3A"/>
    <w:rsid w:val="00661C08"/>
    <w:rsid w:val="0066650D"/>
    <w:rsid w:val="00671529"/>
    <w:rsid w:val="00671B0F"/>
    <w:rsid w:val="00675693"/>
    <w:rsid w:val="0067639E"/>
    <w:rsid w:val="00684730"/>
    <w:rsid w:val="00690C7F"/>
    <w:rsid w:val="006A580F"/>
    <w:rsid w:val="006A7D2D"/>
    <w:rsid w:val="006B3D99"/>
    <w:rsid w:val="006B4445"/>
    <w:rsid w:val="006E3F2B"/>
    <w:rsid w:val="006E3F52"/>
    <w:rsid w:val="006F177B"/>
    <w:rsid w:val="006F1EF5"/>
    <w:rsid w:val="00700804"/>
    <w:rsid w:val="00700813"/>
    <w:rsid w:val="00703E30"/>
    <w:rsid w:val="0070489D"/>
    <w:rsid w:val="007200A1"/>
    <w:rsid w:val="007268F9"/>
    <w:rsid w:val="00726CAC"/>
    <w:rsid w:val="007318A5"/>
    <w:rsid w:val="00750282"/>
    <w:rsid w:val="00764440"/>
    <w:rsid w:val="0077101B"/>
    <w:rsid w:val="00773910"/>
    <w:rsid w:val="007816E8"/>
    <w:rsid w:val="007A473C"/>
    <w:rsid w:val="007B17C6"/>
    <w:rsid w:val="007C52B0"/>
    <w:rsid w:val="007C6033"/>
    <w:rsid w:val="0080370A"/>
    <w:rsid w:val="00803D34"/>
    <w:rsid w:val="008147C8"/>
    <w:rsid w:val="0081753A"/>
    <w:rsid w:val="00825B2F"/>
    <w:rsid w:val="00840EA6"/>
    <w:rsid w:val="008430CD"/>
    <w:rsid w:val="008514A3"/>
    <w:rsid w:val="00857D23"/>
    <w:rsid w:val="00862778"/>
    <w:rsid w:val="00866B29"/>
    <w:rsid w:val="00887C25"/>
    <w:rsid w:val="00890A7E"/>
    <w:rsid w:val="0089739A"/>
    <w:rsid w:val="00897534"/>
    <w:rsid w:val="008A1981"/>
    <w:rsid w:val="008A28FF"/>
    <w:rsid w:val="008B1E18"/>
    <w:rsid w:val="008C6E3D"/>
    <w:rsid w:val="008D0E0D"/>
    <w:rsid w:val="008E3A23"/>
    <w:rsid w:val="008F00C8"/>
    <w:rsid w:val="008F0E63"/>
    <w:rsid w:val="008F2A13"/>
    <w:rsid w:val="008F3697"/>
    <w:rsid w:val="008F51DF"/>
    <w:rsid w:val="00903632"/>
    <w:rsid w:val="00904D0B"/>
    <w:rsid w:val="009411B4"/>
    <w:rsid w:val="00946187"/>
    <w:rsid w:val="00946F1D"/>
    <w:rsid w:val="00951077"/>
    <w:rsid w:val="00967F9E"/>
    <w:rsid w:val="009A021D"/>
    <w:rsid w:val="009B56CB"/>
    <w:rsid w:val="009D0139"/>
    <w:rsid w:val="009D23A0"/>
    <w:rsid w:val="009D717D"/>
    <w:rsid w:val="009E0A84"/>
    <w:rsid w:val="009E4741"/>
    <w:rsid w:val="009F26A6"/>
    <w:rsid w:val="009F5CDC"/>
    <w:rsid w:val="00A072D7"/>
    <w:rsid w:val="00A14A5F"/>
    <w:rsid w:val="00A22433"/>
    <w:rsid w:val="00A248D7"/>
    <w:rsid w:val="00A25919"/>
    <w:rsid w:val="00A40D81"/>
    <w:rsid w:val="00A537F5"/>
    <w:rsid w:val="00A54700"/>
    <w:rsid w:val="00A775CF"/>
    <w:rsid w:val="00AA105F"/>
    <w:rsid w:val="00AA23AE"/>
    <w:rsid w:val="00AB6E52"/>
    <w:rsid w:val="00AB76A3"/>
    <w:rsid w:val="00AD1A9C"/>
    <w:rsid w:val="00AE0B3B"/>
    <w:rsid w:val="00AF5DE1"/>
    <w:rsid w:val="00B06045"/>
    <w:rsid w:val="00B17FDC"/>
    <w:rsid w:val="00B206DD"/>
    <w:rsid w:val="00B21C8F"/>
    <w:rsid w:val="00B42838"/>
    <w:rsid w:val="00B52EF4"/>
    <w:rsid w:val="00B65D07"/>
    <w:rsid w:val="00B67E2E"/>
    <w:rsid w:val="00B777AD"/>
    <w:rsid w:val="00B86F48"/>
    <w:rsid w:val="00B872E8"/>
    <w:rsid w:val="00BA6609"/>
    <w:rsid w:val="00BC2EE6"/>
    <w:rsid w:val="00BC4FB4"/>
    <w:rsid w:val="00BC6B70"/>
    <w:rsid w:val="00BF1264"/>
    <w:rsid w:val="00C03015"/>
    <w:rsid w:val="00C0358D"/>
    <w:rsid w:val="00C2465E"/>
    <w:rsid w:val="00C24F33"/>
    <w:rsid w:val="00C27765"/>
    <w:rsid w:val="00C27E35"/>
    <w:rsid w:val="00C35A27"/>
    <w:rsid w:val="00C47B2E"/>
    <w:rsid w:val="00C61A6C"/>
    <w:rsid w:val="00C626EC"/>
    <w:rsid w:val="00C74B42"/>
    <w:rsid w:val="00C7596F"/>
    <w:rsid w:val="00C84A49"/>
    <w:rsid w:val="00CB09D2"/>
    <w:rsid w:val="00CB52CA"/>
    <w:rsid w:val="00CF1343"/>
    <w:rsid w:val="00D02F54"/>
    <w:rsid w:val="00D05CB3"/>
    <w:rsid w:val="00D14C0A"/>
    <w:rsid w:val="00D349D8"/>
    <w:rsid w:val="00D541C0"/>
    <w:rsid w:val="00D55D10"/>
    <w:rsid w:val="00D63CD2"/>
    <w:rsid w:val="00D7446B"/>
    <w:rsid w:val="00D87DC2"/>
    <w:rsid w:val="00D93887"/>
    <w:rsid w:val="00D94B05"/>
    <w:rsid w:val="00D95072"/>
    <w:rsid w:val="00D959B9"/>
    <w:rsid w:val="00DB0848"/>
    <w:rsid w:val="00DC7379"/>
    <w:rsid w:val="00DD0461"/>
    <w:rsid w:val="00DD66D9"/>
    <w:rsid w:val="00DE2C87"/>
    <w:rsid w:val="00E02C2B"/>
    <w:rsid w:val="00E21C27"/>
    <w:rsid w:val="00E237C2"/>
    <w:rsid w:val="00E26BCF"/>
    <w:rsid w:val="00E32080"/>
    <w:rsid w:val="00E36B6A"/>
    <w:rsid w:val="00E43FB4"/>
    <w:rsid w:val="00E52109"/>
    <w:rsid w:val="00E6411D"/>
    <w:rsid w:val="00E64175"/>
    <w:rsid w:val="00E75317"/>
    <w:rsid w:val="00E75890"/>
    <w:rsid w:val="00E87AC3"/>
    <w:rsid w:val="00E96A7F"/>
    <w:rsid w:val="00EB0C0C"/>
    <w:rsid w:val="00EC0CE6"/>
    <w:rsid w:val="00EC4BA0"/>
    <w:rsid w:val="00EC7C1D"/>
    <w:rsid w:val="00ED6C48"/>
    <w:rsid w:val="00EE3045"/>
    <w:rsid w:val="00EF6001"/>
    <w:rsid w:val="00F24220"/>
    <w:rsid w:val="00F2549A"/>
    <w:rsid w:val="00F312AA"/>
    <w:rsid w:val="00F31ABA"/>
    <w:rsid w:val="00F31C32"/>
    <w:rsid w:val="00F374CD"/>
    <w:rsid w:val="00F40FA7"/>
    <w:rsid w:val="00F51845"/>
    <w:rsid w:val="00F65839"/>
    <w:rsid w:val="00F65F5D"/>
    <w:rsid w:val="00F67F7E"/>
    <w:rsid w:val="00F76EF5"/>
    <w:rsid w:val="00F7717F"/>
    <w:rsid w:val="00F81AE3"/>
    <w:rsid w:val="00F86A3A"/>
    <w:rsid w:val="00F91642"/>
    <w:rsid w:val="00FA42DA"/>
    <w:rsid w:val="00FA7A59"/>
    <w:rsid w:val="00FC1540"/>
    <w:rsid w:val="00FC2AB5"/>
    <w:rsid w:val="00FE2AC5"/>
    <w:rsid w:val="00FF1263"/>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47551"/>
  <w15:docId w15:val="{F13D13E7-13AD-4A35-BD92-C62B85B8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79"/>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ar"/>
    <w:qFormat/>
    <w:rsid w:val="004A2814"/>
    <w:pPr>
      <w:tabs>
        <w:tab w:val="left" w:pos="1701"/>
        <w:tab w:val="left" w:pos="2268"/>
        <w:tab w:val="left" w:pos="2835"/>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NoG">
    <w:name w:val="_ParNo_G"/>
    <w:basedOn w:val="Normal"/>
    <w:qFormat/>
    <w:rsid w:val="00FA42DA"/>
    <w:pPr>
      <w:numPr>
        <w:numId w:val="13"/>
      </w:numPr>
      <w:tabs>
        <w:tab w:val="left" w:pos="1701"/>
        <w:tab w:val="left" w:pos="2268"/>
        <w:tab w:val="left" w:pos="2835"/>
      </w:tabs>
      <w:spacing w:after="120"/>
      <w:ind w:right="1134"/>
      <w:jc w:val="both"/>
    </w:pPr>
    <w:rPr>
      <w:rFonts w:eastAsia="Times New Roman"/>
    </w:r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DC7379"/>
    <w:rPr>
      <w:sz w:val="18"/>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ootnote Reference/,Footnote"/>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basedOn w:val="DefaultParagraphFont"/>
    <w:rsid w:val="00EC0CE6"/>
    <w:rPr>
      <w:color w:val="0000FF"/>
      <w:u w:val="none"/>
    </w:rPr>
  </w:style>
  <w:style w:type="character" w:styleId="FollowedHyperlink">
    <w:name w:val="FollowedHyperlink"/>
    <w:basedOn w:val="DefaultParagraphFont"/>
    <w:rsid w:val="00EC0CE6"/>
    <w:rPr>
      <w:color w:val="0000FF"/>
      <w:u w:val="none"/>
    </w:rPr>
  </w:style>
  <w:style w:type="table" w:styleId="TableGrid">
    <w:name w:val="Table Grid"/>
    <w:basedOn w:val="TableNormal"/>
    <w:rsid w:val="004A2814"/>
    <w:pPr>
      <w:suppressAutoHyphens/>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locked/>
    <w:rsid w:val="00F65839"/>
    <w:rPr>
      <w:b/>
      <w:sz w:val="28"/>
    </w:rPr>
  </w:style>
  <w:style w:type="character" w:customStyle="1" w:styleId="H1GChar">
    <w:name w:val="_ H_1_G Char"/>
    <w:link w:val="H1G"/>
    <w:locked/>
    <w:rsid w:val="00F65839"/>
    <w:rPr>
      <w:b/>
      <w:sz w:val="24"/>
    </w:rPr>
  </w:style>
  <w:style w:type="character" w:customStyle="1" w:styleId="SingleTxtGCar">
    <w:name w:val="_ Single Txt_G Car"/>
    <w:link w:val="SingleTxtG"/>
    <w:locked/>
    <w:rsid w:val="00F65839"/>
  </w:style>
  <w:style w:type="character" w:customStyle="1" w:styleId="cf01">
    <w:name w:val="cf01"/>
    <w:basedOn w:val="DefaultParagraphFont"/>
    <w:rsid w:val="00F65839"/>
    <w:rPr>
      <w:rFonts w:ascii="Segoe UI" w:hAnsi="Segoe UI" w:cs="Segoe UI" w:hint="default"/>
      <w:sz w:val="18"/>
      <w:szCs w:val="18"/>
    </w:rPr>
  </w:style>
  <w:style w:type="paragraph" w:styleId="Revision">
    <w:name w:val="Revision"/>
    <w:hidden/>
    <w:uiPriority w:val="99"/>
    <w:semiHidden/>
    <w:rsid w:val="00F65839"/>
    <w:pPr>
      <w:spacing w:line="240" w:lineRule="auto"/>
    </w:pPr>
  </w:style>
  <w:style w:type="character" w:styleId="CommentReference">
    <w:name w:val="annotation reference"/>
    <w:basedOn w:val="DefaultParagraphFont"/>
    <w:uiPriority w:val="99"/>
    <w:semiHidden/>
    <w:unhideWhenUsed/>
    <w:rsid w:val="002D69FA"/>
    <w:rPr>
      <w:sz w:val="16"/>
      <w:szCs w:val="16"/>
    </w:rPr>
  </w:style>
  <w:style w:type="paragraph" w:styleId="CommentText">
    <w:name w:val="annotation text"/>
    <w:basedOn w:val="Normal"/>
    <w:link w:val="CommentTextChar"/>
    <w:uiPriority w:val="99"/>
    <w:unhideWhenUsed/>
    <w:rsid w:val="002D69FA"/>
    <w:pPr>
      <w:spacing w:line="240" w:lineRule="auto"/>
    </w:pPr>
  </w:style>
  <w:style w:type="character" w:customStyle="1" w:styleId="CommentTextChar">
    <w:name w:val="Comment Text Char"/>
    <w:basedOn w:val="DefaultParagraphFont"/>
    <w:link w:val="CommentText"/>
    <w:uiPriority w:val="99"/>
    <w:rsid w:val="002D69FA"/>
  </w:style>
  <w:style w:type="paragraph" w:styleId="CommentSubject">
    <w:name w:val="annotation subject"/>
    <w:basedOn w:val="CommentText"/>
    <w:next w:val="CommentText"/>
    <w:link w:val="CommentSubjectChar"/>
    <w:uiPriority w:val="99"/>
    <w:semiHidden/>
    <w:unhideWhenUsed/>
    <w:rsid w:val="002D69FA"/>
    <w:rPr>
      <w:b/>
      <w:bCs/>
    </w:rPr>
  </w:style>
  <w:style w:type="character" w:customStyle="1" w:styleId="CommentSubjectChar">
    <w:name w:val="Comment Subject Char"/>
    <w:basedOn w:val="CommentTextChar"/>
    <w:link w:val="CommentSubject"/>
    <w:uiPriority w:val="99"/>
    <w:semiHidden/>
    <w:rsid w:val="002D69FA"/>
    <w:rPr>
      <w:b/>
      <w:bCs/>
    </w:rPr>
  </w:style>
  <w:style w:type="character" w:styleId="UnresolvedMention">
    <w:name w:val="Unresolved Mention"/>
    <w:basedOn w:val="DefaultParagraphFont"/>
    <w:uiPriority w:val="99"/>
    <w:semiHidden/>
    <w:unhideWhenUsed/>
    <w:rsid w:val="00773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314921554">
      <w:bodyDiv w:val="1"/>
      <w:marLeft w:val="0"/>
      <w:marRight w:val="0"/>
      <w:marTop w:val="0"/>
      <w:marBottom w:val="0"/>
      <w:divBdr>
        <w:top w:val="none" w:sz="0" w:space="0" w:color="auto"/>
        <w:left w:val="none" w:sz="0" w:space="0" w:color="auto"/>
        <w:bottom w:val="none" w:sz="0" w:space="0" w:color="auto"/>
        <w:right w:val="none" w:sz="0" w:space="0" w:color="auto"/>
      </w:divBdr>
    </w:div>
    <w:div w:id="535193685">
      <w:bodyDiv w:val="1"/>
      <w:marLeft w:val="0"/>
      <w:marRight w:val="0"/>
      <w:marTop w:val="0"/>
      <w:marBottom w:val="0"/>
      <w:divBdr>
        <w:top w:val="none" w:sz="0" w:space="0" w:color="auto"/>
        <w:left w:val="none" w:sz="0" w:space="0" w:color="auto"/>
        <w:bottom w:val="none" w:sz="0" w:space="0" w:color="auto"/>
        <w:right w:val="none" w:sz="0" w:space="0" w:color="auto"/>
      </w:divBdr>
    </w:div>
    <w:div w:id="167263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who.int/publications/i/item/9789241505031" TargetMode="External"/><Relationship Id="rId3" Type="http://schemas.openxmlformats.org/officeDocument/2006/relationships/hyperlink" Target="https://unece.org/transport/documents/2022/09/working-documents/proposal-new-work-unaddressed-hazard-classes" TargetMode="External"/><Relationship Id="rId7" Type="http://schemas.openxmlformats.org/officeDocument/2006/relationships/hyperlink" Target="https://www.oecd.org/publications/guidance-document-on-standardised-test-guidelines-for-evaluating-chemicals-for-endocrine-disruption-2nd-edition-9789264304741-en.htm" TargetMode="External"/><Relationship Id="rId2" Type="http://schemas.openxmlformats.org/officeDocument/2006/relationships/hyperlink" Target="https://unece.org/transport/documents/2022/12/informal-documents/addendum-stsgac10c4202218-unaddressed-hazard-classes" TargetMode="External"/><Relationship Id="rId1" Type="http://schemas.openxmlformats.org/officeDocument/2006/relationships/hyperlink" Target="https://unece.org/transport/documents/2022/12/reports/report-sub-committee-experts-globally-harmonized-system" TargetMode="External"/><Relationship Id="rId6" Type="http://schemas.openxmlformats.org/officeDocument/2006/relationships/hyperlink" Target="https://www.who.int/ipcs/publications/new_issues/endocrine_disruptors/en/" TargetMode="External"/><Relationship Id="rId11" Type="http://schemas.openxmlformats.org/officeDocument/2006/relationships/hyperlink" Target="https://unece.org/sites/default/files/2022-12/ST-SG-AC10-C4-86e_0.pdf" TargetMode="External"/><Relationship Id="rId5" Type="http://schemas.openxmlformats.org/officeDocument/2006/relationships/hyperlink" Target="https://www.who.int/publications/i/item/9789241505031" TargetMode="External"/><Relationship Id="rId10" Type="http://schemas.openxmlformats.org/officeDocument/2006/relationships/hyperlink" Target="https://wedocs.unep.org/bitstream/handle/20.500.11822/25636/edc_report3.pdf" TargetMode="External"/><Relationship Id="rId4" Type="http://schemas.openxmlformats.org/officeDocument/2006/relationships/hyperlink" Target="https://unece.org/sites/default/files/2022-12/UN-SCEGHS-43-INF39e.pdf" TargetMode="External"/><Relationship Id="rId9" Type="http://schemas.openxmlformats.org/officeDocument/2006/relationships/hyperlink" Target="https://apps.who.int/iris/handle/10665/673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couto\United%20Nations\UNOG_DCM-Macros%20-%20UNECE\Templates\ST\SGAC10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18F60-7DA2-420D-843C-E28B2BAD873F}">
  <ds:schemaRefs>
    <ds:schemaRef ds:uri="http://schemas.openxmlformats.org/officeDocument/2006/bibliography"/>
  </ds:schemaRefs>
</ds:datastoreItem>
</file>

<file path=customXml/itemProps2.xml><?xml version="1.0" encoding="utf-8"?>
<ds:datastoreItem xmlns:ds="http://schemas.openxmlformats.org/officeDocument/2006/customXml" ds:itemID="{6F0C699A-3081-464D-8175-18FB791049C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0E96D6C7-A69F-4CC1-9C48-E5514C6CF912}">
  <ds:schemaRefs>
    <ds:schemaRef ds:uri="http://schemas.microsoft.com/sharepoint/v3/contenttype/forms"/>
  </ds:schemaRefs>
</ds:datastoreItem>
</file>

<file path=customXml/itemProps4.xml><?xml version="1.0" encoding="utf-8"?>
<ds:datastoreItem xmlns:ds="http://schemas.openxmlformats.org/officeDocument/2006/customXml" ds:itemID="{EE997194-1751-416E-9162-A186690E7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SGAC10_E.dotm</Template>
  <TotalTime>0</TotalTime>
  <Pages>4</Pages>
  <Words>1069</Words>
  <Characters>6054</Characters>
  <Application>Microsoft Office Word</Application>
  <DocSecurity>0</DocSecurity>
  <Lines>122</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ST/SG/AC.10/C.4/2023/6</vt: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ST/SG/AC.10/C.4/2023/6</dc:title>
  <dc:subject>2307968</dc:subject>
  <dc:creator>PHI-IWG</dc:creator>
  <cp:keywords/>
  <dc:description/>
  <cp:lastModifiedBy>Maria Rosario Corazon Gatmaytan</cp:lastModifiedBy>
  <cp:revision>2</cp:revision>
  <dcterms:created xsi:type="dcterms:W3CDTF">2023-04-27T14:04:00Z</dcterms:created>
  <dcterms:modified xsi:type="dcterms:W3CDTF">2023-04-27T14:04:00Z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y fmtid="{D5CDD505-2E9C-101B-9397-08002B2CF9AE}" pid="7" name="MSIP_Label_6bd9ddd1-4d20-43f6-abfa-fc3c07406f94_Enabled">
    <vt:lpwstr>true</vt:lpwstr>
  </property>
  <property fmtid="{D5CDD505-2E9C-101B-9397-08002B2CF9AE}" pid="8" name="MSIP_Label_6bd9ddd1-4d20-43f6-abfa-fc3c07406f94_SetDate">
    <vt:lpwstr>2023-04-20T08:38:10Z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97d26fab-d635-4ff5-97ca-ddb11f3260e6</vt:lpwstr>
  </property>
  <property fmtid="{D5CDD505-2E9C-101B-9397-08002B2CF9AE}" pid="13" name="MSIP_Label_6bd9ddd1-4d20-43f6-abfa-fc3c07406f94_ContentBits">
    <vt:lpwstr>0</vt:lpwstr>
  </property>
</Properties>
</file>