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69B49CE" w14:textId="77777777" w:rsidTr="006476E1">
        <w:trPr>
          <w:trHeight w:val="851"/>
        </w:trPr>
        <w:tc>
          <w:tcPr>
            <w:tcW w:w="1259" w:type="dxa"/>
            <w:tcBorders>
              <w:top w:val="nil"/>
              <w:left w:val="nil"/>
              <w:bottom w:val="single" w:sz="4" w:space="0" w:color="auto"/>
              <w:right w:val="nil"/>
            </w:tcBorders>
          </w:tcPr>
          <w:p w14:paraId="7659EE6D" w14:textId="77777777" w:rsidR="00E52109" w:rsidRPr="002A32CB" w:rsidRDefault="00E52109" w:rsidP="004858F5"/>
        </w:tc>
        <w:tc>
          <w:tcPr>
            <w:tcW w:w="2236" w:type="dxa"/>
            <w:tcBorders>
              <w:top w:val="nil"/>
              <w:left w:val="nil"/>
              <w:bottom w:val="single" w:sz="4" w:space="0" w:color="auto"/>
              <w:right w:val="nil"/>
            </w:tcBorders>
            <w:vAlign w:val="bottom"/>
          </w:tcPr>
          <w:p w14:paraId="731CC38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1871772" w14:textId="7CB8C757" w:rsidR="00E52109" w:rsidRDefault="00223DDC" w:rsidP="00223DDC">
            <w:pPr>
              <w:jc w:val="right"/>
            </w:pPr>
            <w:r w:rsidRPr="00223DDC">
              <w:rPr>
                <w:sz w:val="40"/>
              </w:rPr>
              <w:t>ST</w:t>
            </w:r>
            <w:r>
              <w:t>/SG/AC.10/C.4/2023/4</w:t>
            </w:r>
          </w:p>
        </w:tc>
      </w:tr>
      <w:tr w:rsidR="00E52109" w14:paraId="78D7088C" w14:textId="77777777" w:rsidTr="006476E1">
        <w:trPr>
          <w:trHeight w:val="2835"/>
        </w:trPr>
        <w:tc>
          <w:tcPr>
            <w:tcW w:w="1259" w:type="dxa"/>
            <w:tcBorders>
              <w:top w:val="single" w:sz="4" w:space="0" w:color="auto"/>
              <w:left w:val="nil"/>
              <w:bottom w:val="single" w:sz="12" w:space="0" w:color="auto"/>
              <w:right w:val="nil"/>
            </w:tcBorders>
          </w:tcPr>
          <w:p w14:paraId="2E6B3210" w14:textId="77777777" w:rsidR="00E52109" w:rsidRDefault="00E52109" w:rsidP="006476E1">
            <w:pPr>
              <w:spacing w:before="120"/>
              <w:jc w:val="center"/>
            </w:pPr>
            <w:r>
              <w:rPr>
                <w:noProof/>
                <w:lang w:val="fr-CH" w:eastAsia="fr-CH"/>
              </w:rPr>
              <w:drawing>
                <wp:inline distT="0" distB="0" distL="0" distR="0" wp14:anchorId="1A9A97AB" wp14:editId="37B946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6C5B9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BDC3C59" w14:textId="77777777" w:rsidR="00D94B05" w:rsidRDefault="00223DDC" w:rsidP="00223DDC">
            <w:pPr>
              <w:spacing w:before="240" w:line="240" w:lineRule="exact"/>
            </w:pPr>
            <w:r>
              <w:t>Distr.: General</w:t>
            </w:r>
          </w:p>
          <w:p w14:paraId="187F9572" w14:textId="7C2F84EA" w:rsidR="00223DDC" w:rsidRDefault="00286EF3" w:rsidP="00223DDC">
            <w:pPr>
              <w:spacing w:line="240" w:lineRule="exact"/>
            </w:pPr>
            <w:r w:rsidRPr="0040456C">
              <w:t>2</w:t>
            </w:r>
            <w:r w:rsidR="0040456C">
              <w:t>5</w:t>
            </w:r>
            <w:r w:rsidR="00223DDC" w:rsidRPr="0040456C">
              <w:t xml:space="preserve"> April 2023</w:t>
            </w:r>
          </w:p>
          <w:p w14:paraId="7B02A8CC" w14:textId="77777777" w:rsidR="00223DDC" w:rsidRDefault="00223DDC" w:rsidP="00223DDC">
            <w:pPr>
              <w:spacing w:line="240" w:lineRule="exact"/>
            </w:pPr>
          </w:p>
          <w:p w14:paraId="150195A8" w14:textId="30128615" w:rsidR="00223DDC" w:rsidRDefault="00223DDC" w:rsidP="00223DDC">
            <w:pPr>
              <w:spacing w:line="240" w:lineRule="exact"/>
            </w:pPr>
            <w:r>
              <w:t>Original: English</w:t>
            </w:r>
          </w:p>
        </w:tc>
      </w:tr>
    </w:tbl>
    <w:p w14:paraId="2AE7F347" w14:textId="77777777" w:rsidR="00223DDC" w:rsidRPr="009F0F06" w:rsidRDefault="00223DDC"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F6CAF78" w14:textId="77777777" w:rsidR="00223DDC" w:rsidRPr="009F0F06" w:rsidRDefault="00223DDC"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7D3015B7" w14:textId="77777777" w:rsidR="00C72559" w:rsidRPr="00286EF3" w:rsidRDefault="00C72559" w:rsidP="00C72559">
      <w:pPr>
        <w:spacing w:before="120"/>
        <w:rPr>
          <w:b/>
        </w:rPr>
      </w:pPr>
      <w:r w:rsidRPr="00286EF3">
        <w:rPr>
          <w:b/>
        </w:rPr>
        <w:t>Forty-fourth session</w:t>
      </w:r>
    </w:p>
    <w:p w14:paraId="38BDFBDA" w14:textId="77777777" w:rsidR="00C72559" w:rsidRPr="00286EF3" w:rsidRDefault="00C72559" w:rsidP="00C72559">
      <w:r w:rsidRPr="00286EF3">
        <w:t>Geneva, 10-12 July 2023</w:t>
      </w:r>
    </w:p>
    <w:p w14:paraId="6B73A319" w14:textId="77777777" w:rsidR="00C72559" w:rsidRPr="00286EF3" w:rsidRDefault="00C72559" w:rsidP="00C72559">
      <w:r w:rsidRPr="00286EF3">
        <w:t>Item 2 (h) of the provisional agenda</w:t>
      </w:r>
    </w:p>
    <w:p w14:paraId="3A22F9F4" w14:textId="33A11FF0" w:rsidR="00C72559" w:rsidRPr="00C6218D" w:rsidRDefault="00C72559" w:rsidP="00944133">
      <w:pPr>
        <w:rPr>
          <w:b/>
          <w:bCs/>
        </w:rPr>
      </w:pPr>
      <w:r w:rsidRPr="00286EF3">
        <w:rPr>
          <w:b/>
          <w:bCs/>
        </w:rPr>
        <w:t xml:space="preserve">Work on the Globally Harmonized System of Classification and </w:t>
      </w:r>
      <w:r w:rsidRPr="00286EF3">
        <w:rPr>
          <w:b/>
          <w:bCs/>
        </w:rPr>
        <w:br/>
        <w:t xml:space="preserve">Labelling of Chemicals: Hazard communication for gases </w:t>
      </w:r>
      <w:r w:rsidR="0027485A" w:rsidRPr="00286EF3">
        <w:rPr>
          <w:b/>
          <w:bCs/>
        </w:rPr>
        <w:br/>
      </w:r>
      <w:r w:rsidRPr="00286EF3">
        <w:rPr>
          <w:b/>
          <w:bCs/>
        </w:rPr>
        <w:t>addressed in the Montreal Protocol and other conventions</w:t>
      </w:r>
    </w:p>
    <w:p w14:paraId="1A2CFA6A" w14:textId="3DA6B860" w:rsidR="00C72559" w:rsidRPr="002449AA" w:rsidRDefault="00C72559" w:rsidP="002449AA">
      <w:pPr>
        <w:pStyle w:val="HChG"/>
      </w:pPr>
      <w:r w:rsidRPr="00DA7696">
        <w:rPr>
          <w:rFonts w:eastAsia="MS Mincho"/>
          <w:lang w:eastAsia="ja-JP"/>
        </w:rPr>
        <w:tab/>
      </w:r>
      <w:r w:rsidRPr="00DA7696">
        <w:rPr>
          <w:rFonts w:eastAsia="MS Mincho"/>
          <w:lang w:eastAsia="ja-JP"/>
        </w:rPr>
        <w:tab/>
      </w:r>
      <w:r w:rsidRPr="002449AA">
        <w:t xml:space="preserve">Revision of </w:t>
      </w:r>
      <w:r w:rsidR="002449AA">
        <w:t>c</w:t>
      </w:r>
      <w:r w:rsidRPr="002449AA">
        <w:t>hapter 4.2 to include classification and hazard communication for greenhouse gasses listed in the annexes of the Montreal Protocol</w:t>
      </w:r>
    </w:p>
    <w:p w14:paraId="4A8F741F" w14:textId="601A7D81" w:rsidR="00C72559" w:rsidRPr="00DA7696" w:rsidRDefault="002449AA" w:rsidP="002449AA">
      <w:pPr>
        <w:pStyle w:val="H1G"/>
      </w:pPr>
      <w:r>
        <w:tab/>
      </w:r>
      <w:r>
        <w:tab/>
      </w:r>
      <w:bookmarkStart w:id="0" w:name="_Hlk132621945"/>
      <w:r w:rsidR="00C72559" w:rsidRPr="00DA7696">
        <w:t xml:space="preserve">Transmitted by the experts from </w:t>
      </w:r>
      <w:r w:rsidR="00C72559">
        <w:t xml:space="preserve">Austria, Finland, Germany, </w:t>
      </w:r>
      <w:r w:rsidR="00C72559" w:rsidRPr="00DA7696">
        <w:t>the United Kingdom</w:t>
      </w:r>
      <w:r w:rsidR="00C72559">
        <w:t>, the</w:t>
      </w:r>
      <w:r w:rsidR="00C72559" w:rsidRPr="001D1414">
        <w:rPr>
          <w:rFonts w:eastAsia="MS Mincho"/>
        </w:rPr>
        <w:t xml:space="preserve"> </w:t>
      </w:r>
      <w:r w:rsidR="00C72559">
        <w:rPr>
          <w:rFonts w:eastAsia="MS Mincho"/>
        </w:rPr>
        <w:t>United States of America and the European Union</w:t>
      </w:r>
      <w:bookmarkEnd w:id="0"/>
      <w:r w:rsidR="00C72559">
        <w:rPr>
          <w:rStyle w:val="FootnoteReference"/>
          <w:rFonts w:eastAsia="MS Mincho"/>
        </w:rPr>
        <w:footnoteReference w:customMarkFollows="1" w:id="2"/>
        <w:t>*</w:t>
      </w:r>
    </w:p>
    <w:p w14:paraId="7C66AB44" w14:textId="77777777" w:rsidR="00C72559" w:rsidRPr="00DA7696" w:rsidRDefault="00C72559" w:rsidP="00C72559">
      <w:pPr>
        <w:pStyle w:val="HChG"/>
        <w:ind w:right="0"/>
        <w:rPr>
          <w:sz w:val="24"/>
          <w:szCs w:val="24"/>
        </w:rPr>
      </w:pPr>
      <w:r w:rsidRPr="00DA7696">
        <w:tab/>
      </w:r>
      <w:r w:rsidRPr="00DA7696">
        <w:tab/>
        <w:t xml:space="preserve">Introduction </w:t>
      </w:r>
    </w:p>
    <w:p w14:paraId="09C54006" w14:textId="73E2F3ED" w:rsidR="00C72559" w:rsidRPr="00C72559" w:rsidRDefault="00C72559" w:rsidP="00944133">
      <w:pPr>
        <w:pStyle w:val="SingleTxtG"/>
      </w:pPr>
      <w:r w:rsidRPr="00C72559">
        <w:t>1.</w:t>
      </w:r>
      <w:r w:rsidRPr="00C72559">
        <w:tab/>
        <w:t>At the forty-second session</w:t>
      </w:r>
      <w:r w:rsidRPr="00944133">
        <w:rPr>
          <w:rStyle w:val="FootnoteReference"/>
          <w:sz w:val="20"/>
        </w:rPr>
        <w:footnoteReference w:id="3"/>
      </w:r>
      <w:r w:rsidRPr="00C72559">
        <w:t xml:space="preserve">, the Sub-Committee acknowledged that a gap had been introduced into the GHS following the adoption and entry into force of the “Kigali amendment” (Annex F) to the Montreal Protocol regarding hydrofluorocarbons that are known greenhouse gases. </w:t>
      </w:r>
    </w:p>
    <w:p w14:paraId="6F35E471" w14:textId="2437C12A" w:rsidR="00C72559" w:rsidRPr="00C72559" w:rsidRDefault="00C72559" w:rsidP="00944133">
      <w:pPr>
        <w:pStyle w:val="SingleTxtG"/>
      </w:pPr>
      <w:r w:rsidRPr="00C72559">
        <w:t>2.</w:t>
      </w:r>
      <w:r w:rsidRPr="00C72559">
        <w:tab/>
        <w:t>At the forty-third session</w:t>
      </w:r>
      <w:r w:rsidRPr="00944133">
        <w:rPr>
          <w:rStyle w:val="FootnoteReference"/>
          <w:sz w:val="20"/>
        </w:rPr>
        <w:footnoteReference w:id="4"/>
      </w:r>
      <w:r w:rsidRPr="00C72559">
        <w:t xml:space="preserve">, the Sub-Committee considered potential options on how to take forward the work and all the experts who expressed an opinion were in favour of option 2 (i.e. </w:t>
      </w:r>
      <w:r>
        <w:t>r</w:t>
      </w:r>
      <w:r w:rsidRPr="00C72559">
        <w:t xml:space="preserve">enaming </w:t>
      </w:r>
      <w:r>
        <w:t>c</w:t>
      </w:r>
      <w:r w:rsidRPr="00C72559">
        <w:t xml:space="preserve">hapter 4.2 and adding a second hazard class), while there was also some support to extend the scope of the GHS to cover additional hydrofluorocarbons or all greenhouse gases (potential </w:t>
      </w:r>
      <w:r>
        <w:t>“</w:t>
      </w:r>
      <w:r w:rsidRPr="00C72559">
        <w:t>future work</w:t>
      </w:r>
      <w:r>
        <w:t>”</w:t>
      </w:r>
      <w:r w:rsidRPr="00C72559">
        <w:t xml:space="preserve">) in a separate chapter, as detailed in informal document INF.37 from the forty-third session. </w:t>
      </w:r>
    </w:p>
    <w:p w14:paraId="0189C116" w14:textId="5CDE37C2" w:rsidR="00C72559" w:rsidRPr="00C72559" w:rsidRDefault="00C72559" w:rsidP="00944133">
      <w:pPr>
        <w:pStyle w:val="SingleTxtG"/>
      </w:pPr>
      <w:r w:rsidRPr="00C72559">
        <w:t>3.</w:t>
      </w:r>
      <w:r w:rsidRPr="00C72559">
        <w:tab/>
        <w:t xml:space="preserve">This document, together with informal document INF.3, presents for the consideration of the Sub-Committee, the proposed revision of </w:t>
      </w:r>
      <w:r>
        <w:t>c</w:t>
      </w:r>
      <w:r w:rsidRPr="00C72559">
        <w:t>hapter 4.2 by the small group of interested delegations, the authors of this paper.</w:t>
      </w:r>
    </w:p>
    <w:p w14:paraId="1CC10A30" w14:textId="77777777" w:rsidR="00C72559" w:rsidRPr="00DA7696" w:rsidRDefault="00C72559" w:rsidP="00C72559">
      <w:pPr>
        <w:pStyle w:val="HChG"/>
      </w:pPr>
      <w:r w:rsidRPr="00DA7696">
        <w:lastRenderedPageBreak/>
        <w:tab/>
      </w:r>
      <w:r w:rsidRPr="00DA7696">
        <w:tab/>
      </w:r>
      <w:r>
        <w:t>Discussion</w:t>
      </w:r>
    </w:p>
    <w:p w14:paraId="34B098D3" w14:textId="36920787" w:rsidR="00C72559" w:rsidRPr="00C72559" w:rsidRDefault="00C72559" w:rsidP="00944133">
      <w:pPr>
        <w:pStyle w:val="SingleTxtG"/>
      </w:pPr>
      <w:r w:rsidRPr="00C72559">
        <w:t>4.</w:t>
      </w:r>
      <w:r w:rsidRPr="00C72559">
        <w:tab/>
        <w:t>In January 2023, the group commenced their work to revise chapter 4.2 to contain two hazard classes in separate sub-sections to articulate their different criteria and hazard communication elements, similar to what has already been achieved in chapter 2.3 “Aerosols and chemicals under pressure”. These two hazard classes are:</w:t>
      </w:r>
    </w:p>
    <w:p w14:paraId="5214A2D8" w14:textId="2EE8BE92" w:rsidR="00C72559" w:rsidRDefault="00C72559" w:rsidP="002449AA">
      <w:pPr>
        <w:pStyle w:val="SingleTxtG"/>
        <w:tabs>
          <w:tab w:val="clear" w:pos="1701"/>
        </w:tabs>
        <w:ind w:left="2268" w:hanging="567"/>
      </w:pPr>
      <w:r>
        <w:t>(a)</w:t>
      </w:r>
      <w:r>
        <w:tab/>
      </w:r>
      <w:r w:rsidRPr="003638BB">
        <w:t>“</w:t>
      </w:r>
      <w:r w:rsidRPr="00C86B8D">
        <w:rPr>
          <w:b/>
          <w:bCs/>
        </w:rPr>
        <w:t>Hazardous to the ozone</w:t>
      </w:r>
      <w:r w:rsidR="00DD719F">
        <w:rPr>
          <w:b/>
          <w:bCs/>
        </w:rPr>
        <w:t xml:space="preserve"> </w:t>
      </w:r>
      <w:r w:rsidRPr="00C86B8D">
        <w:rPr>
          <w:b/>
          <w:bCs/>
        </w:rPr>
        <w:t>layer</w:t>
      </w:r>
      <w:r w:rsidRPr="00C86B8D">
        <w:t xml:space="preserve">” – the existing hazard class provided in </w:t>
      </w:r>
      <w:r>
        <w:t>c</w:t>
      </w:r>
      <w:r w:rsidRPr="00C86B8D">
        <w:t>hapter</w:t>
      </w:r>
      <w:r>
        <w:t> </w:t>
      </w:r>
      <w:r w:rsidRPr="00C86B8D">
        <w:t xml:space="preserve">4.2 for ozone-depleting substances, with minor </w:t>
      </w:r>
      <w:r>
        <w:t>amendments</w:t>
      </w:r>
      <w:r w:rsidRPr="00C86B8D">
        <w:t xml:space="preserve"> to the criteria to provide clarification that this hazard class relates only to substances </w:t>
      </w:r>
      <w:r>
        <w:t xml:space="preserve">with </w:t>
      </w:r>
      <w:r w:rsidRPr="00C86B8D">
        <w:t>ozone deplet</w:t>
      </w:r>
      <w:r>
        <w:t>ing potential that are</w:t>
      </w:r>
      <w:r w:rsidRPr="00C86B8D">
        <w:t xml:space="preserve"> listed in the annexes of M</w:t>
      </w:r>
      <w:r>
        <w:t xml:space="preserve">ontreal </w:t>
      </w:r>
      <w:r w:rsidRPr="00C86B8D">
        <w:t>P</w:t>
      </w:r>
      <w:r>
        <w:t>rotocol</w:t>
      </w:r>
      <w:r w:rsidRPr="00C86B8D">
        <w:t xml:space="preserve"> given th</w:t>
      </w:r>
      <w:r>
        <w:t xml:space="preserve">e introduction </w:t>
      </w:r>
      <w:r w:rsidRPr="005627BB">
        <w:t>of hydrofluorocarbons</w:t>
      </w:r>
      <w:r>
        <w:t xml:space="preserve"> into</w:t>
      </w:r>
      <w:r w:rsidRPr="00C86B8D">
        <w:t xml:space="preserve"> th</w:t>
      </w:r>
      <w:r>
        <w:t xml:space="preserve">ose </w:t>
      </w:r>
      <w:r w:rsidRPr="00C86B8D">
        <w:t xml:space="preserve">annexes </w:t>
      </w:r>
      <w:r>
        <w:t>via</w:t>
      </w:r>
      <w:r w:rsidRPr="00C86B8D">
        <w:t xml:space="preserve"> the </w:t>
      </w:r>
      <w:r>
        <w:t>“</w:t>
      </w:r>
      <w:r w:rsidRPr="00C86B8D">
        <w:t>Kigali amendment</w:t>
      </w:r>
      <w:r>
        <w:t>”.</w:t>
      </w:r>
      <w:r w:rsidRPr="00C86B8D">
        <w:t xml:space="preserve"> </w:t>
      </w:r>
      <w:r>
        <w:t>T</w:t>
      </w:r>
      <w:r w:rsidRPr="00C86B8D">
        <w:t>echnically the current criteria</w:t>
      </w:r>
      <w:r>
        <w:t xml:space="preserve"> for this hazard class</w:t>
      </w:r>
      <w:r w:rsidRPr="00C86B8D">
        <w:t xml:space="preserve"> are incorrect</w:t>
      </w:r>
      <w:r>
        <w:t xml:space="preserve"> (slightly</w:t>
      </w:r>
      <w:r w:rsidRPr="00C86B8D">
        <w:t>)</w:t>
      </w:r>
      <w:r>
        <w:t xml:space="preserve"> for substances listed in the annexes without an </w:t>
      </w:r>
      <w:r w:rsidRPr="00C86B8D">
        <w:t>ozone deplet</w:t>
      </w:r>
      <w:r>
        <w:t>ing potential</w:t>
      </w:r>
      <w:r w:rsidRPr="00C86B8D">
        <w:t>.</w:t>
      </w:r>
    </w:p>
    <w:p w14:paraId="3815549E" w14:textId="20E75AC4" w:rsidR="00C72559" w:rsidRPr="00944133" w:rsidRDefault="00C72559" w:rsidP="002449AA">
      <w:pPr>
        <w:pStyle w:val="SingleTxtG"/>
        <w:tabs>
          <w:tab w:val="clear" w:pos="1701"/>
        </w:tabs>
        <w:ind w:left="2268" w:hanging="567"/>
      </w:pPr>
      <w:r>
        <w:t>(b)</w:t>
      </w:r>
      <w:r>
        <w:tab/>
      </w:r>
      <w:r w:rsidRPr="00944133">
        <w:rPr>
          <w:b/>
          <w:bCs/>
        </w:rPr>
        <w:t>“Hazardous by contributing to global warming”</w:t>
      </w:r>
      <w:r w:rsidRPr="00944133">
        <w:t xml:space="preserve"> – this is the proposed new </w:t>
      </w:r>
      <w:r w:rsidRPr="00C72559">
        <w:t>hazard class to cover hydrofluorocarbons substances listed in the annexes to the Montreal Protocol</w:t>
      </w:r>
      <w:r w:rsidRPr="00944133">
        <w:t xml:space="preserve">. </w:t>
      </w:r>
      <w:r w:rsidRPr="00C72559">
        <w:t>Hydrofluorocarbons</w:t>
      </w:r>
      <w:r w:rsidRPr="00944133">
        <w:t xml:space="preserve"> have global warming potential and the group considered that the proposed name of this new hazard class would also be applicable if in the future the Montreal Protocol was amended further to include new annexes to list other substances with global warming potential without requiring further amendment to the GHS. The proposed criteria, decision logic and hazard communication elements have all been based on those used for the “hazardous to the ozone layer” hazard class but with minor amendments (i.e., use the term: “with a global warming potential” instead of “with an ozone depleting potential”) and a new hazard statement (“Harms public health and the environment by contributing to global warming”) to ensure these are specific to the new hazard class. </w:t>
      </w:r>
    </w:p>
    <w:p w14:paraId="255C0CE3" w14:textId="77777777" w:rsidR="00C72559" w:rsidRDefault="00C72559" w:rsidP="00C72559">
      <w:pPr>
        <w:pStyle w:val="SingleTxtG"/>
      </w:pPr>
      <w:r>
        <w:t>5.</w:t>
      </w:r>
      <w:r>
        <w:tab/>
        <w:t>In addition, the group propose to r</w:t>
      </w:r>
      <w:r w:rsidRPr="00A1181F">
        <w:rPr>
          <w:rFonts w:eastAsia="Times New Roman"/>
        </w:rPr>
        <w:t xml:space="preserve">ename the chapter to </w:t>
      </w:r>
      <w:r>
        <w:rPr>
          <w:rFonts w:eastAsia="Times New Roman"/>
        </w:rPr>
        <w:t>“</w:t>
      </w:r>
      <w:r w:rsidRPr="00A1181F">
        <w:rPr>
          <w:rFonts w:eastAsia="Times New Roman"/>
          <w:b/>
          <w:bCs/>
        </w:rPr>
        <w:t>Hazardous to the atmospheric system</w:t>
      </w:r>
      <w:r>
        <w:rPr>
          <w:rFonts w:eastAsia="Times New Roman"/>
        </w:rPr>
        <w:t>”</w:t>
      </w:r>
      <w:r w:rsidRPr="00A1181F">
        <w:rPr>
          <w:rFonts w:eastAsia="Times New Roman"/>
        </w:rPr>
        <w:t xml:space="preserve"> </w:t>
      </w:r>
      <w:r>
        <w:rPr>
          <w:rFonts w:eastAsia="Times New Roman"/>
        </w:rPr>
        <w:t xml:space="preserve">which </w:t>
      </w:r>
      <w:r w:rsidRPr="00A1181F">
        <w:rPr>
          <w:rFonts w:eastAsia="Times New Roman"/>
        </w:rPr>
        <w:t>encompass</w:t>
      </w:r>
      <w:r>
        <w:rPr>
          <w:rFonts w:eastAsia="Times New Roman"/>
        </w:rPr>
        <w:t>es</w:t>
      </w:r>
      <w:r w:rsidRPr="00A1181F">
        <w:rPr>
          <w:rFonts w:eastAsia="Times New Roman"/>
        </w:rPr>
        <w:t xml:space="preserve"> both hazard classes</w:t>
      </w:r>
      <w:r>
        <w:rPr>
          <w:rFonts w:eastAsia="Times New Roman"/>
        </w:rPr>
        <w:t>. Also, keeping in mind that future work is anticipated, the new chapter name</w:t>
      </w:r>
      <w:r>
        <w:t xml:space="preserve"> is expected to be inclusive of other </w:t>
      </w:r>
      <w:r w:rsidRPr="00C70051">
        <w:t xml:space="preserve">potential air related hazard(s) </w:t>
      </w:r>
      <w:r>
        <w:t xml:space="preserve">that </w:t>
      </w:r>
      <w:r w:rsidRPr="00C70051">
        <w:t>may be incorporated into the chapter in the future</w:t>
      </w:r>
      <w:r>
        <w:t>.</w:t>
      </w:r>
    </w:p>
    <w:p w14:paraId="576731FC" w14:textId="77777777" w:rsidR="00C72559" w:rsidRPr="00F56B54" w:rsidRDefault="00C72559" w:rsidP="00C72559">
      <w:pPr>
        <w:pStyle w:val="SingleTxtG"/>
      </w:pPr>
      <w:r>
        <w:t>6.</w:t>
      </w:r>
      <w:r>
        <w:tab/>
      </w:r>
      <w:r w:rsidRPr="00F56B54">
        <w:t xml:space="preserve">Other key proposed </w:t>
      </w:r>
      <w:r>
        <w:t>amendments to the chapter</w:t>
      </w:r>
      <w:r w:rsidRPr="00F56B54">
        <w:t xml:space="preserve"> </w:t>
      </w:r>
      <w:r>
        <w:t>include:</w:t>
      </w:r>
    </w:p>
    <w:p w14:paraId="2CF5825D" w14:textId="27C99795" w:rsidR="00C72559" w:rsidRDefault="00C72559" w:rsidP="00C72559">
      <w:pPr>
        <w:pStyle w:val="SingleTxtG"/>
        <w:tabs>
          <w:tab w:val="clear" w:pos="1701"/>
        </w:tabs>
        <w:ind w:left="2268" w:hanging="567"/>
      </w:pPr>
      <w:r>
        <w:t>(a)</w:t>
      </w:r>
      <w:r>
        <w:tab/>
        <w:t>the introduction of new hazard criteria for the new hazard class: “Hazardous by contributing to global warming”;</w:t>
      </w:r>
    </w:p>
    <w:p w14:paraId="61970040" w14:textId="775F8DA3" w:rsidR="00C72559" w:rsidRDefault="00C72559" w:rsidP="00C72559">
      <w:pPr>
        <w:pStyle w:val="SingleTxtG"/>
        <w:tabs>
          <w:tab w:val="clear" w:pos="1701"/>
        </w:tabs>
        <w:ind w:left="2268" w:hanging="567"/>
      </w:pPr>
      <w:r>
        <w:t>(b)</w:t>
      </w:r>
      <w:r>
        <w:tab/>
        <w:t>amendment of the label element table for “Hazardous to the ozone layer” to reflect the new title of the chapter and to include the label elements for the new hazard class: “Hazardous by contributing to global warming”;</w:t>
      </w:r>
    </w:p>
    <w:p w14:paraId="78F1889D" w14:textId="04F6491D" w:rsidR="00C72559" w:rsidRPr="00F256A7" w:rsidRDefault="00C72559" w:rsidP="00C72559">
      <w:pPr>
        <w:pStyle w:val="SingleTxtG"/>
        <w:tabs>
          <w:tab w:val="clear" w:pos="1701"/>
        </w:tabs>
        <w:ind w:left="2268" w:hanging="567"/>
      </w:pPr>
      <w:r w:rsidRPr="00F256A7">
        <w:t>(c)</w:t>
      </w:r>
      <w:r w:rsidRPr="00F256A7">
        <w:tab/>
      </w:r>
      <w:r>
        <w:t>the introduction of a new decision logic for the new hazard class: “Hazardous by contributing to global warming”;</w:t>
      </w:r>
    </w:p>
    <w:p w14:paraId="6512E86B" w14:textId="569749C7" w:rsidR="00C72559" w:rsidRPr="001008B0" w:rsidRDefault="00C72559" w:rsidP="00C72559">
      <w:pPr>
        <w:pStyle w:val="SingleTxtG"/>
        <w:tabs>
          <w:tab w:val="clear" w:pos="1701"/>
        </w:tabs>
        <w:ind w:left="2268" w:hanging="567"/>
      </w:pPr>
      <w:r w:rsidRPr="001008B0">
        <w:t>(d)</w:t>
      </w:r>
      <w:r w:rsidRPr="001008B0">
        <w:tab/>
      </w:r>
      <w:r>
        <w:t>the introduction of a</w:t>
      </w:r>
      <w:r w:rsidRPr="00F56B54">
        <w:t xml:space="preserve"> new paragraph under</w:t>
      </w:r>
      <w:r>
        <w:t xml:space="preserve"> the hazard communications section</w:t>
      </w:r>
      <w:r w:rsidRPr="00F56B54">
        <w:t xml:space="preserve"> to allow for the combination of hazard statements for those substances</w:t>
      </w:r>
      <w:r>
        <w:t xml:space="preserve"> and mixtures</w:t>
      </w:r>
      <w:r w:rsidRPr="00F56B54">
        <w:t xml:space="preserve"> that </w:t>
      </w:r>
      <w:r>
        <w:t>are classified into both hazard classes.</w:t>
      </w:r>
    </w:p>
    <w:p w14:paraId="216B349A" w14:textId="1C7F309C" w:rsidR="00C72559" w:rsidRPr="00DA7696" w:rsidRDefault="00C72559" w:rsidP="00C72559">
      <w:pPr>
        <w:pStyle w:val="H1G"/>
        <w:spacing w:before="240" w:after="120"/>
        <w:ind w:left="0" w:right="0" w:firstLine="0"/>
        <w:rPr>
          <w:noProof/>
        </w:rPr>
      </w:pPr>
      <w:r w:rsidRPr="00DA7696">
        <w:rPr>
          <w:noProof/>
        </w:rPr>
        <w:tab/>
      </w:r>
      <w:r w:rsidRPr="00DA7696">
        <w:rPr>
          <w:noProof/>
        </w:rPr>
        <w:tab/>
        <w:t xml:space="preserve">Conforming changes to </w:t>
      </w:r>
      <w:r>
        <w:rPr>
          <w:noProof/>
        </w:rPr>
        <w:t>chapter 1.2 and annexes 1 and 3</w:t>
      </w:r>
    </w:p>
    <w:p w14:paraId="28CDC8B8" w14:textId="0D9D218F" w:rsidR="00C72559" w:rsidRPr="001A7BA4" w:rsidRDefault="00C72559" w:rsidP="005839F9">
      <w:pPr>
        <w:pStyle w:val="SingleTxtG"/>
      </w:pPr>
      <w:r w:rsidRPr="001A7BA4">
        <w:t>7.</w:t>
      </w:r>
      <w:r w:rsidRPr="001A7BA4">
        <w:tab/>
        <w:t xml:space="preserve">The proposed changes to </w:t>
      </w:r>
      <w:r w:rsidR="00285172" w:rsidRPr="001A7BA4">
        <w:t>c</w:t>
      </w:r>
      <w:r w:rsidRPr="001A7BA4">
        <w:t xml:space="preserve">hapter 4.2 necessitate a number of conforming changes to be made to </w:t>
      </w:r>
      <w:r w:rsidR="00285172" w:rsidRPr="001A7BA4">
        <w:t>c</w:t>
      </w:r>
      <w:r w:rsidRPr="001A7BA4">
        <w:t xml:space="preserve">hapter 1.2; </w:t>
      </w:r>
      <w:r w:rsidR="00285172" w:rsidRPr="001A7BA4">
        <w:t>a</w:t>
      </w:r>
      <w:r w:rsidRPr="001A7BA4">
        <w:t>nnex 1 (</w:t>
      </w:r>
      <w:r w:rsidR="00285172" w:rsidRPr="001A7BA4">
        <w:t>t</w:t>
      </w:r>
      <w:r w:rsidRPr="001A7BA4">
        <w:t xml:space="preserve">able A1.30); and </w:t>
      </w:r>
      <w:r w:rsidR="00285172" w:rsidRPr="001A7BA4">
        <w:t>a</w:t>
      </w:r>
      <w:r w:rsidRPr="001A7BA4">
        <w:t>nnex 3 (</w:t>
      </w:r>
      <w:r w:rsidR="00285172" w:rsidRPr="001A7BA4">
        <w:t>t</w:t>
      </w:r>
      <w:r w:rsidRPr="001A7BA4">
        <w:t xml:space="preserve">ables A3.1.3 and A3.2.5; and </w:t>
      </w:r>
      <w:r w:rsidR="00285172" w:rsidRPr="001A7BA4">
        <w:t>s</w:t>
      </w:r>
      <w:r w:rsidRPr="001A7BA4">
        <w:t>ection 3 (the matrix tables)), as provided in the annex of this document.</w:t>
      </w:r>
    </w:p>
    <w:p w14:paraId="799A0D56" w14:textId="3F29A8A0" w:rsidR="00C72559" w:rsidRPr="00376E50" w:rsidRDefault="002449AA" w:rsidP="00C72559">
      <w:pPr>
        <w:pStyle w:val="HChG"/>
        <w:spacing w:before="200" w:after="120"/>
      </w:pPr>
      <w:r>
        <w:tab/>
      </w:r>
      <w:r w:rsidR="00C72559" w:rsidRPr="00376E50">
        <w:tab/>
        <w:t>Action and next steps</w:t>
      </w:r>
    </w:p>
    <w:p w14:paraId="25FE9BEC" w14:textId="57F70F56" w:rsidR="00C72559" w:rsidRDefault="00C72559" w:rsidP="00944133">
      <w:pPr>
        <w:pStyle w:val="SingleTxtG"/>
      </w:pPr>
      <w:r>
        <w:t>8</w:t>
      </w:r>
      <w:r w:rsidRPr="00376E50">
        <w:t>.</w:t>
      </w:r>
      <w:r w:rsidRPr="00376E50">
        <w:tab/>
      </w:r>
      <w:r>
        <w:t xml:space="preserve">The authors of this paper considered adding the </w:t>
      </w:r>
      <w:r w:rsidR="00285172">
        <w:t>p</w:t>
      </w:r>
      <w:r>
        <w:t xml:space="preserve">recautionary statement P273 “Avoid release to the environment” to both hazard classes. However, given the limited scope of this work (i.e., to clarify the scope of the GHS hazard class “hazardous to the ozone layer” following adoption of the “Kigali amendment”) further future work is anticipated. It is unclear what impact this future work will have on the scope or need for the precautionary </w:t>
      </w:r>
      <w:r>
        <w:lastRenderedPageBreak/>
        <w:t>statement.  Therefore, the authors of this paper recommend that the precautionary statement be address</w:t>
      </w:r>
      <w:r w:rsidR="00285172">
        <w:t>ed</w:t>
      </w:r>
      <w:r>
        <w:t xml:space="preserve"> in the context of future work.</w:t>
      </w:r>
    </w:p>
    <w:p w14:paraId="33B073FE" w14:textId="0F5AFD7D" w:rsidR="00C72559" w:rsidRPr="00376E50" w:rsidRDefault="00C72559" w:rsidP="00944133">
      <w:pPr>
        <w:pStyle w:val="SingleTxtG"/>
      </w:pPr>
      <w:r>
        <w:t>9</w:t>
      </w:r>
      <w:r w:rsidRPr="00376E50">
        <w:t>.</w:t>
      </w:r>
      <w:r w:rsidRPr="00376E50">
        <w:tab/>
        <w:t xml:space="preserve">The Sub-Committee is invited to </w:t>
      </w:r>
      <w:r>
        <w:t>consider</w:t>
      </w:r>
      <w:r w:rsidRPr="00376E50">
        <w:t xml:space="preserve"> the</w:t>
      </w:r>
      <w:r>
        <w:t xml:space="preserve"> proposed amendments to</w:t>
      </w:r>
      <w:r w:rsidRPr="00376E50">
        <w:t xml:space="preserve"> </w:t>
      </w:r>
      <w:r w:rsidR="00285172">
        <w:t>c</w:t>
      </w:r>
      <w:r w:rsidRPr="00376E50">
        <w:t>hapter</w:t>
      </w:r>
      <w:r>
        <w:t xml:space="preserve"> 4.2, together with the conforming changes to </w:t>
      </w:r>
      <w:r w:rsidR="00285172">
        <w:t>c</w:t>
      </w:r>
      <w:r>
        <w:t>hapter 1.2 and annexes 1 and 3 of the GHS,</w:t>
      </w:r>
      <w:r w:rsidRPr="00376E50">
        <w:t xml:space="preserve"> as set out in the annex to this </w:t>
      </w:r>
      <w:r w:rsidRPr="00286EF3">
        <w:t>document and as provided in full in informal document INF.</w:t>
      </w:r>
      <w:r w:rsidR="00285172" w:rsidRPr="00286EF3">
        <w:t>3</w:t>
      </w:r>
      <w:r w:rsidRPr="00286EF3">
        <w:t>.</w:t>
      </w:r>
      <w:r>
        <w:t xml:space="preserve"> </w:t>
      </w:r>
    </w:p>
    <w:p w14:paraId="313F2869" w14:textId="77777777" w:rsidR="00C72559" w:rsidRDefault="00C72559" w:rsidP="00C72559">
      <w:pPr>
        <w:spacing w:after="200" w:line="276" w:lineRule="auto"/>
        <w:rPr>
          <w:b/>
          <w:sz w:val="28"/>
        </w:rPr>
      </w:pPr>
      <w:r>
        <w:br w:type="page"/>
      </w:r>
    </w:p>
    <w:p w14:paraId="5EFE022F" w14:textId="77777777" w:rsidR="00C72559" w:rsidRPr="00285172" w:rsidRDefault="00C72559" w:rsidP="00285172">
      <w:pPr>
        <w:pStyle w:val="HChG"/>
      </w:pPr>
      <w:r w:rsidRPr="00285172">
        <w:lastRenderedPageBreak/>
        <w:t xml:space="preserve">Annex </w:t>
      </w:r>
    </w:p>
    <w:p w14:paraId="51A6AE33" w14:textId="2182EA78" w:rsidR="00C72559" w:rsidRPr="00CE3685" w:rsidRDefault="00285172" w:rsidP="00944133">
      <w:pPr>
        <w:pStyle w:val="H1G"/>
      </w:pPr>
      <w:r>
        <w:tab/>
      </w:r>
      <w:r>
        <w:tab/>
      </w:r>
      <w:r w:rsidR="00C72559" w:rsidRPr="00CE3685">
        <w:t xml:space="preserve">Proposed amendments to </w:t>
      </w:r>
      <w:r>
        <w:t>c</w:t>
      </w:r>
      <w:r w:rsidR="00C72559" w:rsidRPr="00CE3685">
        <w:t xml:space="preserve">hapter 4.2 </w:t>
      </w:r>
    </w:p>
    <w:p w14:paraId="5DB7E817" w14:textId="19E47E0C" w:rsidR="00C72559" w:rsidRDefault="00285172" w:rsidP="00285172">
      <w:pPr>
        <w:spacing w:after="120" w:line="240" w:lineRule="auto"/>
        <w:ind w:left="1134"/>
      </w:pPr>
      <w:r>
        <w:t xml:space="preserve">Chapter </w:t>
      </w:r>
      <w:r w:rsidR="00C72559">
        <w:t>title</w:t>
      </w:r>
      <w:r>
        <w:tab/>
        <w:t xml:space="preserve">Amend to read </w:t>
      </w:r>
      <w:r>
        <w:rPr>
          <w:b/>
          <w:bCs/>
        </w:rPr>
        <w:t>“</w:t>
      </w:r>
      <w:r w:rsidR="00C72559" w:rsidRPr="00916330">
        <w:rPr>
          <w:b/>
          <w:bCs/>
        </w:rPr>
        <w:t>HAZARDOUS TO THE ATMOSPHERIC SYSTEM</w:t>
      </w:r>
      <w:r w:rsidR="00C72559" w:rsidRPr="00916330">
        <w:t>”</w:t>
      </w:r>
    </w:p>
    <w:p w14:paraId="734F94B7" w14:textId="0697171D" w:rsidR="00C72559" w:rsidRPr="00916330" w:rsidRDefault="00C72559" w:rsidP="00285172">
      <w:pPr>
        <w:tabs>
          <w:tab w:val="left" w:pos="1985"/>
        </w:tabs>
        <w:spacing w:after="120" w:line="240" w:lineRule="auto"/>
        <w:ind w:left="1134"/>
      </w:pPr>
      <w:r w:rsidRPr="00916330">
        <w:t>4.2.1</w:t>
      </w:r>
      <w:r w:rsidRPr="00916330">
        <w:tab/>
      </w:r>
      <w:r w:rsidR="00285172">
        <w:t xml:space="preserve">Amend the heading to read </w:t>
      </w:r>
      <w:r w:rsidRPr="00B56CAF">
        <w:t>“</w:t>
      </w:r>
      <w:r w:rsidR="00285172" w:rsidRPr="00944133">
        <w:rPr>
          <w:b/>
          <w:bCs/>
        </w:rPr>
        <w:t>Definitions</w:t>
      </w:r>
      <w:r w:rsidR="00285172">
        <w:t xml:space="preserve"> </w:t>
      </w:r>
      <w:r w:rsidRPr="00B56CAF">
        <w:rPr>
          <w:b/>
          <w:bCs/>
        </w:rPr>
        <w:t>and general considerations</w:t>
      </w:r>
      <w:r w:rsidRPr="00B56CAF">
        <w:t>”</w:t>
      </w:r>
      <w:r w:rsidR="00285172">
        <w:t>.</w:t>
      </w:r>
    </w:p>
    <w:p w14:paraId="4F0932EE" w14:textId="77777777" w:rsidR="00C72559" w:rsidRPr="00916330" w:rsidRDefault="00C72559" w:rsidP="00C72559">
      <w:pPr>
        <w:tabs>
          <w:tab w:val="left" w:pos="1440"/>
        </w:tabs>
        <w:spacing w:after="120" w:line="240" w:lineRule="auto"/>
        <w:ind w:left="1985"/>
        <w:jc w:val="both"/>
        <w:rPr>
          <w:bCs/>
        </w:rPr>
      </w:pPr>
      <w:r w:rsidRPr="00916330">
        <w:rPr>
          <w:bCs/>
        </w:rPr>
        <w:t xml:space="preserve">Insert a new paragraph beneath the </w:t>
      </w:r>
      <w:r>
        <w:rPr>
          <w:bCs/>
        </w:rPr>
        <w:t>amended</w:t>
      </w:r>
      <w:r w:rsidRPr="00916330">
        <w:rPr>
          <w:bCs/>
        </w:rPr>
        <w:t xml:space="preserve"> heading to read:</w:t>
      </w:r>
    </w:p>
    <w:p w14:paraId="2EF3B771" w14:textId="2AD10E42" w:rsidR="00C72559" w:rsidRPr="00916330" w:rsidRDefault="00C72559" w:rsidP="00944133">
      <w:pPr>
        <w:pStyle w:val="SingleTxtG"/>
        <w:ind w:left="1985"/>
      </w:pPr>
      <w:bookmarkStart w:id="1" w:name="_Hlk132622256"/>
      <w:r w:rsidRPr="00916330">
        <w:t>“This chapter covers substances and mixtures that are hazardous to the atmospheric system due to their ozone depleting and/or global warming potential. For the purposes of this chapter, the following definitions apply:”</w:t>
      </w:r>
    </w:p>
    <w:bookmarkEnd w:id="1"/>
    <w:p w14:paraId="56D141DE" w14:textId="6D5E649C" w:rsidR="00C72559" w:rsidRPr="00916330" w:rsidRDefault="00C72559" w:rsidP="00944133">
      <w:pPr>
        <w:pStyle w:val="SingleTxtG"/>
        <w:tabs>
          <w:tab w:val="clear" w:pos="1701"/>
        </w:tabs>
        <w:ind w:left="1985"/>
      </w:pPr>
      <w:r w:rsidRPr="00916330">
        <w:t xml:space="preserve">Move the </w:t>
      </w:r>
      <w:r>
        <w:t xml:space="preserve">existing </w:t>
      </w:r>
      <w:r w:rsidRPr="00916330">
        <w:t>definition “</w:t>
      </w:r>
      <w:r w:rsidRPr="00916330">
        <w:rPr>
          <w:i/>
          <w:iCs/>
        </w:rPr>
        <w:t>Montreal Protocol</w:t>
      </w:r>
      <w:r w:rsidRPr="00916330">
        <w:t xml:space="preserve"> is …” to </w:t>
      </w:r>
      <w:r>
        <w:t xml:space="preserve">place it </w:t>
      </w:r>
      <w:r w:rsidRPr="00916330">
        <w:t xml:space="preserve">before the </w:t>
      </w:r>
      <w:r>
        <w:t xml:space="preserve">existing </w:t>
      </w:r>
      <w:r w:rsidRPr="00916330">
        <w:t xml:space="preserve">definition </w:t>
      </w:r>
      <w:r w:rsidR="00066374">
        <w:t xml:space="preserve">for </w:t>
      </w:r>
      <w:r w:rsidRPr="00916330">
        <w:t>“</w:t>
      </w:r>
      <w:r w:rsidRPr="00916330">
        <w:rPr>
          <w:i/>
          <w:iCs/>
        </w:rPr>
        <w:t>Ozone Depleting Potential</w:t>
      </w:r>
      <w:r w:rsidRPr="00916330">
        <w:t>”</w:t>
      </w:r>
    </w:p>
    <w:p w14:paraId="34D8B6FE" w14:textId="5B744FE9" w:rsidR="00C72559" w:rsidRDefault="00285172" w:rsidP="00944133">
      <w:pPr>
        <w:pStyle w:val="SingleTxtG"/>
        <w:tabs>
          <w:tab w:val="clear" w:pos="1701"/>
        </w:tabs>
        <w:ind w:left="1985"/>
        <w:rPr>
          <w:bCs/>
        </w:rPr>
      </w:pPr>
      <w:r>
        <w:t>In</w:t>
      </w:r>
      <w:r w:rsidRPr="00944133">
        <w:t xml:space="preserve"> </w:t>
      </w:r>
      <w:r w:rsidR="00C72559" w:rsidRPr="00944133">
        <w:t xml:space="preserve">the existing </w:t>
      </w:r>
      <w:r>
        <w:t xml:space="preserve">definition of </w:t>
      </w:r>
      <w:r w:rsidR="00C72559" w:rsidRPr="00944133">
        <w:t>“Ozone Depleting Potential” delete: “(ODP)” in the first sentence and replace “ODP” with “ozone depleting potential” in the second sentence</w:t>
      </w:r>
      <w:r w:rsidR="00C72559">
        <w:rPr>
          <w:bCs/>
        </w:rPr>
        <w:t>.</w:t>
      </w:r>
    </w:p>
    <w:p w14:paraId="78F103D7" w14:textId="77777777" w:rsidR="00C72559" w:rsidRPr="00916330" w:rsidRDefault="00C72559" w:rsidP="00944133">
      <w:pPr>
        <w:pStyle w:val="SingleTxtG"/>
        <w:ind w:left="1985"/>
      </w:pPr>
      <w:r w:rsidRPr="00916330">
        <w:t>Insert the following new definition for “</w:t>
      </w:r>
      <w:r w:rsidRPr="00916330">
        <w:rPr>
          <w:i/>
          <w:iCs/>
        </w:rPr>
        <w:t>Global warming potential</w:t>
      </w:r>
      <w:r w:rsidRPr="00916330">
        <w:t>” after the definition for “</w:t>
      </w:r>
      <w:r w:rsidRPr="00916330">
        <w:rPr>
          <w:i/>
          <w:iCs/>
        </w:rPr>
        <w:t>Ozone Depleting Potential</w:t>
      </w:r>
      <w:r w:rsidRPr="00916330">
        <w:t>” to read:</w:t>
      </w:r>
    </w:p>
    <w:p w14:paraId="512D3994" w14:textId="44660C0B" w:rsidR="00C72559" w:rsidRPr="00916330" w:rsidRDefault="00C72559" w:rsidP="00944133">
      <w:pPr>
        <w:pStyle w:val="SingleTxtG"/>
        <w:ind w:left="1985"/>
      </w:pPr>
      <w:r w:rsidRPr="00DC3A3A">
        <w:t>“</w:t>
      </w:r>
      <w:bookmarkStart w:id="2" w:name="_Hlk126325711"/>
      <w:bookmarkStart w:id="3" w:name="_Hlk132622443"/>
      <w:r w:rsidRPr="00DC3A3A">
        <w:rPr>
          <w:i/>
          <w:iCs/>
        </w:rPr>
        <w:t xml:space="preserve">Global </w:t>
      </w:r>
      <w:r w:rsidR="007C0239">
        <w:rPr>
          <w:i/>
          <w:iCs/>
        </w:rPr>
        <w:t>W</w:t>
      </w:r>
      <w:r w:rsidRPr="00DC3A3A">
        <w:rPr>
          <w:i/>
          <w:iCs/>
        </w:rPr>
        <w:t xml:space="preserve">arming </w:t>
      </w:r>
      <w:r w:rsidR="007C0239">
        <w:rPr>
          <w:i/>
          <w:iCs/>
        </w:rPr>
        <w:t>P</w:t>
      </w:r>
      <w:r w:rsidRPr="00DC3A3A">
        <w:rPr>
          <w:i/>
          <w:iCs/>
        </w:rPr>
        <w:t>otential</w:t>
      </w:r>
      <w:r w:rsidRPr="00916330">
        <w:rPr>
          <w:i/>
          <w:iCs/>
        </w:rPr>
        <w:t xml:space="preserve"> </w:t>
      </w:r>
      <w:r w:rsidRPr="00916330">
        <w:t>is a metric that compares the ability of a substance or mixture to trap heat in the atmosphere as compared to a benchmark gas (generally carbon dioxide).</w:t>
      </w:r>
      <w:r w:rsidRPr="00916330">
        <w:rPr>
          <w:i/>
          <w:iCs/>
        </w:rPr>
        <w:t xml:space="preserve">  </w:t>
      </w:r>
      <w:r w:rsidRPr="00916330">
        <w:t xml:space="preserve">The formal definition of </w:t>
      </w:r>
      <w:r>
        <w:t>global warming potential</w:t>
      </w:r>
      <w:r w:rsidRPr="00916330">
        <w:t xml:space="preserve"> is the cumulative radiative forcing, both direct and indirect effects, over a specified time horizon resulting from the emission of a unit mass of gas relative to that of carbon dioxide (as the reference gas</w:t>
      </w:r>
      <w:bookmarkEnd w:id="2"/>
      <w:r w:rsidRPr="00916330">
        <w:t>).”</w:t>
      </w:r>
      <w:bookmarkEnd w:id="3"/>
    </w:p>
    <w:p w14:paraId="5FF26742" w14:textId="43C31AC2" w:rsidR="00940340" w:rsidRDefault="00C72559" w:rsidP="00944133">
      <w:pPr>
        <w:pStyle w:val="SingleTxtG"/>
        <w:ind w:left="1985" w:hanging="851"/>
      </w:pPr>
      <w:r w:rsidRPr="00916330">
        <w:t>4.2.2</w:t>
      </w:r>
      <w:r w:rsidRPr="00916330">
        <w:tab/>
      </w:r>
      <w:r w:rsidR="0014560A">
        <w:tab/>
      </w:r>
      <w:r w:rsidR="00066374" w:rsidRPr="00916330">
        <w:t>Delete the superscript</w:t>
      </w:r>
      <w:r w:rsidR="00066374">
        <w:t>ed</w:t>
      </w:r>
      <w:r w:rsidR="00066374" w:rsidRPr="00916330">
        <w:t xml:space="preserve"> footnote reference</w:t>
      </w:r>
      <w:r w:rsidR="00066374">
        <w:t xml:space="preserve"> “1”</w:t>
      </w:r>
      <w:r w:rsidR="00066374" w:rsidRPr="00916330">
        <w:t xml:space="preserve"> </w:t>
      </w:r>
      <w:r w:rsidR="00066374">
        <w:t>and i</w:t>
      </w:r>
      <w:r w:rsidR="00CE751F">
        <w:t xml:space="preserve">nsert a new paragraph 4.2.2.1 under the heading “classification criteria” to read as follows: </w:t>
      </w:r>
    </w:p>
    <w:p w14:paraId="1AE06F9B" w14:textId="4E14C6B0" w:rsidR="00CE751F" w:rsidRPr="00D73FDD" w:rsidRDefault="00CE751F" w:rsidP="00944133">
      <w:pPr>
        <w:keepNext/>
        <w:tabs>
          <w:tab w:val="left" w:pos="1418"/>
        </w:tabs>
        <w:autoSpaceDE w:val="0"/>
        <w:autoSpaceDN w:val="0"/>
        <w:adjustRightInd w:val="0"/>
        <w:spacing w:before="240" w:after="240" w:line="240" w:lineRule="auto"/>
        <w:ind w:left="1985"/>
        <w:outlineLvl w:val="2"/>
        <w:rPr>
          <w:b/>
          <w:bCs/>
          <w:color w:val="000000"/>
          <w:lang w:eastAsia="fr-FR"/>
        </w:rPr>
      </w:pPr>
      <w:r>
        <w:rPr>
          <w:b/>
          <w:bCs/>
          <w:color w:val="000000"/>
          <w:lang w:eastAsia="fr-FR"/>
        </w:rPr>
        <w:t>“</w:t>
      </w:r>
      <w:r w:rsidRPr="00D73FDD">
        <w:rPr>
          <w:b/>
          <w:bCs/>
          <w:color w:val="000000"/>
          <w:lang w:eastAsia="fr-FR"/>
        </w:rPr>
        <w:t>4.2.2</w:t>
      </w:r>
      <w:r w:rsidRPr="00D73FDD">
        <w:rPr>
          <w:b/>
          <w:bCs/>
          <w:color w:val="000000"/>
          <w:lang w:eastAsia="fr-FR"/>
        </w:rPr>
        <w:tab/>
        <w:t>Classification criteria</w:t>
      </w:r>
    </w:p>
    <w:p w14:paraId="623C55C8" w14:textId="553BC3E4" w:rsidR="00CE751F" w:rsidRDefault="00CE751F" w:rsidP="00944133">
      <w:pPr>
        <w:pStyle w:val="SingleTxtG"/>
        <w:ind w:left="1985"/>
      </w:pPr>
      <w:r>
        <w:t>4.2.2.1</w:t>
      </w:r>
      <w:r>
        <w:tab/>
      </w:r>
      <w:r w:rsidRPr="00916330">
        <w:t xml:space="preserve">Substances and mixtures are classified into the hazardous to the ozone </w:t>
      </w:r>
      <w:r>
        <w:t xml:space="preserve">layer </w:t>
      </w:r>
      <w:r w:rsidRPr="00916330">
        <w:t>hazard class due to their ozone depleting potential in accordance with 4.2.2.2 and/or hazardous by contributing to global warming hazard class by their global warming potential in accordance with 4.2.2.3, independently.</w:t>
      </w:r>
      <w:r>
        <w:t>”</w:t>
      </w:r>
    </w:p>
    <w:p w14:paraId="1BB32E64" w14:textId="3ED38808" w:rsidR="00C72559" w:rsidRPr="00916330" w:rsidRDefault="00C72559" w:rsidP="00944133">
      <w:pPr>
        <w:pStyle w:val="SingleTxtG"/>
        <w:tabs>
          <w:tab w:val="clear" w:pos="1701"/>
          <w:tab w:val="left" w:pos="1985"/>
        </w:tabs>
        <w:ind w:left="1985" w:hanging="851"/>
      </w:pPr>
      <w:r w:rsidRPr="00916330">
        <w:t>4.2.2.2</w:t>
      </w:r>
      <w:r w:rsidRPr="00916330">
        <w:tab/>
      </w:r>
      <w:r w:rsidR="00CE751F">
        <w:t xml:space="preserve">Place </w:t>
      </w:r>
      <w:r w:rsidR="00066374">
        <w:t xml:space="preserve">the </w:t>
      </w:r>
      <w:r w:rsidR="00CE751F">
        <w:t xml:space="preserve">existing sentence under “classification criteria” (“A substance or mixture…”) </w:t>
      </w:r>
      <w:r w:rsidR="00CE751F" w:rsidRPr="00785D9C">
        <w:t xml:space="preserve">under a new heading </w:t>
      </w:r>
      <w:r w:rsidR="00CE751F" w:rsidRPr="00765D9C">
        <w:t>4.2.2.</w:t>
      </w:r>
      <w:r w:rsidR="009654B8" w:rsidRPr="00765D9C">
        <w:t>2</w:t>
      </w:r>
      <w:r w:rsidR="00CE751F" w:rsidRPr="00765D9C">
        <w:t xml:space="preserve"> and amend</w:t>
      </w:r>
      <w:r w:rsidR="00CE751F">
        <w:t xml:space="preserve"> as follows: </w:t>
      </w:r>
    </w:p>
    <w:p w14:paraId="440771A5" w14:textId="77777777" w:rsidR="00C72559" w:rsidRPr="00916330" w:rsidRDefault="00C72559" w:rsidP="00944133">
      <w:pPr>
        <w:pStyle w:val="GHS1stline"/>
        <w:tabs>
          <w:tab w:val="clear" w:pos="1418"/>
          <w:tab w:val="clear" w:pos="1985"/>
          <w:tab w:val="clear" w:pos="2552"/>
          <w:tab w:val="clear" w:pos="3119"/>
          <w:tab w:val="clear" w:pos="3686"/>
          <w:tab w:val="left" w:pos="2835"/>
        </w:tabs>
        <w:spacing w:after="120"/>
        <w:ind w:left="1985" w:firstLine="0"/>
        <w:rPr>
          <w:b/>
          <w:bCs/>
          <w:i/>
          <w:iCs/>
        </w:rPr>
      </w:pPr>
      <w:r w:rsidRPr="00916330">
        <w:t>“</w:t>
      </w:r>
      <w:r w:rsidRPr="00944133">
        <w:rPr>
          <w:b/>
          <w:bCs/>
        </w:rPr>
        <w:t>4.2.2.2</w:t>
      </w:r>
      <w:r w:rsidRPr="00916330">
        <w:rPr>
          <w:b/>
          <w:bCs/>
          <w:i/>
          <w:iCs/>
        </w:rPr>
        <w:tab/>
      </w:r>
      <w:bookmarkStart w:id="4" w:name="_Hlk132622665"/>
      <w:r w:rsidRPr="00916330">
        <w:rPr>
          <w:b/>
          <w:bCs/>
          <w:i/>
          <w:iCs/>
        </w:rPr>
        <w:t xml:space="preserve">Hazardous to the ozone layer </w:t>
      </w:r>
      <w:bookmarkEnd w:id="4"/>
    </w:p>
    <w:p w14:paraId="6C9F8D12" w14:textId="77777777" w:rsidR="00C72559" w:rsidRPr="00916330" w:rsidRDefault="00C72559" w:rsidP="00944133">
      <w:pPr>
        <w:pStyle w:val="SingleTxtG"/>
        <w:ind w:left="1985" w:firstLine="850"/>
      </w:pPr>
      <w:r>
        <w:tab/>
      </w:r>
      <w:r w:rsidRPr="00916330">
        <w:t xml:space="preserve">A substance or mixture shall be classified in Category 1 </w:t>
      </w:r>
      <w:bookmarkStart w:id="5" w:name="_Hlk132622897"/>
      <w:r w:rsidRPr="00916330">
        <w:t xml:space="preserve">hazardous to the ozone layer </w:t>
      </w:r>
      <w:bookmarkEnd w:id="5"/>
      <w:r w:rsidRPr="00916330">
        <w:t>according to the following table</w:t>
      </w:r>
      <w:bookmarkStart w:id="6" w:name="_Hlk132622705"/>
      <w:r w:rsidRPr="00916330">
        <w:rPr>
          <w:vertAlign w:val="superscript"/>
        </w:rPr>
        <w:t>1</w:t>
      </w:r>
      <w:bookmarkEnd w:id="6"/>
      <w:r w:rsidRPr="00916330">
        <w:t>:”</w:t>
      </w:r>
    </w:p>
    <w:p w14:paraId="646031D2" w14:textId="19B9473F" w:rsidR="00C72559" w:rsidRPr="00916330" w:rsidRDefault="00C72559" w:rsidP="00944133">
      <w:pPr>
        <w:pStyle w:val="SingleTxtG"/>
        <w:ind w:left="1985" w:hanging="851"/>
        <w:rPr>
          <w:bCs/>
        </w:rPr>
      </w:pPr>
      <w:r w:rsidRPr="00916330">
        <w:t>Table 4.2.1</w:t>
      </w:r>
      <w:r>
        <w:t>,</w:t>
      </w:r>
      <w:r w:rsidRPr="00916330">
        <w:t xml:space="preserve"> column</w:t>
      </w:r>
      <w:r w:rsidR="00BD198F">
        <w:t xml:space="preserve"> “Criteria”</w:t>
      </w:r>
      <w:r w:rsidR="00BD198F">
        <w:tab/>
        <w:t>R</w:t>
      </w:r>
      <w:r w:rsidRPr="00916330">
        <w:t xml:space="preserve">eplace “listed in </w:t>
      </w:r>
      <w:r w:rsidR="00BD198F">
        <w:t>a</w:t>
      </w:r>
      <w:r w:rsidRPr="00916330">
        <w:t xml:space="preserve">nnexes to” with “listed with </w:t>
      </w:r>
      <w:r w:rsidRPr="00747B32">
        <w:t>an ozone depleting potential</w:t>
      </w:r>
      <w:r w:rsidRPr="00916330">
        <w:t xml:space="preserve"> in annexes to”</w:t>
      </w:r>
      <w:r w:rsidR="00BD198F">
        <w:t xml:space="preserve"> and </w:t>
      </w:r>
      <w:r w:rsidRPr="00916330">
        <w:rPr>
          <w:bCs/>
        </w:rPr>
        <w:t xml:space="preserve">“listed in the </w:t>
      </w:r>
      <w:r w:rsidR="00BD198F">
        <w:rPr>
          <w:bCs/>
        </w:rPr>
        <w:t>a</w:t>
      </w:r>
      <w:r w:rsidRPr="00916330">
        <w:rPr>
          <w:bCs/>
        </w:rPr>
        <w:t>nnexes to the” with “</w:t>
      </w:r>
      <w:r w:rsidRPr="00916330">
        <w:rPr>
          <w:bCs/>
          <w:iCs/>
        </w:rPr>
        <w:t xml:space="preserve">listed with an </w:t>
      </w:r>
      <w:r w:rsidRPr="00747B32">
        <w:rPr>
          <w:bCs/>
        </w:rPr>
        <w:t>ozone depleting potential</w:t>
      </w:r>
      <w:r w:rsidRPr="00916330">
        <w:rPr>
          <w:bCs/>
          <w:iCs/>
        </w:rPr>
        <w:t xml:space="preserve"> in the annexes to the</w:t>
      </w:r>
      <w:r w:rsidRPr="00916330">
        <w:rPr>
          <w:bCs/>
        </w:rPr>
        <w:t>”</w:t>
      </w:r>
      <w:r>
        <w:rPr>
          <w:bCs/>
        </w:rPr>
        <w:t>.</w:t>
      </w:r>
    </w:p>
    <w:p w14:paraId="596441F8" w14:textId="789F6F78" w:rsidR="00C72559" w:rsidRPr="00916330" w:rsidRDefault="00C72559" w:rsidP="0014560A">
      <w:pPr>
        <w:pStyle w:val="SingleTxtG"/>
        <w:keepNext/>
        <w:keepLines/>
        <w:tabs>
          <w:tab w:val="clear" w:pos="2268"/>
          <w:tab w:val="left" w:pos="1985"/>
        </w:tabs>
      </w:pPr>
      <w:r w:rsidRPr="00916330">
        <w:lastRenderedPageBreak/>
        <w:t>4.2.2.3</w:t>
      </w:r>
      <w:r w:rsidRPr="00916330">
        <w:tab/>
      </w:r>
      <w:r w:rsidR="00BD198F">
        <w:tab/>
      </w:r>
      <w:r>
        <w:t xml:space="preserve">Insert </w:t>
      </w:r>
      <w:r w:rsidR="00BD198F">
        <w:t xml:space="preserve">the following </w:t>
      </w:r>
      <w:r>
        <w:t>new section a</w:t>
      </w:r>
      <w:r w:rsidRPr="00916330">
        <w:t xml:space="preserve">fter </w:t>
      </w:r>
      <w:r w:rsidR="00BD198F">
        <w:t>t</w:t>
      </w:r>
      <w:r w:rsidRPr="00916330">
        <w:t>able 4.2.1</w:t>
      </w:r>
      <w:r w:rsidR="00BD198F">
        <w:t xml:space="preserve">: </w:t>
      </w:r>
    </w:p>
    <w:p w14:paraId="7643AA85" w14:textId="1DBDCC15" w:rsidR="00C72559" w:rsidRPr="00944133" w:rsidRDefault="00C72559" w:rsidP="0014560A">
      <w:pPr>
        <w:pStyle w:val="SingleTxtG"/>
        <w:keepNext/>
        <w:keepLines/>
        <w:tabs>
          <w:tab w:val="clear" w:pos="2268"/>
          <w:tab w:val="left" w:pos="1985"/>
        </w:tabs>
        <w:ind w:firstLine="851"/>
        <w:rPr>
          <w:b/>
          <w:bCs/>
        </w:rPr>
      </w:pPr>
      <w:bookmarkStart w:id="7" w:name="_Hlk132623002"/>
      <w:r w:rsidRPr="00916330">
        <w:t>“</w:t>
      </w:r>
      <w:r w:rsidRPr="00944133">
        <w:rPr>
          <w:b/>
          <w:bCs/>
        </w:rPr>
        <w:t>4.2.2.3</w:t>
      </w:r>
      <w:r w:rsidRPr="00944133">
        <w:rPr>
          <w:b/>
          <w:bCs/>
        </w:rPr>
        <w:tab/>
      </w:r>
      <w:r w:rsidRPr="00944133">
        <w:rPr>
          <w:b/>
          <w:bCs/>
          <w:i/>
          <w:iCs/>
        </w:rPr>
        <w:t>Hazardous by contributing to global warming</w:t>
      </w:r>
    </w:p>
    <w:p w14:paraId="1CF1B1F2" w14:textId="3D5B84DC" w:rsidR="00C72559" w:rsidRPr="00916330" w:rsidRDefault="00BD198F" w:rsidP="0014560A">
      <w:pPr>
        <w:pStyle w:val="SingleTxtG"/>
        <w:keepNext/>
        <w:keepLines/>
        <w:tabs>
          <w:tab w:val="clear" w:pos="2268"/>
        </w:tabs>
        <w:ind w:left="1985"/>
      </w:pPr>
      <w:r>
        <w:tab/>
      </w:r>
      <w:r>
        <w:tab/>
      </w:r>
      <w:r w:rsidR="00C72559" w:rsidRPr="00916330">
        <w:t>A substance or mixture shall be classified in Category 1 hazardous to global warming according to the following table</w:t>
      </w:r>
      <w:r w:rsidR="0049295F" w:rsidRPr="0049295F">
        <w:rPr>
          <w:vertAlign w:val="superscript"/>
        </w:rPr>
        <w:t>1</w:t>
      </w:r>
      <w:r w:rsidR="00C72559" w:rsidRPr="00916330">
        <w:t>:</w:t>
      </w:r>
    </w:p>
    <w:p w14:paraId="7F444DAD" w14:textId="77777777" w:rsidR="00C72559" w:rsidRPr="00944133" w:rsidRDefault="00C72559" w:rsidP="0014560A">
      <w:pPr>
        <w:pStyle w:val="SingleTxtG"/>
        <w:keepNext/>
        <w:keepLines/>
        <w:ind w:left="1985"/>
        <w:jc w:val="center"/>
        <w:rPr>
          <w:b/>
          <w:bCs/>
        </w:rPr>
      </w:pPr>
      <w:r w:rsidRPr="00944133">
        <w:rPr>
          <w:b/>
          <w:bCs/>
        </w:rPr>
        <w:t>Table 4.2.2:  Criteria for substances and mixtures that are hazardous by contributing to global warming</w:t>
      </w:r>
    </w:p>
    <w:tbl>
      <w:tblPr>
        <w:tblW w:w="652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6"/>
      </w:tblGrid>
      <w:tr w:rsidR="00C72559" w:rsidRPr="00916330" w14:paraId="4F594A83" w14:textId="77777777" w:rsidTr="00944133">
        <w:tc>
          <w:tcPr>
            <w:tcW w:w="1134" w:type="dxa"/>
            <w:shd w:val="clear" w:color="auto" w:fill="auto"/>
          </w:tcPr>
          <w:p w14:paraId="7A64F1F6" w14:textId="77777777" w:rsidR="00C72559" w:rsidRPr="00916330" w:rsidRDefault="00C72559" w:rsidP="0014560A">
            <w:pPr>
              <w:keepNext/>
              <w:keepLines/>
              <w:tabs>
                <w:tab w:val="left" w:pos="1026"/>
              </w:tabs>
              <w:spacing w:before="40" w:after="40"/>
              <w:jc w:val="center"/>
              <w:rPr>
                <w:b/>
              </w:rPr>
            </w:pPr>
            <w:r w:rsidRPr="00916330">
              <w:rPr>
                <w:b/>
              </w:rPr>
              <w:t>Category</w:t>
            </w:r>
          </w:p>
        </w:tc>
        <w:tc>
          <w:tcPr>
            <w:tcW w:w="5386" w:type="dxa"/>
            <w:shd w:val="clear" w:color="auto" w:fill="auto"/>
          </w:tcPr>
          <w:p w14:paraId="0DA35DFC" w14:textId="77777777" w:rsidR="00C72559" w:rsidRPr="00916330" w:rsidRDefault="00C72559" w:rsidP="0014560A">
            <w:pPr>
              <w:keepNext/>
              <w:keepLines/>
              <w:tabs>
                <w:tab w:val="left" w:pos="1026"/>
              </w:tabs>
              <w:spacing w:before="40" w:after="40"/>
              <w:jc w:val="center"/>
              <w:rPr>
                <w:b/>
              </w:rPr>
            </w:pPr>
            <w:r w:rsidRPr="00916330">
              <w:rPr>
                <w:b/>
              </w:rPr>
              <w:t>Criteria</w:t>
            </w:r>
          </w:p>
        </w:tc>
      </w:tr>
      <w:tr w:rsidR="00C72559" w:rsidRPr="00916330" w14:paraId="779E081A" w14:textId="77777777" w:rsidTr="00944133">
        <w:trPr>
          <w:trHeight w:val="700"/>
        </w:trPr>
        <w:tc>
          <w:tcPr>
            <w:tcW w:w="1134" w:type="dxa"/>
            <w:shd w:val="clear" w:color="auto" w:fill="auto"/>
            <w:vAlign w:val="center"/>
          </w:tcPr>
          <w:p w14:paraId="2F8C65BF" w14:textId="77777777" w:rsidR="00C72559" w:rsidRPr="00916330" w:rsidRDefault="00C72559" w:rsidP="00EF5E1D">
            <w:pPr>
              <w:tabs>
                <w:tab w:val="left" w:pos="1026"/>
              </w:tabs>
              <w:spacing w:before="40" w:after="40"/>
              <w:jc w:val="center"/>
              <w:rPr>
                <w:b/>
              </w:rPr>
            </w:pPr>
            <w:r w:rsidRPr="00916330">
              <w:rPr>
                <w:b/>
              </w:rPr>
              <w:t>1</w:t>
            </w:r>
          </w:p>
        </w:tc>
        <w:tc>
          <w:tcPr>
            <w:tcW w:w="5386" w:type="dxa"/>
            <w:shd w:val="clear" w:color="auto" w:fill="auto"/>
          </w:tcPr>
          <w:p w14:paraId="38282847" w14:textId="77777777" w:rsidR="00C72559" w:rsidRPr="00916330" w:rsidRDefault="00C72559" w:rsidP="00EF5E1D">
            <w:pPr>
              <w:tabs>
                <w:tab w:val="left" w:pos="1026"/>
              </w:tabs>
              <w:spacing w:before="40" w:after="40"/>
            </w:pPr>
            <w:r w:rsidRPr="00916330">
              <w:t>Any of the controlled substances listed with a global warming potential in annexes to the Montreal Protocol; or</w:t>
            </w:r>
            <w:r w:rsidRPr="00916330">
              <w:br/>
              <w:t>Any mixture containing at least one</w:t>
            </w:r>
            <w:r w:rsidRPr="00916330">
              <w:rPr>
                <w:bCs/>
                <w:iCs/>
              </w:rPr>
              <w:t xml:space="preserve"> ingredient listed with a </w:t>
            </w:r>
            <w:r w:rsidRPr="00916330">
              <w:t>global warming potential</w:t>
            </w:r>
            <w:r w:rsidRPr="00916330">
              <w:rPr>
                <w:bCs/>
                <w:iCs/>
              </w:rPr>
              <w:t xml:space="preserve"> in the annexes to the Montreal Protocol, at a concentration ≥ 0.1 %</w:t>
            </w:r>
          </w:p>
        </w:tc>
      </w:tr>
    </w:tbl>
    <w:bookmarkEnd w:id="7"/>
    <w:p w14:paraId="04A9C542" w14:textId="5E18EBFB" w:rsidR="00C72559" w:rsidRDefault="00C72559" w:rsidP="001A7BA4">
      <w:pPr>
        <w:pStyle w:val="GHS1stline"/>
        <w:tabs>
          <w:tab w:val="clear" w:pos="1418"/>
          <w:tab w:val="clear" w:pos="2552"/>
          <w:tab w:val="clear" w:pos="3119"/>
          <w:tab w:val="clear" w:pos="3686"/>
        </w:tabs>
        <w:spacing w:after="120"/>
        <w:ind w:right="1134" w:firstLine="0"/>
        <w:jc w:val="right"/>
      </w:pPr>
      <w:r w:rsidRPr="00916330">
        <w:t>”</w:t>
      </w:r>
    </w:p>
    <w:p w14:paraId="43C2B062" w14:textId="3AAFB060" w:rsidR="00066374" w:rsidRPr="00916330" w:rsidRDefault="00066374" w:rsidP="00944133">
      <w:pPr>
        <w:pStyle w:val="SingleTxtG"/>
      </w:pPr>
      <w:r>
        <w:t>Footnote 1</w:t>
      </w:r>
      <w:r>
        <w:tab/>
        <w:t>Amend the text of</w:t>
      </w:r>
      <w:r w:rsidRPr="00916330">
        <w:t xml:space="preserve"> </w:t>
      </w:r>
      <w:r>
        <w:t xml:space="preserve">the </w:t>
      </w:r>
      <w:r w:rsidRPr="00916330">
        <w:t>footnote</w:t>
      </w:r>
      <w:r>
        <w:t xml:space="preserve"> (now </w:t>
      </w:r>
      <w:r w:rsidRPr="00916330">
        <w:t xml:space="preserve"> </w:t>
      </w:r>
      <w:r>
        <w:t>related to</w:t>
      </w:r>
      <w:r w:rsidRPr="00916330">
        <w:t xml:space="preserve"> 4.2.2.</w:t>
      </w:r>
      <w:r>
        <w:t xml:space="preserve">2 and 4.2.2.3) </w:t>
      </w:r>
      <w:r w:rsidRPr="00916330">
        <w:t>to read</w:t>
      </w:r>
      <w:r>
        <w:t xml:space="preserve"> as follows</w:t>
      </w:r>
      <w:r w:rsidRPr="00916330">
        <w:t>:</w:t>
      </w:r>
    </w:p>
    <w:p w14:paraId="7D21EC33" w14:textId="5D22E455" w:rsidR="00066374" w:rsidRPr="00916330" w:rsidRDefault="00066374" w:rsidP="00944133">
      <w:pPr>
        <w:pStyle w:val="SingleTxtG"/>
        <w:ind w:left="1985"/>
      </w:pPr>
      <w:r w:rsidRPr="00916330">
        <w:rPr>
          <w:iCs/>
          <w:lang w:val="en-IE"/>
        </w:rPr>
        <w:t>“</w:t>
      </w:r>
      <w:r w:rsidRPr="00916330">
        <w:rPr>
          <w:rStyle w:val="FootnoteReference"/>
          <w:iCs/>
          <w:lang w:val="en-IE"/>
        </w:rPr>
        <w:t>1</w:t>
      </w:r>
      <w:r w:rsidRPr="00916330">
        <w:tab/>
      </w:r>
      <w:r w:rsidRPr="00EF5E1D">
        <w:rPr>
          <w:i/>
          <w:iCs/>
        </w:rPr>
        <w:t>The criteria in this chapter are intended to be applied to substances and mixtures. Equipment, articles or appliances (such as refrigeration or air conditioning equipment) containing substances hazardous to the atmospheric system are beyond the scope of these criteria. Consistent with 1.1.2.5 (a)(iii) regarding pharmaceutical products, GHS classification and labelling criteria do not apply to medical inhalers at the point of intentional intake.”</w:t>
      </w:r>
      <w:r>
        <w:rPr>
          <w:i/>
          <w:iCs/>
        </w:rPr>
        <w:t>.</w:t>
      </w:r>
    </w:p>
    <w:p w14:paraId="5EBBE655" w14:textId="04168AB6" w:rsidR="000B4A23" w:rsidRDefault="00C72559" w:rsidP="000B4A23">
      <w:pPr>
        <w:pStyle w:val="GHS1stline"/>
        <w:tabs>
          <w:tab w:val="clear" w:pos="1418"/>
          <w:tab w:val="clear" w:pos="2552"/>
          <w:tab w:val="clear" w:pos="3119"/>
          <w:tab w:val="clear" w:pos="3686"/>
          <w:tab w:val="left" w:pos="5954"/>
        </w:tabs>
        <w:spacing w:after="120"/>
        <w:ind w:left="1134" w:firstLine="0"/>
      </w:pPr>
      <w:r w:rsidRPr="00916330">
        <w:t>4.2.3</w:t>
      </w:r>
      <w:r w:rsidR="00BD198F">
        <w:tab/>
      </w:r>
      <w:r w:rsidR="000B4A23">
        <w:t>Amend to read as follows:</w:t>
      </w:r>
    </w:p>
    <w:p w14:paraId="71E785C1" w14:textId="6C41FED1" w:rsidR="000B4A23" w:rsidRDefault="000B4A23" w:rsidP="00944133">
      <w:pPr>
        <w:pStyle w:val="GHSHeading3"/>
        <w:tabs>
          <w:tab w:val="clear" w:pos="1418"/>
          <w:tab w:val="left" w:pos="1843"/>
        </w:tabs>
        <w:spacing w:before="240" w:after="240"/>
        <w:ind w:left="1985"/>
        <w:rPr>
          <w:sz w:val="20"/>
          <w:szCs w:val="20"/>
        </w:rPr>
      </w:pPr>
      <w:r>
        <w:t>“</w:t>
      </w:r>
      <w:r w:rsidRPr="00402D4B">
        <w:rPr>
          <w:sz w:val="20"/>
          <w:szCs w:val="20"/>
        </w:rPr>
        <w:t>4.2.3</w:t>
      </w:r>
      <w:r w:rsidRPr="00402D4B">
        <w:rPr>
          <w:sz w:val="20"/>
          <w:szCs w:val="20"/>
        </w:rPr>
        <w:tab/>
        <w:t>Hazard communication</w:t>
      </w:r>
    </w:p>
    <w:p w14:paraId="6CD29D54" w14:textId="115D26F5" w:rsidR="000B4A23" w:rsidRDefault="000B4A23" w:rsidP="00944133">
      <w:pPr>
        <w:pStyle w:val="SingleTxtG"/>
        <w:ind w:left="1985"/>
      </w:pPr>
      <w:r>
        <w:t>4.2.3.1</w:t>
      </w:r>
      <w:r>
        <w:tab/>
      </w:r>
      <w:r w:rsidRPr="00402D4B">
        <w:t xml:space="preserve">General and specific considerations concerning labelling requirements are provided in </w:t>
      </w:r>
      <w:r w:rsidRPr="00402D4B">
        <w:rPr>
          <w:i/>
          <w:iCs/>
        </w:rPr>
        <w:t xml:space="preserve">Hazard Communication: Labelling </w:t>
      </w:r>
      <w:r w:rsidRPr="00402D4B">
        <w:t>(</w:t>
      </w:r>
      <w:r>
        <w:t>c</w:t>
      </w:r>
      <w:r w:rsidRPr="00402D4B">
        <w:t>hapter 1.4). Annex 1 contains summary tables about classification and labelling. Annex 3 contains examples of precautionary statements and pictograms which can be used where allowed by the competent authority.</w:t>
      </w:r>
      <w:r>
        <w:t xml:space="preserve"> </w:t>
      </w:r>
      <w:r w:rsidRPr="0014185C">
        <w:t>Table 4.2.</w:t>
      </w:r>
      <w:r>
        <w:t>3</w:t>
      </w:r>
      <w:r w:rsidRPr="0014185C">
        <w:t xml:space="preserve"> presents specific label elements for substances and mixtures classified into this hazard class based on the criteria in this chapter.</w:t>
      </w:r>
    </w:p>
    <w:p w14:paraId="2A60999C" w14:textId="07036A45" w:rsidR="00C72559" w:rsidRPr="00916330" w:rsidRDefault="00C72559" w:rsidP="00944133">
      <w:pPr>
        <w:pStyle w:val="SingleTxtG"/>
        <w:ind w:left="1843"/>
        <w:jc w:val="center"/>
        <w:rPr>
          <w:b/>
          <w:bCs/>
        </w:rPr>
      </w:pPr>
      <w:r w:rsidRPr="00916330">
        <w:rPr>
          <w:b/>
          <w:bCs/>
        </w:rPr>
        <w:t>Table 4.2.3:  Label elements for substances and mixtures hazardous to the atmospheric system</w:t>
      </w:r>
    </w:p>
    <w:tbl>
      <w:tblPr>
        <w:tblW w:w="666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2551"/>
        <w:gridCol w:w="2835"/>
      </w:tblGrid>
      <w:tr w:rsidR="00C72559" w:rsidRPr="00916330" w14:paraId="09DE18FA" w14:textId="77777777" w:rsidTr="00944133">
        <w:tc>
          <w:tcPr>
            <w:tcW w:w="1276" w:type="dxa"/>
          </w:tcPr>
          <w:p w14:paraId="56F1B4D6" w14:textId="77777777" w:rsidR="00C72559" w:rsidRPr="00916330" w:rsidRDefault="00C72559" w:rsidP="00EF5E1D">
            <w:pPr>
              <w:keepNext/>
              <w:keepLines/>
              <w:spacing w:before="40" w:after="40"/>
            </w:pPr>
          </w:p>
        </w:tc>
        <w:tc>
          <w:tcPr>
            <w:tcW w:w="2551" w:type="dxa"/>
          </w:tcPr>
          <w:p w14:paraId="11B3544E" w14:textId="77777777" w:rsidR="00C72559" w:rsidRPr="00916330" w:rsidRDefault="00C72559" w:rsidP="00EF5E1D">
            <w:pPr>
              <w:keepNext/>
              <w:keepLines/>
              <w:spacing w:before="40" w:after="40"/>
              <w:jc w:val="center"/>
              <w:rPr>
                <w:b/>
                <w:bCs/>
              </w:rPr>
            </w:pPr>
            <w:r w:rsidRPr="00916330">
              <w:rPr>
                <w:b/>
                <w:bCs/>
              </w:rPr>
              <w:t>Category 1</w:t>
            </w:r>
          </w:p>
        </w:tc>
        <w:tc>
          <w:tcPr>
            <w:tcW w:w="2835" w:type="dxa"/>
          </w:tcPr>
          <w:p w14:paraId="27B5F0A8" w14:textId="77777777" w:rsidR="00C72559" w:rsidRPr="00916330" w:rsidRDefault="00C72559" w:rsidP="00EF5E1D">
            <w:pPr>
              <w:keepNext/>
              <w:keepLines/>
              <w:spacing w:before="40" w:after="40"/>
              <w:jc w:val="center"/>
              <w:rPr>
                <w:b/>
                <w:bCs/>
              </w:rPr>
            </w:pPr>
            <w:r w:rsidRPr="00916330">
              <w:rPr>
                <w:b/>
                <w:bCs/>
              </w:rPr>
              <w:t>Category 1</w:t>
            </w:r>
          </w:p>
        </w:tc>
      </w:tr>
      <w:tr w:rsidR="00C72559" w:rsidRPr="00916330" w14:paraId="75832786" w14:textId="77777777" w:rsidTr="00944133">
        <w:tc>
          <w:tcPr>
            <w:tcW w:w="1276" w:type="dxa"/>
          </w:tcPr>
          <w:p w14:paraId="2870EE49" w14:textId="77777777" w:rsidR="00C72559" w:rsidRPr="00916330" w:rsidRDefault="00C72559" w:rsidP="00EF5E1D">
            <w:pPr>
              <w:keepNext/>
              <w:keepLines/>
              <w:spacing w:before="40" w:after="40"/>
              <w:jc w:val="center"/>
            </w:pPr>
          </w:p>
        </w:tc>
        <w:tc>
          <w:tcPr>
            <w:tcW w:w="2551" w:type="dxa"/>
          </w:tcPr>
          <w:p w14:paraId="0F723A98" w14:textId="77777777" w:rsidR="00C72559" w:rsidRPr="00916330" w:rsidRDefault="00C72559" w:rsidP="00EF5E1D">
            <w:pPr>
              <w:keepNext/>
              <w:keepLines/>
              <w:spacing w:before="40" w:after="40"/>
              <w:jc w:val="center"/>
              <w:rPr>
                <w:b/>
                <w:bCs/>
              </w:rPr>
            </w:pPr>
            <w:r w:rsidRPr="00916330">
              <w:rPr>
                <w:b/>
                <w:bCs/>
              </w:rPr>
              <w:t>Hazardous to the ozone layer</w:t>
            </w:r>
          </w:p>
        </w:tc>
        <w:tc>
          <w:tcPr>
            <w:tcW w:w="2835" w:type="dxa"/>
          </w:tcPr>
          <w:p w14:paraId="2C3E850E" w14:textId="77777777" w:rsidR="00C72559" w:rsidRPr="00916330" w:rsidRDefault="00C72559" w:rsidP="00EF5E1D">
            <w:pPr>
              <w:keepNext/>
              <w:keepLines/>
              <w:spacing w:before="40" w:after="40"/>
              <w:jc w:val="center"/>
              <w:rPr>
                <w:b/>
                <w:bCs/>
              </w:rPr>
            </w:pPr>
            <w:r w:rsidRPr="00916330">
              <w:rPr>
                <w:b/>
                <w:bCs/>
              </w:rPr>
              <w:t>Hazardous by contributing to global warming</w:t>
            </w:r>
          </w:p>
        </w:tc>
      </w:tr>
      <w:tr w:rsidR="00C72559" w:rsidRPr="00916330" w14:paraId="2B1AAF3B" w14:textId="77777777" w:rsidTr="00944133">
        <w:tc>
          <w:tcPr>
            <w:tcW w:w="1276" w:type="dxa"/>
            <w:vAlign w:val="center"/>
          </w:tcPr>
          <w:p w14:paraId="43903DC9" w14:textId="77777777" w:rsidR="00C72559" w:rsidRPr="00916330" w:rsidRDefault="00C72559" w:rsidP="00EF5E1D">
            <w:pPr>
              <w:keepNext/>
              <w:keepLines/>
              <w:spacing w:before="40" w:after="40"/>
              <w:rPr>
                <w:b/>
                <w:bCs/>
              </w:rPr>
            </w:pPr>
            <w:r w:rsidRPr="00916330">
              <w:rPr>
                <w:b/>
                <w:bCs/>
              </w:rPr>
              <w:t>Symbol</w:t>
            </w:r>
          </w:p>
        </w:tc>
        <w:tc>
          <w:tcPr>
            <w:tcW w:w="2551" w:type="dxa"/>
          </w:tcPr>
          <w:p w14:paraId="0F9F1679" w14:textId="77777777" w:rsidR="00C72559" w:rsidRPr="00916330" w:rsidRDefault="00C72559" w:rsidP="00EF5E1D">
            <w:pPr>
              <w:keepNext/>
              <w:keepLines/>
              <w:spacing w:before="40" w:after="40"/>
              <w:jc w:val="center"/>
            </w:pPr>
            <w:r w:rsidRPr="00916330">
              <w:t>Exclamation mark</w:t>
            </w:r>
          </w:p>
        </w:tc>
        <w:tc>
          <w:tcPr>
            <w:tcW w:w="2835" w:type="dxa"/>
          </w:tcPr>
          <w:p w14:paraId="652DDA40" w14:textId="77777777" w:rsidR="00C72559" w:rsidRPr="00916330" w:rsidRDefault="00C72559" w:rsidP="00EF5E1D">
            <w:pPr>
              <w:keepNext/>
              <w:keepLines/>
              <w:spacing w:before="40" w:after="40"/>
              <w:jc w:val="center"/>
            </w:pPr>
            <w:r w:rsidRPr="00916330">
              <w:t>Exclamation mark</w:t>
            </w:r>
          </w:p>
        </w:tc>
      </w:tr>
      <w:tr w:rsidR="00C72559" w:rsidRPr="00916330" w14:paraId="50D9FF40" w14:textId="77777777" w:rsidTr="00944133">
        <w:tc>
          <w:tcPr>
            <w:tcW w:w="1276" w:type="dxa"/>
            <w:vAlign w:val="center"/>
          </w:tcPr>
          <w:p w14:paraId="39C12614" w14:textId="77777777" w:rsidR="00C72559" w:rsidRPr="00916330" w:rsidRDefault="00C72559" w:rsidP="00EF5E1D">
            <w:pPr>
              <w:keepNext/>
              <w:keepLines/>
              <w:spacing w:before="40" w:after="40"/>
              <w:rPr>
                <w:b/>
                <w:bCs/>
              </w:rPr>
            </w:pPr>
            <w:r w:rsidRPr="00916330">
              <w:rPr>
                <w:b/>
                <w:bCs/>
              </w:rPr>
              <w:t>Signal word</w:t>
            </w:r>
          </w:p>
        </w:tc>
        <w:tc>
          <w:tcPr>
            <w:tcW w:w="2551" w:type="dxa"/>
          </w:tcPr>
          <w:p w14:paraId="41DE9738" w14:textId="77777777" w:rsidR="00C72559" w:rsidRPr="00916330" w:rsidRDefault="00C72559" w:rsidP="00EF5E1D">
            <w:pPr>
              <w:keepNext/>
              <w:keepLines/>
              <w:spacing w:before="40" w:after="40"/>
              <w:jc w:val="center"/>
            </w:pPr>
            <w:r w:rsidRPr="00916330">
              <w:t>Warning</w:t>
            </w:r>
          </w:p>
        </w:tc>
        <w:tc>
          <w:tcPr>
            <w:tcW w:w="2835" w:type="dxa"/>
          </w:tcPr>
          <w:p w14:paraId="135C23E7" w14:textId="77777777" w:rsidR="00C72559" w:rsidRPr="00916330" w:rsidRDefault="00C72559" w:rsidP="00EF5E1D">
            <w:pPr>
              <w:keepNext/>
              <w:keepLines/>
              <w:spacing w:before="40" w:after="40"/>
              <w:jc w:val="center"/>
            </w:pPr>
            <w:r w:rsidRPr="00916330">
              <w:t>Warning</w:t>
            </w:r>
          </w:p>
        </w:tc>
      </w:tr>
      <w:tr w:rsidR="00C72559" w:rsidRPr="00916330" w14:paraId="6A2F2949" w14:textId="77777777" w:rsidTr="00944133">
        <w:tc>
          <w:tcPr>
            <w:tcW w:w="1276" w:type="dxa"/>
            <w:vAlign w:val="center"/>
          </w:tcPr>
          <w:p w14:paraId="56222C24" w14:textId="77777777" w:rsidR="00C72559" w:rsidRPr="00916330" w:rsidRDefault="00C72559" w:rsidP="00EF5E1D">
            <w:pPr>
              <w:spacing w:before="40" w:after="40"/>
              <w:rPr>
                <w:b/>
                <w:bCs/>
              </w:rPr>
            </w:pPr>
            <w:r w:rsidRPr="00916330">
              <w:rPr>
                <w:b/>
                <w:bCs/>
              </w:rPr>
              <w:t>Hazard statement</w:t>
            </w:r>
          </w:p>
        </w:tc>
        <w:tc>
          <w:tcPr>
            <w:tcW w:w="2551" w:type="dxa"/>
          </w:tcPr>
          <w:p w14:paraId="78043E83" w14:textId="77777777" w:rsidR="00C72559" w:rsidRPr="00916330" w:rsidRDefault="00C72559" w:rsidP="00EF5E1D">
            <w:pPr>
              <w:spacing w:before="40" w:after="40"/>
              <w:jc w:val="center"/>
            </w:pPr>
            <w:r w:rsidRPr="00916330">
              <w:t>Harms public health and the environment by destroying ozone in the upper atmosphere</w:t>
            </w:r>
          </w:p>
        </w:tc>
        <w:tc>
          <w:tcPr>
            <w:tcW w:w="2835" w:type="dxa"/>
          </w:tcPr>
          <w:p w14:paraId="55DF14D6" w14:textId="77777777" w:rsidR="00C72559" w:rsidRPr="00916330" w:rsidRDefault="00C72559" w:rsidP="00EF5E1D">
            <w:pPr>
              <w:spacing w:before="40" w:after="40"/>
              <w:jc w:val="center"/>
            </w:pPr>
            <w:r w:rsidRPr="00916330">
              <w:rPr>
                <w:lang w:val="en-US"/>
              </w:rPr>
              <w:t>Harms public health and the environment by contributing to global warming</w:t>
            </w:r>
          </w:p>
        </w:tc>
      </w:tr>
    </w:tbl>
    <w:p w14:paraId="650A407A" w14:textId="7E022175" w:rsidR="00C72559" w:rsidRPr="00916330" w:rsidRDefault="00C72559" w:rsidP="00944133">
      <w:pPr>
        <w:pStyle w:val="SingleTxtG"/>
        <w:tabs>
          <w:tab w:val="clear" w:pos="1701"/>
        </w:tabs>
        <w:spacing w:before="120"/>
        <w:ind w:left="1985"/>
      </w:pPr>
      <w:bookmarkStart w:id="8" w:name="_Hlk132623264"/>
      <w:r w:rsidRPr="00916330">
        <w:t>4.2.3.2</w:t>
      </w:r>
      <w:r w:rsidRPr="00916330">
        <w:tab/>
      </w:r>
      <w:r w:rsidRPr="00916330">
        <w:tab/>
        <w:t xml:space="preserve">Some substances and mixtures meet the criteria for classification as hazardous to the ozone layer and hazardous by contributing to global warming.  In these cases, the principles outlined in A3.1.2.5 for combining hazard statements can be used to combine the hazard statements for both hazard classes into a single hazard statement (i.e., Harms public health and the environment by contributing to global warming and destroying ozone in the upper atmosphere.).” </w:t>
      </w:r>
    </w:p>
    <w:bookmarkEnd w:id="8"/>
    <w:p w14:paraId="55586F59" w14:textId="43C7E714" w:rsidR="00C72559" w:rsidRDefault="00C72559" w:rsidP="006C6CC2">
      <w:pPr>
        <w:pStyle w:val="GHS1stline"/>
        <w:keepNext/>
        <w:keepLines/>
        <w:tabs>
          <w:tab w:val="clear" w:pos="1418"/>
          <w:tab w:val="clear" w:pos="2552"/>
          <w:tab w:val="clear" w:pos="3119"/>
          <w:tab w:val="clear" w:pos="3686"/>
          <w:tab w:val="left" w:pos="5954"/>
        </w:tabs>
        <w:spacing w:after="120"/>
        <w:ind w:left="1134" w:firstLine="0"/>
      </w:pPr>
      <w:r w:rsidRPr="00916330">
        <w:lastRenderedPageBreak/>
        <w:t xml:space="preserve">4.2.4 </w:t>
      </w:r>
      <w:r w:rsidR="000B4A23">
        <w:tab/>
        <w:t xml:space="preserve">Amend to read as follows: </w:t>
      </w:r>
    </w:p>
    <w:p w14:paraId="3CB479CE" w14:textId="0355FC52" w:rsidR="00C72559" w:rsidRDefault="002747F5" w:rsidP="006C6CC2">
      <w:pPr>
        <w:keepNext/>
        <w:keepLines/>
        <w:ind w:left="1985" w:right="567"/>
      </w:pPr>
      <w:r>
        <w:rPr>
          <w:b/>
          <w:bCs/>
        </w:rPr>
        <w:t>“</w:t>
      </w:r>
      <w:r w:rsidR="00C72559" w:rsidRPr="00916330">
        <w:rPr>
          <w:b/>
          <w:bCs/>
        </w:rPr>
        <w:t>4.2.4</w:t>
      </w:r>
      <w:r w:rsidR="00C72559" w:rsidRPr="00916330">
        <w:tab/>
      </w:r>
      <w:r w:rsidR="00C72559" w:rsidRPr="00916330">
        <w:rPr>
          <w:b/>
          <w:bCs/>
        </w:rPr>
        <w:t xml:space="preserve">Decision logics for substances and mixtures hazardous to the </w:t>
      </w:r>
      <w:bookmarkStart w:id="9" w:name="_Hlk132623326"/>
      <w:r w:rsidR="00C72559" w:rsidRPr="00916330">
        <w:rPr>
          <w:b/>
          <w:bCs/>
        </w:rPr>
        <w:t>atmospheric system</w:t>
      </w:r>
      <w:bookmarkEnd w:id="9"/>
    </w:p>
    <w:p w14:paraId="25D95217" w14:textId="24C10737" w:rsidR="00C72559" w:rsidRPr="00317594" w:rsidRDefault="00C72559" w:rsidP="006C6CC2">
      <w:pPr>
        <w:pStyle w:val="SingleTxtG"/>
        <w:keepNext/>
        <w:keepLines/>
        <w:spacing w:before="240"/>
        <w:ind w:left="1985"/>
      </w:pPr>
      <w:bookmarkStart w:id="10" w:name="_Hlk132623352"/>
      <w:r w:rsidRPr="00317594">
        <w:t xml:space="preserve">The decision logics for hazardous to the ozone layer (see 4.2.2.2) and hazardous by contributing to global warming (see 4.2.2.3) </w:t>
      </w:r>
      <w:bookmarkEnd w:id="10"/>
      <w:r w:rsidRPr="00317594">
        <w:t>which follow are not part of the harmonized classification system but is provided as additional guidance. It is strongly recommended that the person responsible for classification study the criteria before and during use of these decision logics.</w:t>
      </w:r>
    </w:p>
    <w:p w14:paraId="2F70F07F" w14:textId="06DB1D48" w:rsidR="00C72559" w:rsidRPr="00944133" w:rsidRDefault="00C72559" w:rsidP="006C6CC2">
      <w:pPr>
        <w:pStyle w:val="SingleTxtG"/>
        <w:keepNext/>
        <w:keepLines/>
        <w:ind w:left="1985"/>
        <w:rPr>
          <w:b/>
          <w:bCs/>
          <w:i/>
          <w:iCs/>
        </w:rPr>
      </w:pPr>
      <w:r w:rsidRPr="00944133">
        <w:rPr>
          <w:b/>
          <w:bCs/>
          <w:i/>
          <w:iCs/>
        </w:rPr>
        <w:t>Decision logic 4.2.1</w:t>
      </w:r>
      <w:r w:rsidR="0072065F">
        <w:rPr>
          <w:b/>
          <w:bCs/>
          <w:i/>
          <w:iCs/>
        </w:rPr>
        <w:t xml:space="preserve"> for</w:t>
      </w:r>
      <w:bookmarkStart w:id="11" w:name="_Hlk132623377"/>
      <w:r w:rsidRPr="0076214D">
        <w:rPr>
          <w:b/>
          <w:bCs/>
          <w:i/>
          <w:iCs/>
        </w:rPr>
        <w:t xml:space="preserve"> </w:t>
      </w:r>
      <w:r w:rsidR="001A7BA4" w:rsidRPr="0076214D">
        <w:rPr>
          <w:b/>
          <w:bCs/>
          <w:i/>
          <w:iCs/>
        </w:rPr>
        <w:t>h</w:t>
      </w:r>
      <w:r w:rsidRPr="0076214D">
        <w:rPr>
          <w:b/>
          <w:bCs/>
          <w:i/>
          <w:iCs/>
        </w:rPr>
        <w:t>az</w:t>
      </w:r>
      <w:r w:rsidRPr="00944133">
        <w:rPr>
          <w:b/>
          <w:bCs/>
          <w:i/>
          <w:iCs/>
        </w:rPr>
        <w:t>ardous to the ozone layer</w:t>
      </w:r>
      <w:bookmarkEnd w:id="11"/>
    </w:p>
    <w:p w14:paraId="1AC70970" w14:textId="77777777" w:rsidR="00C72559" w:rsidRPr="00916330" w:rsidRDefault="00C72559" w:rsidP="00944133">
      <w:pPr>
        <w:keepNext/>
        <w:keepLines/>
        <w:jc w:val="center"/>
        <w:rPr>
          <w:b/>
          <w:bCs/>
          <w:i/>
          <w:iCs/>
        </w:rPr>
      </w:pPr>
    </w:p>
    <w:p w14:paraId="60C1C43C" w14:textId="0F243BFB" w:rsidR="00C72559" w:rsidRDefault="00FC353D" w:rsidP="000B4A23">
      <w:pPr>
        <w:keepNext/>
        <w:keepLines/>
        <w:jc w:val="center"/>
      </w:pPr>
      <w:r>
        <w:object w:dxaOrig="7635" w:dyaOrig="2896" w14:anchorId="1F58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05pt;height:144.85pt" o:ole="">
            <v:imagedata r:id="rId12" o:title=""/>
          </v:shape>
          <o:OLEObject Type="Embed" ProgID="Visio.Drawing.15" ShapeID="_x0000_i1025" DrawAspect="Content" ObjectID="_1743939678" r:id="rId13"/>
        </w:object>
      </w:r>
    </w:p>
    <w:p w14:paraId="049214A2" w14:textId="7B2154FC" w:rsidR="00C72559" w:rsidRPr="00916330" w:rsidRDefault="00C72559" w:rsidP="00944133">
      <w:pPr>
        <w:keepNext/>
        <w:keepLines/>
        <w:jc w:val="center"/>
        <w:rPr>
          <w:noProof/>
        </w:rPr>
      </w:pPr>
    </w:p>
    <w:p w14:paraId="4DB5A9BC" w14:textId="7A05A461" w:rsidR="00C72559" w:rsidRPr="00944133" w:rsidRDefault="00C72559" w:rsidP="00944133">
      <w:pPr>
        <w:pStyle w:val="SingleTxtG"/>
        <w:ind w:left="1985"/>
        <w:rPr>
          <w:b/>
          <w:bCs/>
          <w:i/>
          <w:iCs/>
        </w:rPr>
      </w:pPr>
      <w:bookmarkStart w:id="12" w:name="_Hlk132623472"/>
      <w:r w:rsidRPr="00944133">
        <w:rPr>
          <w:b/>
          <w:bCs/>
          <w:i/>
          <w:iCs/>
        </w:rPr>
        <w:t>Decision logic 4.2.2</w:t>
      </w:r>
      <w:r w:rsidR="0072065F">
        <w:rPr>
          <w:b/>
          <w:bCs/>
          <w:i/>
          <w:iCs/>
        </w:rPr>
        <w:t xml:space="preserve"> for</w:t>
      </w:r>
      <w:r w:rsidRPr="00944133">
        <w:rPr>
          <w:b/>
          <w:bCs/>
          <w:i/>
          <w:iCs/>
        </w:rPr>
        <w:t xml:space="preserve"> </w:t>
      </w:r>
      <w:r w:rsidR="0072065F">
        <w:rPr>
          <w:b/>
          <w:bCs/>
          <w:i/>
          <w:iCs/>
        </w:rPr>
        <w:t>h</w:t>
      </w:r>
      <w:r w:rsidRPr="00944133">
        <w:rPr>
          <w:b/>
          <w:bCs/>
          <w:i/>
          <w:iCs/>
        </w:rPr>
        <w:t>azardous by contributing to global warming</w:t>
      </w:r>
    </w:p>
    <w:p w14:paraId="4D3D6631" w14:textId="77777777" w:rsidR="00C72559" w:rsidRPr="00916330" w:rsidRDefault="00C72559" w:rsidP="00C72559">
      <w:pPr>
        <w:tabs>
          <w:tab w:val="left" w:pos="1418"/>
        </w:tabs>
        <w:jc w:val="center"/>
      </w:pPr>
    </w:p>
    <w:p w14:paraId="031C3593" w14:textId="657D5A2F" w:rsidR="00C72559" w:rsidRPr="00916330" w:rsidRDefault="00FC353D" w:rsidP="00FC353D">
      <w:pPr>
        <w:tabs>
          <w:tab w:val="left" w:pos="1418"/>
        </w:tabs>
        <w:jc w:val="center"/>
        <w:rPr>
          <w:rFonts w:eastAsiaTheme="minorEastAsia"/>
          <w:sz w:val="24"/>
          <w:szCs w:val="24"/>
          <w:lang w:eastAsia="en-GB"/>
        </w:rPr>
      </w:pPr>
      <w:r>
        <w:object w:dxaOrig="7635" w:dyaOrig="2896" w14:anchorId="4E83C160">
          <v:shape id="_x0000_i1026" type="#_x0000_t75" style="width:382.05pt;height:144.85pt" o:ole="">
            <v:imagedata r:id="rId14" o:title=""/>
          </v:shape>
          <o:OLEObject Type="Embed" ProgID="Visio.Drawing.15" ShapeID="_x0000_i1026" DrawAspect="Content" ObjectID="_1743939679" r:id="rId15"/>
        </w:object>
      </w:r>
      <w:r w:rsidR="00C72559" w:rsidRPr="00916330">
        <w:rPr>
          <w:rFonts w:eastAsia="Times New Roman"/>
          <w:noProof/>
          <w:lang w:eastAsia="en-US"/>
        </w:rPr>
        <w:t>”</w:t>
      </w:r>
      <w:bookmarkEnd w:id="12"/>
    </w:p>
    <w:p w14:paraId="6DFC54EB" w14:textId="6DEEB6B2" w:rsidR="00C72559" w:rsidRPr="00944133" w:rsidRDefault="000B4A23" w:rsidP="00944133">
      <w:pPr>
        <w:pStyle w:val="H1G"/>
        <w:rPr>
          <w:b w:val="0"/>
        </w:rPr>
      </w:pPr>
      <w:r>
        <w:tab/>
      </w:r>
      <w:r>
        <w:tab/>
      </w:r>
      <w:r w:rsidR="00C72559" w:rsidRPr="00944133">
        <w:t xml:space="preserve">Proposed conforming changes to </w:t>
      </w:r>
      <w:r>
        <w:t>c</w:t>
      </w:r>
      <w:r w:rsidR="00C72559" w:rsidRPr="00944133">
        <w:t>hapter 1.2</w:t>
      </w:r>
    </w:p>
    <w:p w14:paraId="7326DCD7" w14:textId="7256BE15" w:rsidR="00C72559" w:rsidRPr="00916330" w:rsidRDefault="000B4A23" w:rsidP="00944133">
      <w:pPr>
        <w:pStyle w:val="SingleTxtG"/>
      </w:pPr>
      <w:r>
        <w:t>Insert the following new definition in the alphabetical order:</w:t>
      </w:r>
    </w:p>
    <w:p w14:paraId="34F30BA8" w14:textId="54225703" w:rsidR="00C72559" w:rsidRDefault="00C72559" w:rsidP="00944133">
      <w:pPr>
        <w:pStyle w:val="SingleTxtG"/>
      </w:pPr>
      <w:r w:rsidRPr="00246C06">
        <w:rPr>
          <w:i/>
          <w:iCs/>
        </w:rPr>
        <w:t xml:space="preserve">“Global </w:t>
      </w:r>
      <w:r w:rsidR="005631AA">
        <w:rPr>
          <w:i/>
          <w:iCs/>
        </w:rPr>
        <w:t>W</w:t>
      </w:r>
      <w:r w:rsidRPr="00246C06">
        <w:rPr>
          <w:i/>
          <w:iCs/>
        </w:rPr>
        <w:t xml:space="preserve">arming </w:t>
      </w:r>
      <w:r w:rsidR="005631AA">
        <w:rPr>
          <w:i/>
          <w:iCs/>
        </w:rPr>
        <w:t>P</w:t>
      </w:r>
      <w:r w:rsidRPr="00246C06">
        <w:rPr>
          <w:i/>
          <w:iCs/>
        </w:rPr>
        <w:t>otential</w:t>
      </w:r>
      <w:r w:rsidRPr="00916330">
        <w:t xml:space="preserve"> is a metric that compares the ability of a substance or mixture to trap heat in the atmosphere as compared to a benchmark gas (generally carbon dioxide).  The formal definition of global warming potential is the cumulative radiative forcing, both direct and indirect effects, over a specified time horizon resulting from the emission of a unit mass of gas relative to that of carbon dioxide (as the reference gas).”</w:t>
      </w:r>
    </w:p>
    <w:p w14:paraId="6B130711" w14:textId="652811BF" w:rsidR="00C72559" w:rsidRDefault="00C72559" w:rsidP="00944133">
      <w:pPr>
        <w:pStyle w:val="SingleTxtG"/>
        <w:rPr>
          <w:bCs/>
        </w:rPr>
      </w:pPr>
      <w:r w:rsidRPr="00555136">
        <w:rPr>
          <w:bCs/>
        </w:rPr>
        <w:t>For the existing</w:t>
      </w:r>
      <w:r>
        <w:rPr>
          <w:bCs/>
        </w:rPr>
        <w:t xml:space="preserve"> </w:t>
      </w:r>
      <w:r w:rsidR="00066374">
        <w:rPr>
          <w:bCs/>
        </w:rPr>
        <w:t xml:space="preserve">definition of </w:t>
      </w:r>
      <w:r w:rsidRPr="00334D3E">
        <w:rPr>
          <w:bCs/>
          <w:i/>
          <w:iCs/>
        </w:rPr>
        <w:t>“Ozone Depleting Potential”</w:t>
      </w:r>
      <w:r>
        <w:rPr>
          <w:bCs/>
        </w:rPr>
        <w:t>, delete</w:t>
      </w:r>
      <w:r w:rsidRPr="00334D3E">
        <w:rPr>
          <w:bCs/>
        </w:rPr>
        <w:t xml:space="preserve"> “(ODP)” in the first sentence and</w:t>
      </w:r>
      <w:r>
        <w:rPr>
          <w:bCs/>
        </w:rPr>
        <w:t xml:space="preserve"> replace</w:t>
      </w:r>
      <w:r w:rsidRPr="00334D3E">
        <w:rPr>
          <w:bCs/>
        </w:rPr>
        <w:t xml:space="preserve"> “ODP” </w:t>
      </w:r>
      <w:r>
        <w:rPr>
          <w:bCs/>
        </w:rPr>
        <w:t xml:space="preserve">with “ozone depleting potential” </w:t>
      </w:r>
      <w:r w:rsidRPr="00334D3E">
        <w:rPr>
          <w:bCs/>
        </w:rPr>
        <w:t>in the second sentence</w:t>
      </w:r>
      <w:r>
        <w:rPr>
          <w:bCs/>
        </w:rPr>
        <w:t>.</w:t>
      </w:r>
    </w:p>
    <w:p w14:paraId="13E16A5E" w14:textId="52D97CD3" w:rsidR="00C72559" w:rsidRPr="00944133" w:rsidRDefault="000B4A23" w:rsidP="006C6CC2">
      <w:pPr>
        <w:pStyle w:val="H1G"/>
        <w:rPr>
          <w:b w:val="0"/>
        </w:rPr>
      </w:pPr>
      <w:r>
        <w:lastRenderedPageBreak/>
        <w:tab/>
      </w:r>
      <w:r>
        <w:tab/>
      </w:r>
      <w:r w:rsidR="00C72559" w:rsidRPr="00944133">
        <w:t xml:space="preserve">Proposed conforming changes to </w:t>
      </w:r>
      <w:r>
        <w:t>a</w:t>
      </w:r>
      <w:r w:rsidR="00C72559" w:rsidRPr="00944133">
        <w:t>nnex 1</w:t>
      </w:r>
    </w:p>
    <w:p w14:paraId="0C331C72" w14:textId="77777777" w:rsidR="00C72559" w:rsidRPr="00944133" w:rsidRDefault="00C72559" w:rsidP="006C6CC2">
      <w:pPr>
        <w:pStyle w:val="SingleTxtG"/>
        <w:keepNext/>
        <w:keepLines/>
        <w:rPr>
          <w:b/>
          <w:bCs/>
        </w:rPr>
      </w:pPr>
      <w:r w:rsidRPr="00944133">
        <w:rPr>
          <w:b/>
          <w:bCs/>
        </w:rPr>
        <w:t xml:space="preserve">Table A1.30 </w:t>
      </w:r>
    </w:p>
    <w:p w14:paraId="1FD6F75D" w14:textId="63930A00" w:rsidR="00C72559" w:rsidRPr="00A61CBA" w:rsidRDefault="000B4A23" w:rsidP="006C6CC2">
      <w:pPr>
        <w:keepNext/>
        <w:keepLines/>
        <w:spacing w:after="120" w:line="240" w:lineRule="auto"/>
        <w:ind w:left="1134"/>
      </w:pPr>
      <w:r>
        <w:t>Amend to read as follows:</w:t>
      </w:r>
    </w:p>
    <w:p w14:paraId="14DC7C3C" w14:textId="1AF394CB" w:rsidR="00C72559" w:rsidRPr="00FC353D" w:rsidRDefault="00C72559" w:rsidP="00944133">
      <w:pPr>
        <w:pStyle w:val="SingleTxtG"/>
        <w:rPr>
          <w:noProof/>
        </w:rPr>
      </w:pPr>
      <w:r w:rsidRPr="00FC353D">
        <w:rPr>
          <w:b/>
          <w:bCs/>
        </w:rPr>
        <w:t xml:space="preserve">“A1.30 </w:t>
      </w:r>
      <w:r w:rsidRPr="00FC353D">
        <w:rPr>
          <w:b/>
          <w:bCs/>
        </w:rPr>
        <w:tab/>
        <w:t xml:space="preserve">Hazardous to the atmospheric system (see </w:t>
      </w:r>
      <w:r w:rsidR="00FC353D">
        <w:rPr>
          <w:b/>
          <w:bCs/>
        </w:rPr>
        <w:t>c</w:t>
      </w:r>
      <w:r w:rsidRPr="00FC353D">
        <w:rPr>
          <w:b/>
          <w:bCs/>
        </w:rPr>
        <w:t>hapter 4.2 for classification criteria)</w:t>
      </w:r>
    </w:p>
    <w:p w14:paraId="59747ABE" w14:textId="4588101A" w:rsidR="00C72559" w:rsidRPr="00152C6C" w:rsidRDefault="00C72559" w:rsidP="00C72559">
      <w:pPr>
        <w:spacing w:line="240" w:lineRule="auto"/>
        <w:ind w:left="284"/>
        <w:jc w:val="both"/>
        <w:rPr>
          <w:noProof/>
          <w:sz w:val="6"/>
          <w:szCs w:val="6"/>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05"/>
        <w:gridCol w:w="804"/>
        <w:gridCol w:w="1311"/>
        <w:gridCol w:w="1134"/>
        <w:gridCol w:w="1246"/>
        <w:gridCol w:w="963"/>
        <w:gridCol w:w="1615"/>
        <w:gridCol w:w="894"/>
      </w:tblGrid>
      <w:tr w:rsidR="00C72559" w:rsidRPr="00402D4B" w14:paraId="6F29EA92" w14:textId="77777777" w:rsidTr="00944133">
        <w:trPr>
          <w:cantSplit/>
          <w:trHeight w:val="285"/>
          <w:tblHeader/>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5BC03" w14:textId="77777777" w:rsidR="00C72559" w:rsidRPr="00402D4B" w:rsidRDefault="00C72559" w:rsidP="00EF5E1D">
            <w:pPr>
              <w:keepNext/>
              <w:keepLines/>
              <w:tabs>
                <w:tab w:val="left" w:pos="1425"/>
              </w:tabs>
              <w:spacing w:before="80" w:after="80"/>
              <w:jc w:val="center"/>
              <w:rPr>
                <w:b/>
                <w:sz w:val="18"/>
                <w:szCs w:val="18"/>
              </w:rPr>
            </w:pPr>
            <w:r w:rsidRPr="00402D4B">
              <w:rPr>
                <w:b/>
                <w:sz w:val="18"/>
                <w:szCs w:val="18"/>
              </w:rPr>
              <w:t>Classification</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F5ABBFE" w14:textId="77777777" w:rsidR="00C72559" w:rsidRPr="00402D4B" w:rsidRDefault="00C72559" w:rsidP="00EF5E1D">
            <w:pPr>
              <w:keepNext/>
              <w:keepLines/>
              <w:tabs>
                <w:tab w:val="left" w:pos="1425"/>
              </w:tabs>
              <w:spacing w:before="80" w:after="80"/>
              <w:jc w:val="center"/>
              <w:rPr>
                <w:b/>
                <w:sz w:val="18"/>
                <w:szCs w:val="18"/>
              </w:rPr>
            </w:pPr>
            <w:r w:rsidRPr="00402D4B">
              <w:rPr>
                <w:b/>
                <w:sz w:val="18"/>
                <w:szCs w:val="18"/>
              </w:rPr>
              <w:t>Labelling</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14:paraId="36EAF79C" w14:textId="5F5902C3" w:rsidR="00C72559" w:rsidRPr="00402D4B" w:rsidRDefault="00C72559" w:rsidP="00EF5E1D">
            <w:pPr>
              <w:pStyle w:val="Heading5"/>
              <w:tabs>
                <w:tab w:val="left" w:pos="1425"/>
              </w:tabs>
              <w:spacing w:before="80" w:after="80"/>
              <w:jc w:val="center"/>
              <w:rPr>
                <w:b/>
                <w:bCs/>
                <w:iCs/>
                <w:sz w:val="18"/>
                <w:szCs w:val="18"/>
              </w:rPr>
            </w:pPr>
            <w:r w:rsidRPr="00402D4B">
              <w:rPr>
                <w:b/>
                <w:sz w:val="18"/>
                <w:szCs w:val="18"/>
              </w:rPr>
              <w:t>GHS hazard statement code</w:t>
            </w:r>
          </w:p>
        </w:tc>
      </w:tr>
      <w:tr w:rsidR="000B4A23" w:rsidRPr="00402D4B" w14:paraId="44FA4FEF" w14:textId="77777777" w:rsidTr="00944133">
        <w:trPr>
          <w:cantSplit/>
          <w:trHeight w:val="380"/>
          <w:tblHeader/>
        </w:trPr>
        <w:tc>
          <w:tcPr>
            <w:tcW w:w="1105" w:type="dxa"/>
            <w:tcBorders>
              <w:bottom w:val="single" w:sz="4" w:space="0" w:color="auto"/>
            </w:tcBorders>
            <w:shd w:val="clear" w:color="auto" w:fill="auto"/>
            <w:vAlign w:val="center"/>
          </w:tcPr>
          <w:p w14:paraId="3618C725" w14:textId="77777777" w:rsidR="00C72559" w:rsidRPr="00402D4B" w:rsidRDefault="00C72559" w:rsidP="00EF5E1D">
            <w:pPr>
              <w:keepNext/>
              <w:keepLines/>
              <w:tabs>
                <w:tab w:val="left" w:pos="1425"/>
              </w:tabs>
              <w:spacing w:before="80" w:after="80"/>
              <w:jc w:val="center"/>
              <w:rPr>
                <w:b/>
                <w:sz w:val="18"/>
                <w:szCs w:val="18"/>
              </w:rPr>
            </w:pPr>
            <w:r w:rsidRPr="00402D4B">
              <w:rPr>
                <w:b/>
                <w:sz w:val="18"/>
                <w:szCs w:val="18"/>
              </w:rPr>
              <w:t>GHS hazard class</w:t>
            </w:r>
          </w:p>
        </w:tc>
        <w:tc>
          <w:tcPr>
            <w:tcW w:w="804" w:type="dxa"/>
            <w:tcBorders>
              <w:bottom w:val="single" w:sz="4" w:space="0" w:color="auto"/>
            </w:tcBorders>
            <w:shd w:val="clear" w:color="auto" w:fill="auto"/>
            <w:vAlign w:val="center"/>
          </w:tcPr>
          <w:p w14:paraId="6F9CA3B1" w14:textId="77777777" w:rsidR="00C72559" w:rsidRPr="00402D4B" w:rsidRDefault="00C72559" w:rsidP="00EF5E1D">
            <w:pPr>
              <w:keepNext/>
              <w:keepLines/>
              <w:tabs>
                <w:tab w:val="left" w:pos="1425"/>
              </w:tabs>
              <w:spacing w:before="80" w:after="80"/>
              <w:jc w:val="center"/>
              <w:rPr>
                <w:b/>
                <w:sz w:val="18"/>
                <w:szCs w:val="18"/>
              </w:rPr>
            </w:pPr>
            <w:r w:rsidRPr="00402D4B">
              <w:rPr>
                <w:b/>
                <w:sz w:val="18"/>
                <w:szCs w:val="18"/>
              </w:rPr>
              <w:t>GHS hazard category</w:t>
            </w:r>
          </w:p>
        </w:tc>
        <w:tc>
          <w:tcPr>
            <w:tcW w:w="1352" w:type="dxa"/>
            <w:tcBorders>
              <w:bottom w:val="single" w:sz="4" w:space="0" w:color="auto"/>
            </w:tcBorders>
          </w:tcPr>
          <w:p w14:paraId="6740A18E" w14:textId="77777777" w:rsidR="00C72559" w:rsidRPr="00402D4B" w:rsidRDefault="00C72559" w:rsidP="00EF5E1D">
            <w:pPr>
              <w:pStyle w:val="Heading5"/>
              <w:tabs>
                <w:tab w:val="left" w:pos="1425"/>
              </w:tabs>
              <w:spacing w:before="80" w:after="80"/>
              <w:jc w:val="center"/>
              <w:rPr>
                <w:b/>
                <w:bCs/>
                <w:iCs/>
                <w:sz w:val="18"/>
                <w:szCs w:val="18"/>
              </w:rPr>
            </w:pPr>
            <w:r w:rsidRPr="00402D4B">
              <w:rPr>
                <w:b/>
                <w:sz w:val="18"/>
                <w:szCs w:val="18"/>
              </w:rPr>
              <w:t>UN Model Regulations class or division</w:t>
            </w:r>
          </w:p>
        </w:tc>
        <w:tc>
          <w:tcPr>
            <w:tcW w:w="1134" w:type="dxa"/>
            <w:tcBorders>
              <w:bottom w:val="single" w:sz="4" w:space="0" w:color="auto"/>
            </w:tcBorders>
            <w:shd w:val="clear" w:color="auto" w:fill="auto"/>
            <w:vAlign w:val="center"/>
          </w:tcPr>
          <w:p w14:paraId="35829FED" w14:textId="77777777" w:rsidR="00C72559" w:rsidRPr="00402D4B" w:rsidRDefault="00C72559" w:rsidP="00EF5E1D">
            <w:pPr>
              <w:pStyle w:val="Heading5"/>
              <w:tabs>
                <w:tab w:val="left" w:pos="1425"/>
              </w:tabs>
              <w:spacing w:before="80" w:after="80"/>
              <w:jc w:val="center"/>
              <w:rPr>
                <w:b/>
                <w:bCs/>
                <w:iCs/>
                <w:sz w:val="18"/>
                <w:szCs w:val="18"/>
              </w:rPr>
            </w:pPr>
            <w:r w:rsidRPr="00402D4B">
              <w:rPr>
                <w:b/>
                <w:noProof/>
                <w:sz w:val="18"/>
                <w:szCs w:val="18"/>
                <w:lang w:eastAsia="sv-SE"/>
              </w:rPr>
              <w:t>GHS p</w:t>
            </w:r>
            <w:proofErr w:type="spellStart"/>
            <w:r w:rsidRPr="00402D4B">
              <w:rPr>
                <w:b/>
                <w:sz w:val="18"/>
                <w:szCs w:val="18"/>
              </w:rPr>
              <w:t>ictogram</w:t>
            </w:r>
            <w:proofErr w:type="spellEnd"/>
          </w:p>
        </w:tc>
        <w:tc>
          <w:tcPr>
            <w:tcW w:w="1275" w:type="dxa"/>
            <w:tcBorders>
              <w:bottom w:val="single" w:sz="4" w:space="0" w:color="auto"/>
            </w:tcBorders>
            <w:shd w:val="clear" w:color="auto" w:fill="auto"/>
            <w:vAlign w:val="center"/>
          </w:tcPr>
          <w:p w14:paraId="6F3E0AAE" w14:textId="77777777" w:rsidR="00C72559" w:rsidRPr="00402D4B" w:rsidRDefault="00C72559" w:rsidP="00EF5E1D">
            <w:pPr>
              <w:keepNext/>
              <w:keepLines/>
              <w:tabs>
                <w:tab w:val="left" w:pos="1425"/>
              </w:tabs>
              <w:spacing w:before="40" w:after="40"/>
              <w:jc w:val="center"/>
              <w:rPr>
                <w:b/>
                <w:bCs/>
                <w:iCs/>
                <w:sz w:val="18"/>
                <w:szCs w:val="18"/>
              </w:rPr>
            </w:pPr>
            <w:r w:rsidRPr="00402D4B">
              <w:rPr>
                <w:b/>
                <w:bCs/>
                <w:sz w:val="18"/>
                <w:szCs w:val="18"/>
              </w:rPr>
              <w:t>UN Model Regulations pictograms</w:t>
            </w:r>
          </w:p>
        </w:tc>
        <w:tc>
          <w:tcPr>
            <w:tcW w:w="993" w:type="dxa"/>
            <w:tcBorders>
              <w:bottom w:val="single" w:sz="4" w:space="0" w:color="auto"/>
            </w:tcBorders>
            <w:shd w:val="clear" w:color="auto" w:fill="auto"/>
            <w:vAlign w:val="center"/>
          </w:tcPr>
          <w:p w14:paraId="3A2CAF45" w14:textId="77777777" w:rsidR="00C72559" w:rsidRPr="00402D4B" w:rsidRDefault="00C72559" w:rsidP="00EF5E1D">
            <w:pPr>
              <w:pStyle w:val="Heading5"/>
              <w:tabs>
                <w:tab w:val="left" w:pos="1425"/>
              </w:tabs>
              <w:spacing w:before="80" w:after="80"/>
              <w:jc w:val="center"/>
              <w:rPr>
                <w:b/>
                <w:bCs/>
                <w:iCs/>
                <w:sz w:val="18"/>
                <w:szCs w:val="18"/>
              </w:rPr>
            </w:pPr>
            <w:r w:rsidRPr="00402D4B">
              <w:rPr>
                <w:b/>
                <w:sz w:val="18"/>
                <w:szCs w:val="18"/>
              </w:rPr>
              <w:t>GHS signal word</w:t>
            </w:r>
          </w:p>
        </w:tc>
        <w:tc>
          <w:tcPr>
            <w:tcW w:w="1701" w:type="dxa"/>
            <w:tcBorders>
              <w:bottom w:val="single" w:sz="4" w:space="0" w:color="auto"/>
              <w:right w:val="single" w:sz="4" w:space="0" w:color="auto"/>
            </w:tcBorders>
            <w:shd w:val="clear" w:color="auto" w:fill="auto"/>
            <w:vAlign w:val="center"/>
          </w:tcPr>
          <w:p w14:paraId="5F4CBFDC" w14:textId="77777777" w:rsidR="00C72559" w:rsidRPr="00402D4B" w:rsidRDefault="00C72559" w:rsidP="00EF5E1D">
            <w:pPr>
              <w:pStyle w:val="Heading5"/>
              <w:tabs>
                <w:tab w:val="left" w:pos="1425"/>
              </w:tabs>
              <w:spacing w:before="80" w:after="80"/>
              <w:rPr>
                <w:b/>
                <w:bCs/>
                <w:iCs/>
                <w:sz w:val="18"/>
                <w:szCs w:val="18"/>
              </w:rPr>
            </w:pPr>
            <w:r w:rsidRPr="00402D4B">
              <w:rPr>
                <w:b/>
                <w:sz w:val="18"/>
                <w:szCs w:val="18"/>
              </w:rPr>
              <w:t>GHS hazard statement</w:t>
            </w:r>
          </w:p>
        </w:tc>
        <w:tc>
          <w:tcPr>
            <w:tcW w:w="708" w:type="dxa"/>
            <w:vMerge/>
            <w:tcBorders>
              <w:left w:val="single" w:sz="4" w:space="0" w:color="auto"/>
              <w:bottom w:val="single" w:sz="4" w:space="0" w:color="auto"/>
              <w:right w:val="single" w:sz="4" w:space="0" w:color="auto"/>
            </w:tcBorders>
            <w:shd w:val="clear" w:color="auto" w:fill="auto"/>
            <w:vAlign w:val="center"/>
          </w:tcPr>
          <w:p w14:paraId="1E6933F0" w14:textId="77777777" w:rsidR="00C72559" w:rsidRPr="00402D4B" w:rsidRDefault="00C72559" w:rsidP="00EF5E1D">
            <w:pPr>
              <w:pStyle w:val="Heading5"/>
              <w:tabs>
                <w:tab w:val="left" w:pos="1425"/>
              </w:tabs>
              <w:spacing w:before="80" w:after="80"/>
              <w:rPr>
                <w:b/>
                <w:bCs/>
                <w:sz w:val="18"/>
                <w:szCs w:val="18"/>
              </w:rPr>
            </w:pPr>
          </w:p>
        </w:tc>
      </w:tr>
      <w:tr w:rsidR="000B4A23" w:rsidRPr="00402D4B" w14:paraId="3C7234C0" w14:textId="77777777" w:rsidTr="00944133">
        <w:trPr>
          <w:cantSplit/>
          <w:trHeight w:val="459"/>
        </w:trPr>
        <w:tc>
          <w:tcPr>
            <w:tcW w:w="1105" w:type="dxa"/>
            <w:tcBorders>
              <w:top w:val="single" w:sz="4" w:space="0" w:color="auto"/>
              <w:bottom w:val="single" w:sz="4" w:space="0" w:color="auto"/>
            </w:tcBorders>
            <w:shd w:val="clear" w:color="auto" w:fill="auto"/>
            <w:vAlign w:val="center"/>
          </w:tcPr>
          <w:p w14:paraId="51D9642E" w14:textId="77777777" w:rsidR="00C72559" w:rsidRPr="00067EDC" w:rsidRDefault="00C72559" w:rsidP="00944133">
            <w:pPr>
              <w:keepNext/>
              <w:keepLines/>
              <w:tabs>
                <w:tab w:val="left" w:pos="1425"/>
              </w:tabs>
              <w:spacing w:before="40" w:after="40" w:line="240" w:lineRule="auto"/>
              <w:jc w:val="center"/>
              <w:rPr>
                <w:b/>
                <w:bCs/>
                <w:sz w:val="18"/>
                <w:szCs w:val="18"/>
              </w:rPr>
            </w:pPr>
            <w:r w:rsidRPr="00067EDC">
              <w:rPr>
                <w:b/>
                <w:bCs/>
                <w:sz w:val="18"/>
                <w:szCs w:val="18"/>
              </w:rPr>
              <w:t>Hazardous to the ozone layer</w:t>
            </w:r>
          </w:p>
        </w:tc>
        <w:tc>
          <w:tcPr>
            <w:tcW w:w="804" w:type="dxa"/>
            <w:tcBorders>
              <w:top w:val="single" w:sz="4" w:space="0" w:color="auto"/>
              <w:bottom w:val="single" w:sz="4" w:space="0" w:color="auto"/>
            </w:tcBorders>
            <w:shd w:val="clear" w:color="auto" w:fill="auto"/>
            <w:vAlign w:val="center"/>
          </w:tcPr>
          <w:p w14:paraId="1BE5292E" w14:textId="77777777" w:rsidR="00C72559" w:rsidRPr="00067EDC" w:rsidRDefault="00C72559" w:rsidP="00EF5E1D">
            <w:pPr>
              <w:keepNext/>
              <w:keepLines/>
              <w:tabs>
                <w:tab w:val="left" w:pos="1425"/>
              </w:tabs>
              <w:spacing w:before="40" w:after="40"/>
              <w:jc w:val="center"/>
              <w:rPr>
                <w:b/>
                <w:sz w:val="18"/>
                <w:szCs w:val="18"/>
              </w:rPr>
            </w:pPr>
            <w:r w:rsidRPr="00067EDC">
              <w:rPr>
                <w:b/>
                <w:sz w:val="18"/>
                <w:szCs w:val="18"/>
              </w:rPr>
              <w:t>1</w:t>
            </w:r>
          </w:p>
        </w:tc>
        <w:tc>
          <w:tcPr>
            <w:tcW w:w="1352" w:type="dxa"/>
            <w:vMerge w:val="restart"/>
            <w:tcBorders>
              <w:top w:val="single" w:sz="4" w:space="0" w:color="auto"/>
            </w:tcBorders>
            <w:vAlign w:val="center"/>
          </w:tcPr>
          <w:p w14:paraId="416995D7" w14:textId="77777777" w:rsidR="00C72559" w:rsidRPr="00067EDC" w:rsidRDefault="00C72559" w:rsidP="00EF5E1D">
            <w:pPr>
              <w:keepNext/>
              <w:keepLines/>
              <w:tabs>
                <w:tab w:val="left" w:pos="1425"/>
              </w:tabs>
              <w:spacing w:before="40" w:after="40"/>
              <w:jc w:val="center"/>
              <w:rPr>
                <w:i/>
                <w:sz w:val="18"/>
                <w:szCs w:val="18"/>
              </w:rPr>
            </w:pPr>
            <w:r w:rsidRPr="00067EDC">
              <w:rPr>
                <w:i/>
                <w:sz w:val="18"/>
                <w:szCs w:val="18"/>
              </w:rPr>
              <w:t>Not applicable</w:t>
            </w:r>
          </w:p>
        </w:tc>
        <w:tc>
          <w:tcPr>
            <w:tcW w:w="1134" w:type="dxa"/>
            <w:vMerge w:val="restart"/>
            <w:tcBorders>
              <w:top w:val="single" w:sz="4" w:space="0" w:color="auto"/>
            </w:tcBorders>
            <w:shd w:val="clear" w:color="auto" w:fill="auto"/>
            <w:vAlign w:val="center"/>
          </w:tcPr>
          <w:p w14:paraId="0AA62191" w14:textId="77777777" w:rsidR="00C72559" w:rsidRPr="00067EDC" w:rsidRDefault="00C72559" w:rsidP="00EF5E1D">
            <w:pPr>
              <w:keepNext/>
              <w:keepLines/>
              <w:tabs>
                <w:tab w:val="left" w:pos="1425"/>
              </w:tabs>
              <w:spacing w:before="40" w:after="40"/>
              <w:jc w:val="center"/>
              <w:rPr>
                <w:noProof/>
                <w:sz w:val="18"/>
                <w:szCs w:val="18"/>
              </w:rPr>
            </w:pPr>
            <w:r w:rsidRPr="00067EDC">
              <w:rPr>
                <w:noProof/>
                <w:sz w:val="18"/>
                <w:szCs w:val="18"/>
              </w:rPr>
              <w:drawing>
                <wp:inline distT="0" distB="0" distL="0" distR="0" wp14:anchorId="63F4F13C" wp14:editId="46D784A1">
                  <wp:extent cx="628015" cy="62801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c>
        <w:tc>
          <w:tcPr>
            <w:tcW w:w="1275" w:type="dxa"/>
            <w:vMerge w:val="restart"/>
            <w:tcBorders>
              <w:top w:val="single" w:sz="4" w:space="0" w:color="auto"/>
            </w:tcBorders>
            <w:shd w:val="clear" w:color="auto" w:fill="auto"/>
            <w:vAlign w:val="center"/>
          </w:tcPr>
          <w:p w14:paraId="22625D97" w14:textId="77777777" w:rsidR="00C72559" w:rsidRPr="00067EDC" w:rsidRDefault="00C72559" w:rsidP="00EF5E1D">
            <w:pPr>
              <w:keepNext/>
              <w:keepLines/>
              <w:tabs>
                <w:tab w:val="left" w:pos="1425"/>
              </w:tabs>
              <w:spacing w:before="40" w:after="40"/>
              <w:jc w:val="center"/>
              <w:rPr>
                <w:i/>
                <w:sz w:val="18"/>
                <w:szCs w:val="18"/>
              </w:rPr>
            </w:pPr>
            <w:r w:rsidRPr="00067EDC">
              <w:rPr>
                <w:i/>
                <w:sz w:val="18"/>
                <w:szCs w:val="18"/>
              </w:rPr>
              <w:t>Not applicable</w:t>
            </w:r>
          </w:p>
        </w:tc>
        <w:tc>
          <w:tcPr>
            <w:tcW w:w="993" w:type="dxa"/>
            <w:vMerge w:val="restart"/>
            <w:tcBorders>
              <w:top w:val="single" w:sz="4" w:space="0" w:color="auto"/>
            </w:tcBorders>
            <w:shd w:val="clear" w:color="auto" w:fill="auto"/>
            <w:vAlign w:val="center"/>
          </w:tcPr>
          <w:p w14:paraId="32AD4040" w14:textId="77777777" w:rsidR="00C72559" w:rsidRPr="00067EDC" w:rsidRDefault="00C72559" w:rsidP="00EF5E1D">
            <w:pPr>
              <w:keepNext/>
              <w:keepLines/>
              <w:tabs>
                <w:tab w:val="left" w:pos="1425"/>
              </w:tabs>
              <w:spacing w:before="40" w:after="40"/>
              <w:ind w:left="-69" w:right="-15"/>
              <w:jc w:val="center"/>
              <w:rPr>
                <w:b/>
                <w:sz w:val="18"/>
                <w:szCs w:val="18"/>
              </w:rPr>
            </w:pPr>
            <w:r w:rsidRPr="00067EDC">
              <w:rPr>
                <w:b/>
                <w:sz w:val="18"/>
                <w:szCs w:val="18"/>
              </w:rPr>
              <w:t>Warning</w:t>
            </w:r>
          </w:p>
        </w:tc>
        <w:tc>
          <w:tcPr>
            <w:tcW w:w="1701" w:type="dxa"/>
            <w:tcBorders>
              <w:top w:val="single" w:sz="4" w:space="0" w:color="auto"/>
              <w:bottom w:val="single" w:sz="4" w:space="0" w:color="auto"/>
            </w:tcBorders>
            <w:shd w:val="clear" w:color="auto" w:fill="auto"/>
            <w:vAlign w:val="center"/>
          </w:tcPr>
          <w:p w14:paraId="3B869B49" w14:textId="77777777" w:rsidR="00C72559" w:rsidRPr="00067EDC" w:rsidRDefault="00C72559" w:rsidP="00944133">
            <w:pPr>
              <w:keepNext/>
              <w:keepLines/>
              <w:tabs>
                <w:tab w:val="left" w:pos="1425"/>
              </w:tabs>
              <w:spacing w:before="40" w:after="40" w:line="240" w:lineRule="auto"/>
              <w:rPr>
                <w:sz w:val="18"/>
                <w:szCs w:val="18"/>
              </w:rPr>
            </w:pPr>
            <w:r w:rsidRPr="00067EDC">
              <w:rPr>
                <w:sz w:val="18"/>
                <w:szCs w:val="18"/>
              </w:rPr>
              <w:t>Harms public health and the environment by destroying ozone in the upper atmosphere</w:t>
            </w:r>
          </w:p>
        </w:tc>
        <w:tc>
          <w:tcPr>
            <w:tcW w:w="708" w:type="dxa"/>
            <w:tcBorders>
              <w:top w:val="single" w:sz="4" w:space="0" w:color="auto"/>
              <w:bottom w:val="single" w:sz="4" w:space="0" w:color="auto"/>
            </w:tcBorders>
            <w:shd w:val="clear" w:color="auto" w:fill="auto"/>
            <w:vAlign w:val="center"/>
          </w:tcPr>
          <w:p w14:paraId="360016A9" w14:textId="77777777" w:rsidR="00C72559" w:rsidRPr="00067EDC" w:rsidRDefault="00C72559" w:rsidP="00EF5E1D">
            <w:pPr>
              <w:keepNext/>
              <w:keepLines/>
              <w:tabs>
                <w:tab w:val="left" w:pos="1425"/>
              </w:tabs>
              <w:spacing w:before="40" w:after="40"/>
              <w:jc w:val="center"/>
              <w:rPr>
                <w:sz w:val="18"/>
                <w:szCs w:val="18"/>
              </w:rPr>
            </w:pPr>
            <w:r w:rsidRPr="00067EDC">
              <w:rPr>
                <w:sz w:val="18"/>
                <w:szCs w:val="18"/>
              </w:rPr>
              <w:t>H420</w:t>
            </w:r>
          </w:p>
        </w:tc>
      </w:tr>
      <w:tr w:rsidR="000B4A23" w:rsidRPr="00402D4B" w14:paraId="6A278159" w14:textId="77777777" w:rsidTr="00944133">
        <w:trPr>
          <w:cantSplit/>
          <w:trHeight w:val="459"/>
        </w:trPr>
        <w:tc>
          <w:tcPr>
            <w:tcW w:w="1105" w:type="dxa"/>
            <w:tcBorders>
              <w:top w:val="single" w:sz="4" w:space="0" w:color="auto"/>
              <w:bottom w:val="single" w:sz="4" w:space="0" w:color="auto"/>
            </w:tcBorders>
            <w:shd w:val="clear" w:color="auto" w:fill="auto"/>
            <w:vAlign w:val="center"/>
          </w:tcPr>
          <w:p w14:paraId="045E7E0C" w14:textId="77777777" w:rsidR="00C72559" w:rsidRPr="00067EDC" w:rsidRDefault="00C72559" w:rsidP="00944133">
            <w:pPr>
              <w:keepNext/>
              <w:keepLines/>
              <w:tabs>
                <w:tab w:val="left" w:pos="1425"/>
              </w:tabs>
              <w:spacing w:before="40" w:after="40" w:line="240" w:lineRule="auto"/>
              <w:jc w:val="center"/>
              <w:rPr>
                <w:b/>
                <w:sz w:val="18"/>
                <w:szCs w:val="18"/>
              </w:rPr>
            </w:pPr>
            <w:r w:rsidRPr="003638BB">
              <w:rPr>
                <w:b/>
                <w:bCs/>
                <w:sz w:val="18"/>
                <w:szCs w:val="18"/>
              </w:rPr>
              <w:t xml:space="preserve">Hazardous by contributing to global warming  </w:t>
            </w:r>
          </w:p>
        </w:tc>
        <w:tc>
          <w:tcPr>
            <w:tcW w:w="804" w:type="dxa"/>
            <w:tcBorders>
              <w:top w:val="single" w:sz="4" w:space="0" w:color="auto"/>
            </w:tcBorders>
            <w:shd w:val="clear" w:color="auto" w:fill="auto"/>
            <w:vAlign w:val="center"/>
          </w:tcPr>
          <w:p w14:paraId="38165319" w14:textId="77777777" w:rsidR="00C72559" w:rsidRPr="00067EDC" w:rsidRDefault="00C72559" w:rsidP="00EF5E1D">
            <w:pPr>
              <w:keepNext/>
              <w:keepLines/>
              <w:tabs>
                <w:tab w:val="left" w:pos="1425"/>
              </w:tabs>
              <w:spacing w:before="40" w:after="40"/>
              <w:jc w:val="center"/>
              <w:rPr>
                <w:b/>
                <w:sz w:val="18"/>
                <w:szCs w:val="18"/>
              </w:rPr>
            </w:pPr>
            <w:r>
              <w:rPr>
                <w:b/>
                <w:sz w:val="18"/>
                <w:szCs w:val="18"/>
              </w:rPr>
              <w:t>1</w:t>
            </w:r>
          </w:p>
        </w:tc>
        <w:tc>
          <w:tcPr>
            <w:tcW w:w="1352" w:type="dxa"/>
            <w:vMerge/>
            <w:vAlign w:val="center"/>
          </w:tcPr>
          <w:p w14:paraId="4B7EBD86" w14:textId="77777777" w:rsidR="00C72559" w:rsidRPr="00067EDC" w:rsidRDefault="00C72559" w:rsidP="00EF5E1D">
            <w:pPr>
              <w:keepNext/>
              <w:keepLines/>
              <w:tabs>
                <w:tab w:val="left" w:pos="1425"/>
              </w:tabs>
              <w:spacing w:before="40" w:after="40"/>
              <w:jc w:val="center"/>
              <w:rPr>
                <w:noProof/>
                <w:sz w:val="18"/>
                <w:szCs w:val="18"/>
              </w:rPr>
            </w:pPr>
          </w:p>
        </w:tc>
        <w:tc>
          <w:tcPr>
            <w:tcW w:w="1134" w:type="dxa"/>
            <w:vMerge/>
            <w:shd w:val="clear" w:color="auto" w:fill="auto"/>
            <w:vAlign w:val="center"/>
          </w:tcPr>
          <w:p w14:paraId="5839968B" w14:textId="77777777" w:rsidR="00C72559" w:rsidRPr="00067EDC" w:rsidRDefault="00C72559" w:rsidP="00EF5E1D">
            <w:pPr>
              <w:keepNext/>
              <w:keepLines/>
              <w:tabs>
                <w:tab w:val="left" w:pos="1425"/>
              </w:tabs>
              <w:spacing w:before="40" w:after="40"/>
              <w:jc w:val="center"/>
              <w:rPr>
                <w:sz w:val="18"/>
                <w:szCs w:val="18"/>
              </w:rPr>
            </w:pPr>
          </w:p>
        </w:tc>
        <w:tc>
          <w:tcPr>
            <w:tcW w:w="1275" w:type="dxa"/>
            <w:vMerge/>
            <w:shd w:val="clear" w:color="auto" w:fill="auto"/>
            <w:vAlign w:val="center"/>
          </w:tcPr>
          <w:p w14:paraId="34513CAC" w14:textId="77777777" w:rsidR="00C72559" w:rsidRPr="00067EDC" w:rsidRDefault="00C72559" w:rsidP="00EF5E1D">
            <w:pPr>
              <w:keepNext/>
              <w:keepLines/>
              <w:tabs>
                <w:tab w:val="left" w:pos="1425"/>
              </w:tabs>
              <w:spacing w:before="40" w:after="40"/>
              <w:jc w:val="center"/>
              <w:rPr>
                <w:sz w:val="18"/>
                <w:szCs w:val="18"/>
              </w:rPr>
            </w:pPr>
          </w:p>
        </w:tc>
        <w:tc>
          <w:tcPr>
            <w:tcW w:w="993" w:type="dxa"/>
            <w:vMerge/>
            <w:shd w:val="clear" w:color="auto" w:fill="auto"/>
            <w:vAlign w:val="center"/>
          </w:tcPr>
          <w:p w14:paraId="2B9154B9" w14:textId="77777777" w:rsidR="00C72559" w:rsidRPr="00067EDC" w:rsidRDefault="00C72559" w:rsidP="00EF5E1D">
            <w:pPr>
              <w:keepNext/>
              <w:keepLines/>
              <w:tabs>
                <w:tab w:val="left" w:pos="1425"/>
              </w:tabs>
              <w:spacing w:before="40" w:after="40"/>
              <w:ind w:left="-69" w:right="-15"/>
              <w:jc w:val="center"/>
              <w:rPr>
                <w:sz w:val="18"/>
                <w:szCs w:val="18"/>
              </w:rPr>
            </w:pPr>
          </w:p>
        </w:tc>
        <w:tc>
          <w:tcPr>
            <w:tcW w:w="1701" w:type="dxa"/>
            <w:tcBorders>
              <w:top w:val="single" w:sz="4" w:space="0" w:color="auto"/>
              <w:bottom w:val="single" w:sz="4" w:space="0" w:color="auto"/>
            </w:tcBorders>
            <w:shd w:val="clear" w:color="auto" w:fill="auto"/>
            <w:vAlign w:val="center"/>
          </w:tcPr>
          <w:p w14:paraId="016C0691" w14:textId="77777777" w:rsidR="00C72559" w:rsidRPr="00067EDC" w:rsidRDefault="00C72559" w:rsidP="00944133">
            <w:pPr>
              <w:keepNext/>
              <w:keepLines/>
              <w:tabs>
                <w:tab w:val="left" w:pos="1425"/>
              </w:tabs>
              <w:spacing w:before="40" w:after="40" w:line="240" w:lineRule="auto"/>
              <w:rPr>
                <w:noProof/>
                <w:sz w:val="18"/>
                <w:szCs w:val="18"/>
                <w:lang w:eastAsia="sv-SE"/>
              </w:rPr>
            </w:pPr>
            <w:r w:rsidRPr="003638BB">
              <w:rPr>
                <w:sz w:val="18"/>
                <w:szCs w:val="18"/>
                <w:lang w:val="en-US"/>
              </w:rPr>
              <w:t xml:space="preserve">Harms public health and the environment by contributing to global warming </w:t>
            </w:r>
          </w:p>
        </w:tc>
        <w:tc>
          <w:tcPr>
            <w:tcW w:w="708" w:type="dxa"/>
            <w:tcBorders>
              <w:top w:val="single" w:sz="4" w:space="0" w:color="auto"/>
              <w:bottom w:val="single" w:sz="4" w:space="0" w:color="auto"/>
            </w:tcBorders>
            <w:shd w:val="clear" w:color="auto" w:fill="auto"/>
            <w:vAlign w:val="center"/>
          </w:tcPr>
          <w:p w14:paraId="2844957C" w14:textId="77777777" w:rsidR="00C72559" w:rsidRPr="00067EDC" w:rsidRDefault="00C72559" w:rsidP="00EF5E1D">
            <w:pPr>
              <w:keepNext/>
              <w:keepLines/>
              <w:tabs>
                <w:tab w:val="left" w:pos="1425"/>
              </w:tabs>
              <w:spacing w:before="40" w:after="40"/>
              <w:jc w:val="center"/>
              <w:rPr>
                <w:sz w:val="18"/>
                <w:szCs w:val="18"/>
              </w:rPr>
            </w:pPr>
            <w:r w:rsidRPr="003638BB">
              <w:rPr>
                <w:sz w:val="18"/>
                <w:szCs w:val="18"/>
              </w:rPr>
              <w:t>H421</w:t>
            </w:r>
          </w:p>
        </w:tc>
      </w:tr>
    </w:tbl>
    <w:p w14:paraId="1DD91A6E" w14:textId="2BD30D25" w:rsidR="00C72559" w:rsidRPr="00916330" w:rsidRDefault="000B4A23" w:rsidP="00944133">
      <w:pPr>
        <w:spacing w:line="240" w:lineRule="auto"/>
        <w:ind w:left="1418"/>
        <w:jc w:val="right"/>
        <w:rPr>
          <w:rFonts w:asciiTheme="majorBidi" w:hAnsiTheme="majorBidi" w:cstheme="majorBidi"/>
          <w:noProof/>
        </w:rPr>
      </w:pPr>
      <w:r>
        <w:rPr>
          <w:rFonts w:asciiTheme="majorBidi" w:hAnsiTheme="majorBidi" w:cstheme="majorBidi"/>
          <w:noProof/>
        </w:rPr>
        <w:t>”</w:t>
      </w:r>
    </w:p>
    <w:p w14:paraId="2CD7A9FB" w14:textId="1689783B" w:rsidR="00C72559" w:rsidRPr="00944133" w:rsidRDefault="000B4A23" w:rsidP="00066374">
      <w:pPr>
        <w:pStyle w:val="H1G"/>
      </w:pPr>
      <w:r>
        <w:tab/>
      </w:r>
      <w:r>
        <w:tab/>
      </w:r>
      <w:r w:rsidR="00C72559" w:rsidRPr="00066374">
        <w:t xml:space="preserve">Proposed conforming changes to </w:t>
      </w:r>
      <w:r>
        <w:t>a</w:t>
      </w:r>
      <w:r w:rsidR="00C72559" w:rsidRPr="00066374">
        <w:t xml:space="preserve">nnex 3, </w:t>
      </w:r>
      <w:r>
        <w:t>s</w:t>
      </w:r>
      <w:r w:rsidR="00C72559" w:rsidRPr="00066374">
        <w:t>ection 1</w:t>
      </w:r>
    </w:p>
    <w:p w14:paraId="68A0C89D" w14:textId="77777777" w:rsidR="00C72559" w:rsidRPr="00944133" w:rsidRDefault="00C72559" w:rsidP="00944133">
      <w:pPr>
        <w:pStyle w:val="SingleTxtG"/>
        <w:rPr>
          <w:b/>
          <w:bCs/>
          <w:noProof/>
        </w:rPr>
      </w:pPr>
      <w:r w:rsidRPr="00944133">
        <w:rPr>
          <w:b/>
          <w:bCs/>
        </w:rPr>
        <w:t xml:space="preserve">Table A3.1.3 </w:t>
      </w:r>
    </w:p>
    <w:p w14:paraId="7B3D2558" w14:textId="193EF952" w:rsidR="00C72559" w:rsidRDefault="00C72559" w:rsidP="001A7BA4">
      <w:pPr>
        <w:spacing w:after="240" w:line="240" w:lineRule="auto"/>
        <w:ind w:left="1134"/>
        <w:jc w:val="both"/>
      </w:pPr>
      <w:r>
        <w:rPr>
          <w:noProof/>
        </w:rPr>
        <w:t>Insert the following</w:t>
      </w:r>
      <w:r>
        <w:t xml:space="preserve"> new </w:t>
      </w:r>
      <w:r w:rsidR="000B4A23">
        <w:t xml:space="preserve">entry </w:t>
      </w:r>
      <w:r>
        <w:t xml:space="preserve">after the existing </w:t>
      </w:r>
      <w:r w:rsidR="000B4A23">
        <w:t xml:space="preserve">entry </w:t>
      </w:r>
      <w:r>
        <w:t>for H420</w:t>
      </w:r>
      <w:r w:rsidRPr="00916330">
        <w:t>:</w:t>
      </w:r>
    </w:p>
    <w:tbl>
      <w:tblPr>
        <w:tblStyle w:val="TableGrid"/>
        <w:tblW w:w="8050" w:type="dxa"/>
        <w:tblInd w:w="1129" w:type="dxa"/>
        <w:tblLook w:val="04A0" w:firstRow="1" w:lastRow="0" w:firstColumn="1" w:lastColumn="0" w:noHBand="0" w:noVBand="1"/>
      </w:tblPr>
      <w:tblGrid>
        <w:gridCol w:w="709"/>
        <w:gridCol w:w="3827"/>
        <w:gridCol w:w="2845"/>
        <w:gridCol w:w="669"/>
      </w:tblGrid>
      <w:tr w:rsidR="00C72559" w:rsidRPr="001A3982" w14:paraId="1C4C0720" w14:textId="77777777" w:rsidTr="00EF5E1D">
        <w:tc>
          <w:tcPr>
            <w:tcW w:w="709" w:type="dxa"/>
            <w:tcBorders>
              <w:bottom w:val="single" w:sz="4" w:space="0" w:color="auto"/>
            </w:tcBorders>
          </w:tcPr>
          <w:p w14:paraId="73CE99E6" w14:textId="77777777" w:rsidR="00C72559" w:rsidRPr="00B12232" w:rsidRDefault="00C72559" w:rsidP="00EF5E1D">
            <w:pPr>
              <w:pStyle w:val="SingleTxtG"/>
              <w:spacing w:before="20" w:after="20" w:line="240" w:lineRule="auto"/>
              <w:ind w:left="0" w:right="2"/>
              <w:jc w:val="center"/>
              <w:rPr>
                <w:b/>
                <w:bCs/>
                <w:sz w:val="16"/>
                <w:szCs w:val="16"/>
              </w:rPr>
            </w:pPr>
            <w:r w:rsidRPr="00B12232">
              <w:rPr>
                <w:b/>
                <w:bCs/>
                <w:sz w:val="16"/>
                <w:szCs w:val="16"/>
              </w:rPr>
              <w:t>(1)</w:t>
            </w:r>
          </w:p>
        </w:tc>
        <w:tc>
          <w:tcPr>
            <w:tcW w:w="3827" w:type="dxa"/>
            <w:tcBorders>
              <w:bottom w:val="single" w:sz="4" w:space="0" w:color="auto"/>
            </w:tcBorders>
          </w:tcPr>
          <w:p w14:paraId="57F31359" w14:textId="77777777" w:rsidR="00C72559" w:rsidRPr="00B12232" w:rsidRDefault="00C72559" w:rsidP="00EF5E1D">
            <w:pPr>
              <w:pStyle w:val="SingleTxtG"/>
              <w:spacing w:before="20" w:after="20" w:line="240" w:lineRule="auto"/>
              <w:ind w:left="0" w:right="0"/>
              <w:jc w:val="center"/>
              <w:rPr>
                <w:b/>
                <w:bCs/>
                <w:sz w:val="16"/>
                <w:szCs w:val="16"/>
              </w:rPr>
            </w:pPr>
            <w:r w:rsidRPr="00B12232">
              <w:rPr>
                <w:b/>
                <w:bCs/>
                <w:sz w:val="16"/>
                <w:szCs w:val="16"/>
              </w:rPr>
              <w:t>(2)</w:t>
            </w:r>
          </w:p>
        </w:tc>
        <w:tc>
          <w:tcPr>
            <w:tcW w:w="2845" w:type="dxa"/>
          </w:tcPr>
          <w:p w14:paraId="233A34D8" w14:textId="77777777" w:rsidR="00C72559" w:rsidRPr="00B12232" w:rsidRDefault="00C72559" w:rsidP="00EF5E1D">
            <w:pPr>
              <w:pStyle w:val="SingleTxtG"/>
              <w:spacing w:before="20" w:after="20" w:line="240" w:lineRule="auto"/>
              <w:ind w:left="0" w:right="0"/>
              <w:jc w:val="center"/>
              <w:rPr>
                <w:b/>
                <w:bCs/>
                <w:sz w:val="16"/>
                <w:szCs w:val="16"/>
              </w:rPr>
            </w:pPr>
            <w:r w:rsidRPr="00B12232">
              <w:rPr>
                <w:b/>
                <w:bCs/>
                <w:sz w:val="16"/>
                <w:szCs w:val="16"/>
              </w:rPr>
              <w:t>(3)</w:t>
            </w:r>
          </w:p>
        </w:tc>
        <w:tc>
          <w:tcPr>
            <w:tcW w:w="669" w:type="dxa"/>
          </w:tcPr>
          <w:p w14:paraId="0B0A1172" w14:textId="77777777" w:rsidR="00C72559" w:rsidRPr="00B12232" w:rsidRDefault="00C72559" w:rsidP="00EF5E1D">
            <w:pPr>
              <w:pStyle w:val="SingleTxtG"/>
              <w:spacing w:before="20" w:after="20" w:line="240" w:lineRule="auto"/>
              <w:ind w:left="0" w:right="5"/>
              <w:jc w:val="center"/>
              <w:rPr>
                <w:b/>
                <w:bCs/>
                <w:sz w:val="16"/>
                <w:szCs w:val="16"/>
              </w:rPr>
            </w:pPr>
            <w:r w:rsidRPr="00B12232">
              <w:rPr>
                <w:b/>
                <w:bCs/>
                <w:sz w:val="16"/>
                <w:szCs w:val="16"/>
              </w:rPr>
              <w:t>(4)</w:t>
            </w:r>
          </w:p>
        </w:tc>
      </w:tr>
      <w:tr w:rsidR="00C72559" w:rsidRPr="002F30A7" w14:paraId="691A2590" w14:textId="77777777" w:rsidTr="00EF5E1D">
        <w:trPr>
          <w:trHeight w:val="328"/>
        </w:trPr>
        <w:tc>
          <w:tcPr>
            <w:tcW w:w="709" w:type="dxa"/>
            <w:tcBorders>
              <w:bottom w:val="single" w:sz="4" w:space="0" w:color="auto"/>
              <w:right w:val="single" w:sz="4" w:space="0" w:color="auto"/>
            </w:tcBorders>
          </w:tcPr>
          <w:p w14:paraId="2BBA1FC2" w14:textId="616F6970" w:rsidR="00C72559" w:rsidRPr="003638BB" w:rsidRDefault="00C72559" w:rsidP="00944133">
            <w:pPr>
              <w:jc w:val="center"/>
              <w:rPr>
                <w:sz w:val="18"/>
                <w:szCs w:val="18"/>
              </w:rPr>
            </w:pPr>
            <w:r w:rsidRPr="003638BB">
              <w:rPr>
                <w:sz w:val="18"/>
                <w:szCs w:val="18"/>
              </w:rPr>
              <w:t>H421</w:t>
            </w:r>
          </w:p>
        </w:tc>
        <w:tc>
          <w:tcPr>
            <w:tcW w:w="3827" w:type="dxa"/>
            <w:tcBorders>
              <w:left w:val="single" w:sz="4" w:space="0" w:color="auto"/>
              <w:bottom w:val="single" w:sz="4" w:space="0" w:color="auto"/>
            </w:tcBorders>
          </w:tcPr>
          <w:p w14:paraId="1E6113BF" w14:textId="77777777" w:rsidR="00C72559" w:rsidRPr="003638BB" w:rsidRDefault="00C72559" w:rsidP="00EF5E1D">
            <w:pPr>
              <w:rPr>
                <w:b/>
                <w:bCs/>
                <w:sz w:val="18"/>
                <w:szCs w:val="18"/>
              </w:rPr>
            </w:pPr>
            <w:r w:rsidRPr="003638BB">
              <w:rPr>
                <w:b/>
                <w:bCs/>
                <w:sz w:val="18"/>
                <w:szCs w:val="18"/>
              </w:rPr>
              <w:t>Harms public health and the environment by contributing to global warming</w:t>
            </w:r>
          </w:p>
        </w:tc>
        <w:tc>
          <w:tcPr>
            <w:tcW w:w="2845" w:type="dxa"/>
          </w:tcPr>
          <w:p w14:paraId="0D3F37B1" w14:textId="77777777" w:rsidR="00C72559" w:rsidRPr="003638BB" w:rsidRDefault="00C72559" w:rsidP="00EF5E1D">
            <w:pPr>
              <w:rPr>
                <w:sz w:val="18"/>
                <w:szCs w:val="18"/>
              </w:rPr>
            </w:pPr>
            <w:r w:rsidRPr="003638BB">
              <w:rPr>
                <w:sz w:val="18"/>
                <w:szCs w:val="18"/>
              </w:rPr>
              <w:t>Hazardous by contributing to global warming (chapter 4.2)</w:t>
            </w:r>
          </w:p>
        </w:tc>
        <w:tc>
          <w:tcPr>
            <w:tcW w:w="669" w:type="dxa"/>
          </w:tcPr>
          <w:p w14:paraId="4D4848B5" w14:textId="77777777" w:rsidR="00C72559" w:rsidRPr="003C1EDE" w:rsidRDefault="00C72559" w:rsidP="00EF5E1D">
            <w:pPr>
              <w:jc w:val="center"/>
              <w:rPr>
                <w:sz w:val="18"/>
                <w:szCs w:val="18"/>
              </w:rPr>
            </w:pPr>
            <w:r w:rsidRPr="003C1EDE">
              <w:rPr>
                <w:sz w:val="18"/>
                <w:szCs w:val="18"/>
              </w:rPr>
              <w:t>1</w:t>
            </w:r>
          </w:p>
        </w:tc>
      </w:tr>
    </w:tbl>
    <w:p w14:paraId="4D033E51" w14:textId="7241E5A7" w:rsidR="00C72559" w:rsidRPr="00066374" w:rsidRDefault="001A7BA4" w:rsidP="00066374">
      <w:pPr>
        <w:pStyle w:val="H1G"/>
      </w:pPr>
      <w:r>
        <w:tab/>
      </w:r>
      <w:r>
        <w:tab/>
      </w:r>
      <w:r w:rsidR="00C72559" w:rsidRPr="00066374">
        <w:t xml:space="preserve">Proposed conforming changes to </w:t>
      </w:r>
      <w:r>
        <w:t>a</w:t>
      </w:r>
      <w:r w:rsidR="00C72559" w:rsidRPr="00066374">
        <w:t xml:space="preserve">nnex 3, </w:t>
      </w:r>
      <w:r>
        <w:t>s</w:t>
      </w:r>
      <w:r w:rsidR="00C72559" w:rsidRPr="00066374">
        <w:t>ection 2</w:t>
      </w:r>
    </w:p>
    <w:p w14:paraId="107A7A5B" w14:textId="1FEF6EF8" w:rsidR="00C72559" w:rsidRPr="00944133" w:rsidRDefault="00C72559" w:rsidP="00944133">
      <w:pPr>
        <w:pStyle w:val="SingleTxtG"/>
        <w:rPr>
          <w:b/>
          <w:bCs/>
        </w:rPr>
      </w:pPr>
      <w:r w:rsidRPr="00944133">
        <w:rPr>
          <w:b/>
          <w:bCs/>
        </w:rPr>
        <w:t>Table A3.2.5</w:t>
      </w:r>
      <w:r w:rsidR="001A7BA4">
        <w:rPr>
          <w:b/>
          <w:bCs/>
        </w:rPr>
        <w:t>, P502</w:t>
      </w:r>
    </w:p>
    <w:p w14:paraId="45B49FC5" w14:textId="30A4EFFB" w:rsidR="00C72559" w:rsidRPr="001A7BA4" w:rsidRDefault="001A7BA4" w:rsidP="00944133">
      <w:pPr>
        <w:pStyle w:val="SingleTxtG"/>
      </w:pPr>
      <w:r w:rsidRPr="001A7BA4">
        <w:t>I</w:t>
      </w:r>
      <w:r w:rsidR="00C72559" w:rsidRPr="001A7BA4">
        <w:t>nsert the following new row after the existing row for “Hazardous to the ozone layer (chapter</w:t>
      </w:r>
      <w:r>
        <w:t> </w:t>
      </w:r>
      <w:r w:rsidR="00C72559" w:rsidRPr="001A7BA4">
        <w:t>4.2)”</w:t>
      </w:r>
      <w:r w:rsidRPr="001A7BA4">
        <w:t>:</w:t>
      </w:r>
    </w:p>
    <w:tbl>
      <w:tblPr>
        <w:tblStyle w:val="TableGrid"/>
        <w:tblW w:w="8075" w:type="dxa"/>
        <w:tblInd w:w="1134" w:type="dxa"/>
        <w:tblLook w:val="04A0" w:firstRow="1" w:lastRow="0" w:firstColumn="1" w:lastColumn="0" w:noHBand="0" w:noVBand="1"/>
      </w:tblPr>
      <w:tblGrid>
        <w:gridCol w:w="743"/>
        <w:gridCol w:w="746"/>
        <w:gridCol w:w="3468"/>
        <w:gridCol w:w="708"/>
        <w:gridCol w:w="2410"/>
      </w:tblGrid>
      <w:tr w:rsidR="00C72559" w:rsidRPr="001A3982" w14:paraId="2C5E6572" w14:textId="77777777" w:rsidTr="00EF5E1D">
        <w:tc>
          <w:tcPr>
            <w:tcW w:w="743" w:type="dxa"/>
            <w:tcBorders>
              <w:bottom w:val="single" w:sz="4" w:space="0" w:color="auto"/>
            </w:tcBorders>
          </w:tcPr>
          <w:p w14:paraId="3D621093" w14:textId="77777777" w:rsidR="00C72559" w:rsidRPr="00B12232" w:rsidRDefault="00C72559" w:rsidP="00EF5E1D">
            <w:pPr>
              <w:pStyle w:val="SingleTxtG"/>
              <w:spacing w:before="20" w:after="20" w:line="240" w:lineRule="auto"/>
              <w:ind w:left="0" w:right="2"/>
              <w:jc w:val="center"/>
              <w:rPr>
                <w:b/>
                <w:bCs/>
                <w:sz w:val="16"/>
                <w:szCs w:val="16"/>
              </w:rPr>
            </w:pPr>
            <w:r w:rsidRPr="00B12232">
              <w:rPr>
                <w:b/>
                <w:bCs/>
                <w:sz w:val="16"/>
                <w:szCs w:val="16"/>
              </w:rPr>
              <w:t>(1)</w:t>
            </w:r>
          </w:p>
        </w:tc>
        <w:tc>
          <w:tcPr>
            <w:tcW w:w="746" w:type="dxa"/>
            <w:tcBorders>
              <w:bottom w:val="single" w:sz="4" w:space="0" w:color="auto"/>
            </w:tcBorders>
          </w:tcPr>
          <w:p w14:paraId="7622A03B" w14:textId="77777777" w:rsidR="00C72559" w:rsidRPr="00B12232" w:rsidRDefault="00C72559" w:rsidP="00EF5E1D">
            <w:pPr>
              <w:pStyle w:val="SingleTxtG"/>
              <w:spacing w:before="20" w:after="20" w:line="240" w:lineRule="auto"/>
              <w:ind w:left="0" w:right="0"/>
              <w:jc w:val="center"/>
              <w:rPr>
                <w:b/>
                <w:bCs/>
                <w:sz w:val="16"/>
                <w:szCs w:val="16"/>
              </w:rPr>
            </w:pPr>
            <w:r w:rsidRPr="00B12232">
              <w:rPr>
                <w:b/>
                <w:bCs/>
                <w:sz w:val="16"/>
                <w:szCs w:val="16"/>
              </w:rPr>
              <w:t>(2)</w:t>
            </w:r>
          </w:p>
        </w:tc>
        <w:tc>
          <w:tcPr>
            <w:tcW w:w="3468" w:type="dxa"/>
          </w:tcPr>
          <w:p w14:paraId="2969E68E" w14:textId="77777777" w:rsidR="00C72559" w:rsidRPr="00B12232" w:rsidRDefault="00C72559" w:rsidP="00EF5E1D">
            <w:pPr>
              <w:pStyle w:val="SingleTxtG"/>
              <w:spacing w:before="20" w:after="20" w:line="240" w:lineRule="auto"/>
              <w:ind w:left="0" w:right="0"/>
              <w:jc w:val="center"/>
              <w:rPr>
                <w:b/>
                <w:bCs/>
                <w:sz w:val="16"/>
                <w:szCs w:val="16"/>
              </w:rPr>
            </w:pPr>
            <w:r w:rsidRPr="00B12232">
              <w:rPr>
                <w:b/>
                <w:bCs/>
                <w:sz w:val="16"/>
                <w:szCs w:val="16"/>
              </w:rPr>
              <w:t>(3)</w:t>
            </w:r>
          </w:p>
        </w:tc>
        <w:tc>
          <w:tcPr>
            <w:tcW w:w="708" w:type="dxa"/>
          </w:tcPr>
          <w:p w14:paraId="5EBE9772" w14:textId="77777777" w:rsidR="00C72559" w:rsidRPr="00B12232" w:rsidRDefault="00C72559" w:rsidP="00EF5E1D">
            <w:pPr>
              <w:pStyle w:val="SingleTxtG"/>
              <w:spacing w:before="20" w:after="20" w:line="240" w:lineRule="auto"/>
              <w:ind w:left="0" w:right="5"/>
              <w:jc w:val="center"/>
              <w:rPr>
                <w:b/>
                <w:bCs/>
                <w:sz w:val="16"/>
                <w:szCs w:val="16"/>
              </w:rPr>
            </w:pPr>
            <w:r w:rsidRPr="00B12232">
              <w:rPr>
                <w:b/>
                <w:bCs/>
                <w:sz w:val="16"/>
                <w:szCs w:val="16"/>
              </w:rPr>
              <w:t>(4)</w:t>
            </w:r>
          </w:p>
        </w:tc>
        <w:tc>
          <w:tcPr>
            <w:tcW w:w="2410" w:type="dxa"/>
            <w:tcBorders>
              <w:bottom w:val="single" w:sz="4" w:space="0" w:color="auto"/>
            </w:tcBorders>
          </w:tcPr>
          <w:p w14:paraId="50C4E3A7" w14:textId="77777777" w:rsidR="00C72559" w:rsidRPr="00B12232" w:rsidRDefault="00C72559" w:rsidP="00EF5E1D">
            <w:pPr>
              <w:pStyle w:val="SingleTxtG"/>
              <w:spacing w:before="20" w:after="20" w:line="240" w:lineRule="auto"/>
              <w:ind w:left="0" w:right="0"/>
              <w:jc w:val="center"/>
              <w:rPr>
                <w:b/>
                <w:bCs/>
                <w:sz w:val="16"/>
                <w:szCs w:val="16"/>
              </w:rPr>
            </w:pPr>
            <w:r w:rsidRPr="00B12232">
              <w:rPr>
                <w:b/>
                <w:bCs/>
                <w:sz w:val="16"/>
                <w:szCs w:val="16"/>
              </w:rPr>
              <w:t>(5)</w:t>
            </w:r>
          </w:p>
        </w:tc>
      </w:tr>
      <w:tr w:rsidR="00C72559" w:rsidRPr="001A3982" w14:paraId="23C0D0AC" w14:textId="77777777" w:rsidTr="00EF5E1D">
        <w:tc>
          <w:tcPr>
            <w:tcW w:w="743" w:type="dxa"/>
            <w:tcBorders>
              <w:top w:val="nil"/>
              <w:right w:val="single" w:sz="4" w:space="0" w:color="auto"/>
            </w:tcBorders>
          </w:tcPr>
          <w:p w14:paraId="3C668FD8" w14:textId="77777777" w:rsidR="00C72559" w:rsidRPr="00B12232" w:rsidRDefault="00C72559" w:rsidP="00EF5E1D">
            <w:pPr>
              <w:pStyle w:val="SingleTxtG"/>
              <w:spacing w:before="20" w:after="20" w:line="240" w:lineRule="auto"/>
              <w:ind w:left="0"/>
              <w:rPr>
                <w:sz w:val="16"/>
                <w:szCs w:val="16"/>
              </w:rPr>
            </w:pPr>
          </w:p>
        </w:tc>
        <w:tc>
          <w:tcPr>
            <w:tcW w:w="746" w:type="dxa"/>
            <w:tcBorders>
              <w:top w:val="nil"/>
              <w:left w:val="single" w:sz="4" w:space="0" w:color="auto"/>
            </w:tcBorders>
          </w:tcPr>
          <w:p w14:paraId="45A92B9C" w14:textId="77777777" w:rsidR="00C72559" w:rsidRPr="00B12232" w:rsidRDefault="00C72559" w:rsidP="00EF5E1D">
            <w:pPr>
              <w:pStyle w:val="SingleTxtG"/>
              <w:spacing w:before="20" w:after="20" w:line="240" w:lineRule="auto"/>
              <w:ind w:left="0"/>
              <w:rPr>
                <w:sz w:val="16"/>
                <w:szCs w:val="16"/>
              </w:rPr>
            </w:pPr>
          </w:p>
        </w:tc>
        <w:tc>
          <w:tcPr>
            <w:tcW w:w="3468" w:type="dxa"/>
          </w:tcPr>
          <w:p w14:paraId="05FAC6DC" w14:textId="77777777" w:rsidR="00C72559" w:rsidRPr="004E4CE5" w:rsidRDefault="00C72559" w:rsidP="00EF5E1D">
            <w:pPr>
              <w:pStyle w:val="SingleTxtG"/>
              <w:spacing w:before="20" w:after="20" w:line="240" w:lineRule="auto"/>
              <w:ind w:left="0" w:right="139"/>
              <w:rPr>
                <w:sz w:val="18"/>
                <w:szCs w:val="18"/>
              </w:rPr>
            </w:pPr>
            <w:r w:rsidRPr="003638BB">
              <w:rPr>
                <w:rFonts w:asciiTheme="majorBidi" w:hAnsiTheme="majorBidi" w:cstheme="majorBidi"/>
                <w:sz w:val="18"/>
                <w:szCs w:val="18"/>
              </w:rPr>
              <w:t>Hazardous by contributing to global warming (chapter 4.2)</w:t>
            </w:r>
          </w:p>
        </w:tc>
        <w:tc>
          <w:tcPr>
            <w:tcW w:w="708" w:type="dxa"/>
          </w:tcPr>
          <w:p w14:paraId="00AB8878" w14:textId="77777777" w:rsidR="00C72559" w:rsidRPr="00AA6E20" w:rsidRDefault="00C72559" w:rsidP="00EF5E1D">
            <w:pPr>
              <w:pStyle w:val="SingleTxtG"/>
              <w:spacing w:before="20" w:after="20" w:line="240" w:lineRule="auto"/>
              <w:ind w:left="0" w:right="5"/>
              <w:jc w:val="center"/>
              <w:rPr>
                <w:sz w:val="18"/>
                <w:szCs w:val="18"/>
              </w:rPr>
            </w:pPr>
            <w:r>
              <w:rPr>
                <w:sz w:val="18"/>
                <w:szCs w:val="18"/>
              </w:rPr>
              <w:t>1</w:t>
            </w:r>
          </w:p>
        </w:tc>
        <w:tc>
          <w:tcPr>
            <w:tcW w:w="2410" w:type="dxa"/>
          </w:tcPr>
          <w:p w14:paraId="4F9F0CF4" w14:textId="77777777" w:rsidR="00C72559" w:rsidRPr="00CC0494" w:rsidRDefault="00C72559" w:rsidP="00EF5E1D">
            <w:pPr>
              <w:pStyle w:val="SingleTxtG"/>
              <w:spacing w:before="20" w:after="20" w:line="240" w:lineRule="auto"/>
              <w:ind w:left="0"/>
            </w:pPr>
          </w:p>
        </w:tc>
      </w:tr>
    </w:tbl>
    <w:p w14:paraId="280218DA" w14:textId="6F24287D" w:rsidR="00C72559" w:rsidRPr="00066374" w:rsidRDefault="001A7BA4" w:rsidP="000C53BA">
      <w:pPr>
        <w:pStyle w:val="H1G"/>
      </w:pPr>
      <w:r>
        <w:lastRenderedPageBreak/>
        <w:tab/>
      </w:r>
      <w:r>
        <w:tab/>
      </w:r>
      <w:r w:rsidR="00C72559" w:rsidRPr="00066374">
        <w:t xml:space="preserve">Proposed conforming changes to </w:t>
      </w:r>
      <w:r>
        <w:t>a</w:t>
      </w:r>
      <w:r w:rsidR="00C72559" w:rsidRPr="00066374">
        <w:t xml:space="preserve">nnex 3, </w:t>
      </w:r>
      <w:r>
        <w:t>s</w:t>
      </w:r>
      <w:r w:rsidR="00C72559" w:rsidRPr="00066374">
        <w:t>ection 3</w:t>
      </w:r>
    </w:p>
    <w:p w14:paraId="73802F52" w14:textId="08065B0A" w:rsidR="00C72559" w:rsidRDefault="00066374" w:rsidP="000C53BA">
      <w:pPr>
        <w:keepNext/>
        <w:keepLines/>
        <w:spacing w:after="120" w:line="240" w:lineRule="auto"/>
        <w:ind w:left="1134"/>
        <w:rPr>
          <w:noProof/>
        </w:rPr>
      </w:pPr>
      <w:r>
        <w:rPr>
          <w:noProof/>
        </w:rPr>
        <w:t>In the existing m</w:t>
      </w:r>
      <w:r w:rsidR="00C72559" w:rsidRPr="00916330">
        <w:rPr>
          <w:noProof/>
        </w:rPr>
        <w:t>atrix table for “</w:t>
      </w:r>
      <w:r w:rsidR="00C72559" w:rsidRPr="00916330">
        <w:t xml:space="preserve">Hazardous to </w:t>
      </w:r>
      <w:r w:rsidR="00C72559">
        <w:t>the ozone layer”</w:t>
      </w:r>
      <w:r w:rsidR="001A7BA4">
        <w:t xml:space="preserve">, amend the heading </w:t>
      </w:r>
      <w:r w:rsidR="00C72559">
        <w:t>to read as follows:</w:t>
      </w:r>
    </w:p>
    <w:p w14:paraId="17A44B9C" w14:textId="77777777" w:rsidR="00C72559" w:rsidRPr="00916330" w:rsidRDefault="00C72559" w:rsidP="000C53BA">
      <w:pPr>
        <w:keepNext/>
        <w:keepLines/>
        <w:spacing w:after="40" w:line="240" w:lineRule="auto"/>
        <w:ind w:left="578"/>
        <w:jc w:val="center"/>
        <w:rPr>
          <w:b/>
          <w:bCs/>
        </w:rPr>
      </w:pPr>
      <w:r w:rsidRPr="009957AB">
        <w:t>“</w:t>
      </w:r>
      <w:r w:rsidRPr="00916330">
        <w:rPr>
          <w:b/>
          <w:bCs/>
        </w:rPr>
        <w:t>HAZARDOUS TO THE ATMOSPHERIC SYSTEM</w:t>
      </w:r>
    </w:p>
    <w:p w14:paraId="14F56C07" w14:textId="77777777" w:rsidR="00C72559" w:rsidRPr="00916330" w:rsidRDefault="00C72559" w:rsidP="000C53BA">
      <w:pPr>
        <w:keepNext/>
        <w:keepLines/>
        <w:spacing w:after="40" w:line="240" w:lineRule="auto"/>
        <w:ind w:left="578"/>
        <w:jc w:val="center"/>
        <w:rPr>
          <w:b/>
          <w:bCs/>
        </w:rPr>
      </w:pPr>
      <w:r w:rsidRPr="00916330">
        <w:rPr>
          <w:b/>
          <w:bCs/>
        </w:rPr>
        <w:t>(CHAPTER 4.2)</w:t>
      </w:r>
    </w:p>
    <w:p w14:paraId="263DFF8B" w14:textId="77777777" w:rsidR="00C72559" w:rsidRPr="00916330" w:rsidRDefault="00C72559" w:rsidP="000C53BA">
      <w:pPr>
        <w:keepNext/>
        <w:keepLines/>
        <w:spacing w:after="120" w:line="240" w:lineRule="auto"/>
        <w:ind w:left="577"/>
        <w:jc w:val="center"/>
        <w:rPr>
          <w:b/>
          <w:bCs/>
        </w:rPr>
      </w:pPr>
      <w:r w:rsidRPr="00916330">
        <w:rPr>
          <w:b/>
          <w:bCs/>
        </w:rPr>
        <w:t xml:space="preserve">(Hazardous </w:t>
      </w:r>
      <w:r>
        <w:rPr>
          <w:b/>
          <w:bCs/>
        </w:rPr>
        <w:t>to the ozone layer</w:t>
      </w:r>
      <w:r w:rsidRPr="00916330">
        <w:rPr>
          <w:b/>
          <w:bCs/>
        </w:rPr>
        <w:t>)</w:t>
      </w:r>
      <w:r w:rsidRPr="009957AB">
        <w:t>”</w:t>
      </w:r>
    </w:p>
    <w:p w14:paraId="7F378EA8" w14:textId="2E602481" w:rsidR="00C72559" w:rsidRDefault="00C72559" w:rsidP="007B183B">
      <w:pPr>
        <w:keepNext/>
        <w:keepLines/>
        <w:spacing w:after="120" w:line="240" w:lineRule="auto"/>
        <w:ind w:left="1134"/>
        <w:rPr>
          <w:noProof/>
        </w:rPr>
      </w:pPr>
      <w:r>
        <w:rPr>
          <w:noProof/>
        </w:rPr>
        <w:t>I</w:t>
      </w:r>
      <w:r w:rsidRPr="00916330">
        <w:rPr>
          <w:noProof/>
        </w:rPr>
        <w:t xml:space="preserve">nsert a new matrix table for the </w:t>
      </w:r>
      <w:r>
        <w:rPr>
          <w:noProof/>
        </w:rPr>
        <w:t xml:space="preserve">new </w:t>
      </w:r>
      <w:r w:rsidRPr="00916330">
        <w:rPr>
          <w:noProof/>
        </w:rPr>
        <w:t xml:space="preserve">“Hazardous by </w:t>
      </w:r>
      <w:r w:rsidRPr="00C71B44">
        <w:rPr>
          <w:noProof/>
        </w:rPr>
        <w:t xml:space="preserve">contributing to global warming” hazard class, after the </w:t>
      </w:r>
      <w:r w:rsidR="000C53BA" w:rsidRPr="00C71B44">
        <w:rPr>
          <w:noProof/>
        </w:rPr>
        <w:t xml:space="preserve">renamed </w:t>
      </w:r>
      <w:r w:rsidRPr="00C71B44">
        <w:rPr>
          <w:noProof/>
        </w:rPr>
        <w:t>matrix table</w:t>
      </w:r>
      <w:r w:rsidR="000C53BA" w:rsidRPr="00C71B44">
        <w:rPr>
          <w:noProof/>
        </w:rPr>
        <w:t xml:space="preserve"> for </w:t>
      </w:r>
      <w:r w:rsidRPr="00C71B44">
        <w:rPr>
          <w:noProof/>
        </w:rPr>
        <w:t>“</w:t>
      </w:r>
      <w:r w:rsidR="000C53BA" w:rsidRPr="00C71B44">
        <w:rPr>
          <w:noProof/>
        </w:rPr>
        <w:t>Hazardous to the atmospheric system</w:t>
      </w:r>
      <w:r w:rsidR="00427F36" w:rsidRPr="00C71B44">
        <w:rPr>
          <w:noProof/>
        </w:rPr>
        <w:t xml:space="preserve"> (chapter 4.2)</w:t>
      </w:r>
      <w:r w:rsidR="000C53BA" w:rsidRPr="00C71B44">
        <w:rPr>
          <w:noProof/>
        </w:rPr>
        <w:t xml:space="preserve"> </w:t>
      </w:r>
      <w:r w:rsidR="00702C78" w:rsidRPr="00C71B44">
        <w:rPr>
          <w:noProof/>
        </w:rPr>
        <w:t>(</w:t>
      </w:r>
      <w:r w:rsidRPr="00C71B44">
        <w:rPr>
          <w:noProof/>
        </w:rPr>
        <w:t>Hazardous to the ozone layer</w:t>
      </w:r>
      <w:r w:rsidR="00427F36" w:rsidRPr="00C71B44">
        <w:rPr>
          <w:noProof/>
        </w:rPr>
        <w:t>)</w:t>
      </w:r>
      <w:r w:rsidRPr="00C71B44">
        <w:rPr>
          <w:noProof/>
        </w:rPr>
        <w:t>”, to read as follows:</w:t>
      </w:r>
    </w:p>
    <w:tbl>
      <w:tblPr>
        <w:tblW w:w="876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026"/>
        <w:gridCol w:w="958"/>
        <w:gridCol w:w="887"/>
        <w:gridCol w:w="1136"/>
        <w:gridCol w:w="568"/>
        <w:gridCol w:w="313"/>
        <w:gridCol w:w="2235"/>
      </w:tblGrid>
      <w:tr w:rsidR="00C72559" w:rsidRPr="006F03B3" w14:paraId="5CA35737" w14:textId="77777777" w:rsidTr="00EF5E1D">
        <w:tc>
          <w:tcPr>
            <w:tcW w:w="8764" w:type="dxa"/>
            <w:gridSpan w:val="8"/>
            <w:tcBorders>
              <w:top w:val="nil"/>
              <w:left w:val="nil"/>
              <w:bottom w:val="nil"/>
              <w:right w:val="nil"/>
            </w:tcBorders>
          </w:tcPr>
          <w:p w14:paraId="7BFC9C32" w14:textId="77777777" w:rsidR="00C72559" w:rsidRPr="00916330" w:rsidRDefault="00C72559" w:rsidP="00944133">
            <w:pPr>
              <w:keepNext/>
              <w:keepLines/>
              <w:spacing w:after="40" w:line="240" w:lineRule="auto"/>
              <w:ind w:left="578"/>
              <w:jc w:val="center"/>
              <w:rPr>
                <w:b/>
                <w:bCs/>
              </w:rPr>
            </w:pPr>
            <w:bookmarkStart w:id="13" w:name="_Hlk132623747"/>
            <w:r w:rsidRPr="006F03B3">
              <w:rPr>
                <w:sz w:val="16"/>
                <w:szCs w:val="16"/>
              </w:rPr>
              <w:br w:type="page"/>
            </w:r>
            <w:r w:rsidRPr="006F03B3">
              <w:rPr>
                <w:sz w:val="16"/>
                <w:szCs w:val="16"/>
              </w:rPr>
              <w:br w:type="page"/>
            </w:r>
            <w:r w:rsidRPr="006F03B3">
              <w:rPr>
                <w:sz w:val="16"/>
                <w:szCs w:val="16"/>
              </w:rPr>
              <w:br w:type="page"/>
            </w:r>
            <w:r w:rsidRPr="006F03B3">
              <w:rPr>
                <w:sz w:val="16"/>
                <w:szCs w:val="16"/>
              </w:rPr>
              <w:br w:type="page"/>
            </w:r>
            <w:r w:rsidRPr="006F03B3">
              <w:rPr>
                <w:sz w:val="16"/>
                <w:szCs w:val="16"/>
              </w:rPr>
              <w:br w:type="page"/>
            </w:r>
            <w:r w:rsidRPr="006F03B3">
              <w:rPr>
                <w:sz w:val="16"/>
                <w:szCs w:val="16"/>
              </w:rPr>
              <w:br w:type="page"/>
            </w:r>
            <w:r w:rsidRPr="006F03B3">
              <w:rPr>
                <w:sz w:val="16"/>
                <w:szCs w:val="16"/>
              </w:rPr>
              <w:br w:type="page"/>
            </w:r>
            <w:r w:rsidRPr="006F03B3">
              <w:rPr>
                <w:sz w:val="16"/>
                <w:szCs w:val="16"/>
              </w:rPr>
              <w:br w:type="page"/>
            </w:r>
            <w:r>
              <w:rPr>
                <w:sz w:val="16"/>
                <w:szCs w:val="16"/>
              </w:rPr>
              <w:t>“</w:t>
            </w:r>
            <w:r w:rsidRPr="00916330">
              <w:rPr>
                <w:b/>
                <w:bCs/>
              </w:rPr>
              <w:t>HAZARDOUS TO THE ATMOSPHERIC SYSTEM</w:t>
            </w:r>
          </w:p>
          <w:p w14:paraId="25011A1C" w14:textId="77777777" w:rsidR="00C72559" w:rsidRPr="00916330" w:rsidRDefault="00C72559" w:rsidP="00944133">
            <w:pPr>
              <w:keepNext/>
              <w:keepLines/>
              <w:spacing w:after="40" w:line="240" w:lineRule="auto"/>
              <w:ind w:left="578"/>
              <w:jc w:val="center"/>
              <w:rPr>
                <w:b/>
                <w:bCs/>
              </w:rPr>
            </w:pPr>
            <w:r w:rsidRPr="00916330">
              <w:rPr>
                <w:b/>
                <w:bCs/>
              </w:rPr>
              <w:t>(CHAPTER 4.2)</w:t>
            </w:r>
          </w:p>
          <w:p w14:paraId="36536609" w14:textId="77777777" w:rsidR="00C72559" w:rsidRPr="00916330" w:rsidRDefault="00C72559" w:rsidP="00944133">
            <w:pPr>
              <w:keepNext/>
              <w:keepLines/>
              <w:spacing w:after="120" w:line="240" w:lineRule="auto"/>
              <w:ind w:left="577"/>
              <w:jc w:val="center"/>
              <w:rPr>
                <w:b/>
                <w:bCs/>
              </w:rPr>
            </w:pPr>
            <w:r w:rsidRPr="00916330">
              <w:rPr>
                <w:b/>
                <w:bCs/>
              </w:rPr>
              <w:t>(Hazardous by contributing to global warming)</w:t>
            </w:r>
          </w:p>
          <w:p w14:paraId="387E3426" w14:textId="77777777" w:rsidR="00C72559" w:rsidRPr="006F03B3" w:rsidRDefault="00C72559" w:rsidP="00944133">
            <w:pPr>
              <w:pStyle w:val="Heading2"/>
              <w:keepNext/>
              <w:keepLines/>
              <w:spacing w:before="60"/>
              <w:ind w:firstLine="34"/>
              <w:jc w:val="center"/>
              <w:rPr>
                <w:i/>
                <w:sz w:val="16"/>
                <w:szCs w:val="16"/>
              </w:rPr>
            </w:pPr>
          </w:p>
        </w:tc>
      </w:tr>
      <w:tr w:rsidR="00C72559" w:rsidRPr="006F03B3" w14:paraId="2AE09647" w14:textId="77777777" w:rsidTr="00EF5E1D">
        <w:tc>
          <w:tcPr>
            <w:tcW w:w="1641" w:type="dxa"/>
            <w:tcBorders>
              <w:top w:val="nil"/>
              <w:left w:val="nil"/>
              <w:bottom w:val="nil"/>
              <w:right w:val="nil"/>
            </w:tcBorders>
          </w:tcPr>
          <w:p w14:paraId="0155C8C7" w14:textId="77777777" w:rsidR="00C72559" w:rsidRPr="006F03B3" w:rsidRDefault="00C72559" w:rsidP="00944133">
            <w:pPr>
              <w:keepNext/>
              <w:keepLines/>
              <w:spacing w:before="40" w:after="40"/>
              <w:rPr>
                <w:b/>
                <w:bCs/>
                <w:sz w:val="16"/>
                <w:szCs w:val="16"/>
              </w:rPr>
            </w:pPr>
            <w:r w:rsidRPr="006F03B3">
              <w:rPr>
                <w:b/>
                <w:bCs/>
                <w:sz w:val="16"/>
                <w:szCs w:val="16"/>
              </w:rPr>
              <w:t>Hazard category</w:t>
            </w:r>
          </w:p>
        </w:tc>
        <w:tc>
          <w:tcPr>
            <w:tcW w:w="1984" w:type="dxa"/>
            <w:gridSpan w:val="2"/>
            <w:tcBorders>
              <w:top w:val="nil"/>
              <w:left w:val="nil"/>
              <w:bottom w:val="nil"/>
              <w:right w:val="nil"/>
            </w:tcBorders>
          </w:tcPr>
          <w:p w14:paraId="53042E11" w14:textId="77777777" w:rsidR="00C72559" w:rsidRPr="006F03B3" w:rsidRDefault="00C72559" w:rsidP="00944133">
            <w:pPr>
              <w:keepNext/>
              <w:keepLines/>
              <w:spacing w:before="40" w:after="40"/>
              <w:rPr>
                <w:b/>
                <w:bCs/>
                <w:sz w:val="16"/>
                <w:szCs w:val="16"/>
              </w:rPr>
            </w:pPr>
            <w:r w:rsidRPr="006F03B3">
              <w:rPr>
                <w:b/>
                <w:bCs/>
                <w:sz w:val="16"/>
                <w:szCs w:val="16"/>
              </w:rPr>
              <w:t>Symbol</w:t>
            </w:r>
          </w:p>
        </w:tc>
        <w:tc>
          <w:tcPr>
            <w:tcW w:w="887" w:type="dxa"/>
            <w:vMerge w:val="restart"/>
            <w:tcBorders>
              <w:top w:val="nil"/>
              <w:left w:val="nil"/>
              <w:right w:val="nil"/>
            </w:tcBorders>
          </w:tcPr>
          <w:p w14:paraId="62682FB8" w14:textId="77777777" w:rsidR="00C72559" w:rsidRPr="006F03B3" w:rsidRDefault="00C72559" w:rsidP="00944133">
            <w:pPr>
              <w:keepNext/>
              <w:keepLines/>
              <w:spacing w:before="40" w:after="40"/>
              <w:ind w:right="317"/>
              <w:rPr>
                <w:b/>
                <w:bCs/>
                <w:sz w:val="16"/>
                <w:szCs w:val="16"/>
              </w:rPr>
            </w:pPr>
            <w:r w:rsidRPr="00402D4B">
              <w:rPr>
                <w:noProof/>
                <w:sz w:val="18"/>
                <w:szCs w:val="18"/>
              </w:rPr>
              <w:drawing>
                <wp:inline distT="0" distB="0" distL="0" distR="0" wp14:anchorId="5507FBAA" wp14:editId="2E4E872B">
                  <wp:extent cx="215661" cy="301925"/>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078" cy="303908"/>
                          </a:xfrm>
                          <a:prstGeom prst="rect">
                            <a:avLst/>
                          </a:prstGeom>
                          <a:noFill/>
                          <a:ln>
                            <a:noFill/>
                          </a:ln>
                        </pic:spPr>
                      </pic:pic>
                    </a:graphicData>
                  </a:graphic>
                </wp:inline>
              </w:drawing>
            </w:r>
          </w:p>
        </w:tc>
        <w:tc>
          <w:tcPr>
            <w:tcW w:w="1136" w:type="dxa"/>
            <w:tcBorders>
              <w:top w:val="nil"/>
              <w:left w:val="nil"/>
              <w:bottom w:val="nil"/>
              <w:right w:val="nil"/>
            </w:tcBorders>
          </w:tcPr>
          <w:p w14:paraId="51FBA093" w14:textId="77777777" w:rsidR="00C72559" w:rsidRPr="006F03B3" w:rsidRDefault="00C72559" w:rsidP="00944133">
            <w:pPr>
              <w:keepNext/>
              <w:keepLines/>
              <w:spacing w:before="40" w:after="40"/>
              <w:rPr>
                <w:b/>
                <w:bCs/>
                <w:sz w:val="16"/>
                <w:szCs w:val="16"/>
              </w:rPr>
            </w:pPr>
            <w:r w:rsidRPr="006F03B3">
              <w:rPr>
                <w:b/>
                <w:bCs/>
                <w:sz w:val="16"/>
                <w:szCs w:val="16"/>
              </w:rPr>
              <w:t>Signal word</w:t>
            </w:r>
          </w:p>
        </w:tc>
        <w:tc>
          <w:tcPr>
            <w:tcW w:w="3116" w:type="dxa"/>
            <w:gridSpan w:val="3"/>
            <w:tcBorders>
              <w:top w:val="nil"/>
              <w:left w:val="nil"/>
              <w:bottom w:val="nil"/>
              <w:right w:val="nil"/>
            </w:tcBorders>
          </w:tcPr>
          <w:p w14:paraId="3D4C1579" w14:textId="77777777" w:rsidR="00C72559" w:rsidRPr="006F03B3" w:rsidRDefault="00C72559" w:rsidP="00944133">
            <w:pPr>
              <w:keepNext/>
              <w:keepLines/>
              <w:spacing w:before="40" w:after="40"/>
              <w:ind w:right="252"/>
              <w:rPr>
                <w:b/>
                <w:bCs/>
                <w:sz w:val="16"/>
                <w:szCs w:val="16"/>
              </w:rPr>
            </w:pPr>
            <w:r w:rsidRPr="006F03B3">
              <w:rPr>
                <w:b/>
                <w:bCs/>
                <w:sz w:val="16"/>
                <w:szCs w:val="16"/>
              </w:rPr>
              <w:t>Hazard statement</w:t>
            </w:r>
          </w:p>
        </w:tc>
      </w:tr>
      <w:tr w:rsidR="00C72559" w:rsidRPr="006F03B3" w14:paraId="3E6C39D5" w14:textId="77777777" w:rsidTr="00EF5E1D">
        <w:tc>
          <w:tcPr>
            <w:tcW w:w="1641" w:type="dxa"/>
            <w:tcBorders>
              <w:top w:val="nil"/>
              <w:left w:val="nil"/>
              <w:bottom w:val="nil"/>
              <w:right w:val="nil"/>
            </w:tcBorders>
          </w:tcPr>
          <w:p w14:paraId="04F1FB09" w14:textId="77777777" w:rsidR="00C72559" w:rsidRPr="006F03B3" w:rsidRDefault="00C72559" w:rsidP="00EF5E1D">
            <w:pPr>
              <w:spacing w:before="40" w:after="40"/>
              <w:rPr>
                <w:sz w:val="16"/>
                <w:szCs w:val="16"/>
              </w:rPr>
            </w:pPr>
            <w:r w:rsidRPr="006F03B3">
              <w:rPr>
                <w:sz w:val="16"/>
                <w:szCs w:val="16"/>
              </w:rPr>
              <w:t>1</w:t>
            </w:r>
          </w:p>
        </w:tc>
        <w:tc>
          <w:tcPr>
            <w:tcW w:w="1984" w:type="dxa"/>
            <w:gridSpan w:val="2"/>
            <w:tcBorders>
              <w:top w:val="nil"/>
              <w:left w:val="nil"/>
              <w:bottom w:val="nil"/>
              <w:right w:val="nil"/>
            </w:tcBorders>
          </w:tcPr>
          <w:p w14:paraId="5238488F" w14:textId="77777777" w:rsidR="00C72559" w:rsidRPr="003638BB" w:rsidRDefault="00C72559" w:rsidP="00EF5E1D">
            <w:pPr>
              <w:spacing w:before="40" w:after="40"/>
              <w:rPr>
                <w:sz w:val="18"/>
                <w:szCs w:val="18"/>
              </w:rPr>
            </w:pPr>
            <w:r w:rsidRPr="003638BB">
              <w:rPr>
                <w:sz w:val="18"/>
                <w:szCs w:val="18"/>
              </w:rPr>
              <w:t>Exclamation mark</w:t>
            </w:r>
          </w:p>
        </w:tc>
        <w:tc>
          <w:tcPr>
            <w:tcW w:w="887" w:type="dxa"/>
            <w:vMerge/>
            <w:tcBorders>
              <w:left w:val="nil"/>
              <w:right w:val="nil"/>
            </w:tcBorders>
            <w:vAlign w:val="center"/>
          </w:tcPr>
          <w:p w14:paraId="544469F1" w14:textId="77777777" w:rsidR="00C72559" w:rsidRPr="006F03B3" w:rsidRDefault="00C72559" w:rsidP="00EF5E1D">
            <w:pPr>
              <w:spacing w:before="40" w:after="40"/>
              <w:rPr>
                <w:sz w:val="16"/>
                <w:szCs w:val="16"/>
              </w:rPr>
            </w:pPr>
          </w:p>
        </w:tc>
        <w:tc>
          <w:tcPr>
            <w:tcW w:w="1136" w:type="dxa"/>
            <w:tcBorders>
              <w:top w:val="nil"/>
              <w:left w:val="nil"/>
              <w:bottom w:val="nil"/>
              <w:right w:val="nil"/>
            </w:tcBorders>
          </w:tcPr>
          <w:p w14:paraId="5FA13424" w14:textId="77777777" w:rsidR="00C72559" w:rsidRPr="006F03B3" w:rsidRDefault="00C72559" w:rsidP="00EF5E1D">
            <w:pPr>
              <w:spacing w:before="40" w:after="40"/>
              <w:rPr>
                <w:sz w:val="16"/>
                <w:szCs w:val="16"/>
              </w:rPr>
            </w:pPr>
            <w:r>
              <w:rPr>
                <w:sz w:val="16"/>
                <w:szCs w:val="16"/>
              </w:rPr>
              <w:t>Warning</w:t>
            </w:r>
          </w:p>
        </w:tc>
        <w:tc>
          <w:tcPr>
            <w:tcW w:w="568" w:type="dxa"/>
            <w:tcBorders>
              <w:top w:val="nil"/>
              <w:left w:val="nil"/>
              <w:bottom w:val="nil"/>
              <w:right w:val="nil"/>
            </w:tcBorders>
          </w:tcPr>
          <w:p w14:paraId="465A3101" w14:textId="77777777" w:rsidR="00C72559" w:rsidRPr="006F03B3" w:rsidRDefault="00C72559" w:rsidP="00EF5E1D">
            <w:pPr>
              <w:spacing w:before="40" w:after="40"/>
              <w:ind w:right="-112"/>
              <w:rPr>
                <w:sz w:val="16"/>
                <w:szCs w:val="16"/>
              </w:rPr>
            </w:pPr>
            <w:r w:rsidRPr="006F03B3">
              <w:rPr>
                <w:sz w:val="16"/>
                <w:szCs w:val="16"/>
              </w:rPr>
              <w:t>H</w:t>
            </w:r>
            <w:r>
              <w:rPr>
                <w:sz w:val="16"/>
                <w:szCs w:val="16"/>
              </w:rPr>
              <w:t>421</w:t>
            </w:r>
          </w:p>
        </w:tc>
        <w:tc>
          <w:tcPr>
            <w:tcW w:w="2548" w:type="dxa"/>
            <w:gridSpan w:val="2"/>
            <w:tcBorders>
              <w:top w:val="nil"/>
              <w:left w:val="nil"/>
              <w:bottom w:val="nil"/>
              <w:right w:val="nil"/>
            </w:tcBorders>
          </w:tcPr>
          <w:p w14:paraId="0D16CABC" w14:textId="77777777" w:rsidR="00C72559" w:rsidRPr="003638BB" w:rsidRDefault="00C72559" w:rsidP="00EF5E1D">
            <w:pPr>
              <w:spacing w:before="40" w:after="40"/>
              <w:ind w:left="177"/>
              <w:rPr>
                <w:sz w:val="18"/>
                <w:szCs w:val="18"/>
              </w:rPr>
            </w:pPr>
            <w:r w:rsidRPr="003638BB">
              <w:rPr>
                <w:sz w:val="18"/>
                <w:szCs w:val="18"/>
                <w:lang w:val="en-US"/>
              </w:rPr>
              <w:t>Harms public health and the environment by contributing to global warming</w:t>
            </w:r>
          </w:p>
        </w:tc>
      </w:tr>
      <w:tr w:rsidR="00C72559" w:rsidRPr="006F03B3" w14:paraId="0CF586EE" w14:textId="77777777" w:rsidTr="00EF5E1D">
        <w:tc>
          <w:tcPr>
            <w:tcW w:w="8764" w:type="dxa"/>
            <w:gridSpan w:val="8"/>
          </w:tcPr>
          <w:p w14:paraId="58F3684F" w14:textId="77777777" w:rsidR="00C72559" w:rsidRPr="006F03B3" w:rsidRDefault="00C72559" w:rsidP="00EF5E1D">
            <w:pPr>
              <w:pStyle w:val="Heading7"/>
              <w:shd w:val="solid" w:color="FFFFFF" w:fill="FFFFFF"/>
              <w:spacing w:before="60"/>
              <w:ind w:left="-102"/>
              <w:jc w:val="center"/>
              <w:rPr>
                <w:b/>
                <w:bCs/>
                <w:sz w:val="16"/>
                <w:szCs w:val="16"/>
                <w:lang w:eastAsia="en-US"/>
              </w:rPr>
            </w:pPr>
            <w:r w:rsidRPr="006F03B3">
              <w:rPr>
                <w:b/>
                <w:bCs/>
                <w:sz w:val="16"/>
                <w:szCs w:val="16"/>
                <w:lang w:eastAsia="en-US"/>
              </w:rPr>
              <w:t>Precautionary statements</w:t>
            </w:r>
          </w:p>
        </w:tc>
      </w:tr>
      <w:tr w:rsidR="00C72559" w:rsidRPr="006F03B3" w14:paraId="65A012CC" w14:textId="77777777" w:rsidTr="00EF5E1D">
        <w:tc>
          <w:tcPr>
            <w:tcW w:w="2667" w:type="dxa"/>
            <w:gridSpan w:val="2"/>
          </w:tcPr>
          <w:p w14:paraId="4245FEF9" w14:textId="77777777" w:rsidR="00C72559" w:rsidRPr="006F03B3" w:rsidRDefault="00C72559" w:rsidP="00EF5E1D">
            <w:pPr>
              <w:spacing w:before="60" w:after="60"/>
              <w:jc w:val="center"/>
              <w:rPr>
                <w:b/>
                <w:bCs/>
                <w:sz w:val="16"/>
                <w:szCs w:val="16"/>
              </w:rPr>
            </w:pPr>
            <w:r w:rsidRPr="006F03B3">
              <w:rPr>
                <w:b/>
                <w:bCs/>
                <w:sz w:val="16"/>
                <w:szCs w:val="16"/>
              </w:rPr>
              <w:t>Prevention</w:t>
            </w:r>
          </w:p>
        </w:tc>
        <w:tc>
          <w:tcPr>
            <w:tcW w:w="2981" w:type="dxa"/>
            <w:gridSpan w:val="3"/>
          </w:tcPr>
          <w:p w14:paraId="12537E3C" w14:textId="77777777" w:rsidR="00C72559" w:rsidRPr="006F03B3" w:rsidRDefault="00C72559" w:rsidP="00EF5E1D">
            <w:pPr>
              <w:spacing w:before="60" w:after="60"/>
              <w:jc w:val="center"/>
              <w:rPr>
                <w:b/>
                <w:bCs/>
                <w:sz w:val="16"/>
                <w:szCs w:val="16"/>
              </w:rPr>
            </w:pPr>
            <w:r w:rsidRPr="006F03B3">
              <w:rPr>
                <w:b/>
                <w:bCs/>
                <w:sz w:val="16"/>
                <w:szCs w:val="16"/>
              </w:rPr>
              <w:t>Response</w:t>
            </w:r>
          </w:p>
        </w:tc>
        <w:tc>
          <w:tcPr>
            <w:tcW w:w="881" w:type="dxa"/>
            <w:gridSpan w:val="2"/>
          </w:tcPr>
          <w:p w14:paraId="281E8D3A" w14:textId="77777777" w:rsidR="00C72559" w:rsidRPr="006F03B3" w:rsidRDefault="00C72559" w:rsidP="00EF5E1D">
            <w:pPr>
              <w:spacing w:before="60" w:after="60"/>
              <w:jc w:val="center"/>
              <w:rPr>
                <w:b/>
                <w:bCs/>
                <w:sz w:val="16"/>
                <w:szCs w:val="16"/>
              </w:rPr>
            </w:pPr>
            <w:r w:rsidRPr="006F03B3">
              <w:rPr>
                <w:b/>
                <w:bCs/>
                <w:sz w:val="16"/>
                <w:szCs w:val="16"/>
              </w:rPr>
              <w:t>Storage</w:t>
            </w:r>
          </w:p>
        </w:tc>
        <w:tc>
          <w:tcPr>
            <w:tcW w:w="2235" w:type="dxa"/>
          </w:tcPr>
          <w:p w14:paraId="371CC436" w14:textId="77777777" w:rsidR="00C72559" w:rsidRPr="006F03B3" w:rsidRDefault="00C72559" w:rsidP="00EF5E1D">
            <w:pPr>
              <w:spacing w:before="60" w:after="60"/>
              <w:jc w:val="center"/>
              <w:rPr>
                <w:b/>
                <w:bCs/>
                <w:sz w:val="16"/>
                <w:szCs w:val="16"/>
              </w:rPr>
            </w:pPr>
            <w:r w:rsidRPr="006F03B3">
              <w:rPr>
                <w:b/>
                <w:bCs/>
                <w:sz w:val="16"/>
                <w:szCs w:val="16"/>
              </w:rPr>
              <w:t>Disposal</w:t>
            </w:r>
          </w:p>
        </w:tc>
      </w:tr>
      <w:tr w:rsidR="00C72559" w:rsidRPr="006F03B3" w14:paraId="4D2F7A9E" w14:textId="77777777" w:rsidTr="00EF5E1D">
        <w:tc>
          <w:tcPr>
            <w:tcW w:w="2667" w:type="dxa"/>
            <w:gridSpan w:val="2"/>
          </w:tcPr>
          <w:p w14:paraId="48FE0B61" w14:textId="77777777" w:rsidR="00C72559" w:rsidRPr="006F03B3" w:rsidRDefault="00C72559" w:rsidP="00EF5E1D">
            <w:pPr>
              <w:tabs>
                <w:tab w:val="left" w:pos="459"/>
              </w:tabs>
              <w:spacing w:before="20" w:after="160"/>
              <w:rPr>
                <w:sz w:val="16"/>
                <w:szCs w:val="16"/>
              </w:rPr>
            </w:pPr>
          </w:p>
        </w:tc>
        <w:tc>
          <w:tcPr>
            <w:tcW w:w="2981" w:type="dxa"/>
            <w:gridSpan w:val="3"/>
          </w:tcPr>
          <w:p w14:paraId="550757F6" w14:textId="77777777" w:rsidR="00C72559" w:rsidRPr="006F03B3" w:rsidRDefault="00C72559" w:rsidP="00EF5E1D">
            <w:pPr>
              <w:pStyle w:val="BalloonText"/>
              <w:spacing w:before="20" w:after="160"/>
              <w:rPr>
                <w:rFonts w:ascii="Times New Roman" w:hAnsi="Times New Roman" w:cs="Times New Roman"/>
                <w:b/>
              </w:rPr>
            </w:pPr>
          </w:p>
        </w:tc>
        <w:tc>
          <w:tcPr>
            <w:tcW w:w="881" w:type="dxa"/>
            <w:gridSpan w:val="2"/>
          </w:tcPr>
          <w:p w14:paraId="15C65C66" w14:textId="77777777" w:rsidR="00C72559" w:rsidRPr="006F03B3" w:rsidRDefault="00C72559" w:rsidP="00EF5E1D">
            <w:pPr>
              <w:spacing w:before="20" w:after="160"/>
              <w:rPr>
                <w:sz w:val="16"/>
                <w:szCs w:val="16"/>
              </w:rPr>
            </w:pPr>
          </w:p>
        </w:tc>
        <w:tc>
          <w:tcPr>
            <w:tcW w:w="2235" w:type="dxa"/>
          </w:tcPr>
          <w:p w14:paraId="75D37B56" w14:textId="43C7E8E6" w:rsidR="00C72559" w:rsidRPr="003638BB" w:rsidRDefault="00066374" w:rsidP="00EF5E1D">
            <w:pPr>
              <w:spacing w:before="20" w:after="160"/>
              <w:rPr>
                <w:sz w:val="18"/>
                <w:szCs w:val="18"/>
              </w:rPr>
            </w:pPr>
            <w:r>
              <w:rPr>
                <w:bCs/>
                <w:sz w:val="18"/>
                <w:szCs w:val="18"/>
              </w:rPr>
              <w:t>P</w:t>
            </w:r>
            <w:r w:rsidR="00C72559" w:rsidRPr="003638BB">
              <w:rPr>
                <w:bCs/>
                <w:sz w:val="18"/>
                <w:szCs w:val="18"/>
              </w:rPr>
              <w:t>502</w:t>
            </w:r>
            <w:r w:rsidR="00C72559" w:rsidRPr="004E4CE5">
              <w:rPr>
                <w:b/>
                <w:sz w:val="18"/>
                <w:szCs w:val="18"/>
              </w:rPr>
              <w:br/>
            </w:r>
            <w:r w:rsidR="00C72559" w:rsidRPr="003638BB">
              <w:rPr>
                <w:b/>
                <w:bCs/>
                <w:sz w:val="18"/>
                <w:szCs w:val="18"/>
                <w:lang w:eastAsia="en-CA"/>
              </w:rPr>
              <w:t>Refer to manufacturer or supplier for information on recovery or recycling.</w:t>
            </w:r>
          </w:p>
        </w:tc>
      </w:tr>
    </w:tbl>
    <w:bookmarkEnd w:id="13"/>
    <w:p w14:paraId="317FDA4A" w14:textId="77777777" w:rsidR="00C72559" w:rsidRDefault="00C72559" w:rsidP="00C72559">
      <w:pPr>
        <w:spacing w:after="120" w:line="240" w:lineRule="auto"/>
        <w:ind w:left="1418" w:right="425"/>
        <w:jc w:val="right"/>
        <w:rPr>
          <w:noProof/>
        </w:rPr>
      </w:pPr>
      <w:r>
        <w:rPr>
          <w:noProof/>
        </w:rPr>
        <w:t>”</w:t>
      </w:r>
    </w:p>
    <w:p w14:paraId="10E60906" w14:textId="69C57065" w:rsidR="00C72559" w:rsidRPr="00C72559" w:rsidRDefault="00C72559" w:rsidP="00C72559">
      <w:pPr>
        <w:spacing w:before="240"/>
        <w:jc w:val="center"/>
        <w:rPr>
          <w:noProof/>
          <w:u w:val="single"/>
        </w:rPr>
      </w:pPr>
      <w:r>
        <w:rPr>
          <w:noProof/>
          <w:u w:val="single"/>
        </w:rPr>
        <w:tab/>
      </w:r>
      <w:r>
        <w:rPr>
          <w:noProof/>
          <w:u w:val="single"/>
        </w:rPr>
        <w:tab/>
      </w:r>
      <w:r>
        <w:rPr>
          <w:noProof/>
          <w:u w:val="single"/>
        </w:rPr>
        <w:tab/>
      </w:r>
    </w:p>
    <w:p w14:paraId="09AC3E58" w14:textId="77777777" w:rsidR="00AF5DE1" w:rsidRPr="00223DDC" w:rsidRDefault="00AF5DE1" w:rsidP="004858F5"/>
    <w:sectPr w:rsidR="00AF5DE1" w:rsidRPr="00223DDC" w:rsidSect="00223DDC">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4D6B" w14:textId="77777777" w:rsidR="0045624C" w:rsidRPr="00C47B2E" w:rsidRDefault="0045624C" w:rsidP="00C47B2E">
      <w:pPr>
        <w:pStyle w:val="Footer"/>
      </w:pPr>
    </w:p>
  </w:endnote>
  <w:endnote w:type="continuationSeparator" w:id="0">
    <w:p w14:paraId="22CD13A7" w14:textId="77777777" w:rsidR="0045624C" w:rsidRPr="00C47B2E" w:rsidRDefault="0045624C" w:rsidP="00C47B2E">
      <w:pPr>
        <w:pStyle w:val="Footer"/>
      </w:pPr>
    </w:p>
  </w:endnote>
  <w:endnote w:type="continuationNotice" w:id="1">
    <w:p w14:paraId="78F21429" w14:textId="77777777" w:rsidR="0045624C" w:rsidRPr="00C47B2E" w:rsidRDefault="0045624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625E" w14:textId="6D13E438" w:rsidR="00D94B05" w:rsidRPr="00223DDC" w:rsidRDefault="00223DDC" w:rsidP="00223DDC">
    <w:pPr>
      <w:pStyle w:val="Footer"/>
      <w:tabs>
        <w:tab w:val="right" w:pos="9598"/>
        <w:tab w:val="right" w:pos="9638"/>
      </w:tabs>
      <w:rPr>
        <w:sz w:val="18"/>
      </w:rPr>
    </w:pPr>
    <w:r w:rsidRPr="00223DDC">
      <w:rPr>
        <w:b/>
        <w:sz w:val="18"/>
      </w:rPr>
      <w:fldChar w:fldCharType="begin"/>
    </w:r>
    <w:r w:rsidRPr="00223DDC">
      <w:rPr>
        <w:b/>
        <w:sz w:val="18"/>
      </w:rPr>
      <w:instrText xml:space="preserve"> PAGE  \* MERGEFORMAT </w:instrText>
    </w:r>
    <w:r w:rsidRPr="00223DDC">
      <w:rPr>
        <w:b/>
        <w:sz w:val="18"/>
      </w:rPr>
      <w:fldChar w:fldCharType="separate"/>
    </w:r>
    <w:r w:rsidRPr="00223DDC">
      <w:rPr>
        <w:b/>
        <w:noProof/>
        <w:sz w:val="18"/>
      </w:rPr>
      <w:t>2</w:t>
    </w:r>
    <w:r w:rsidRPr="00223D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A9E" w14:textId="1781B341" w:rsidR="00D94B05" w:rsidRPr="0014560A" w:rsidRDefault="00223DDC" w:rsidP="00944133">
    <w:pPr>
      <w:pStyle w:val="Footer"/>
      <w:tabs>
        <w:tab w:val="left" w:pos="5775"/>
        <w:tab w:val="right" w:pos="9598"/>
        <w:tab w:val="right" w:pos="9638"/>
      </w:tabs>
      <w:jc w:val="right"/>
      <w:rPr>
        <w:b/>
        <w:bCs/>
        <w:sz w:val="18"/>
      </w:rPr>
    </w:pPr>
    <w:r>
      <w:rPr>
        <w:b/>
        <w:sz w:val="18"/>
      </w:rPr>
      <w:tab/>
    </w:r>
    <w:r w:rsidRPr="00944133">
      <w:rPr>
        <w:b/>
        <w:bCs/>
        <w:sz w:val="18"/>
      </w:rPr>
      <w:fldChar w:fldCharType="begin"/>
    </w:r>
    <w:r w:rsidRPr="00944133">
      <w:rPr>
        <w:b/>
        <w:bCs/>
        <w:sz w:val="18"/>
      </w:rPr>
      <w:instrText xml:space="preserve"> PAGE  \* MERGEFORMAT </w:instrText>
    </w:r>
    <w:r w:rsidRPr="00944133">
      <w:rPr>
        <w:b/>
        <w:bCs/>
        <w:sz w:val="18"/>
      </w:rPr>
      <w:fldChar w:fldCharType="separate"/>
    </w:r>
    <w:r w:rsidRPr="00944133">
      <w:rPr>
        <w:b/>
        <w:bCs/>
        <w:noProof/>
        <w:sz w:val="18"/>
      </w:rPr>
      <w:t>3</w:t>
    </w:r>
    <w:r w:rsidRPr="009441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17F" w14:textId="5E8E7AAC" w:rsidR="000C39D4" w:rsidRDefault="000C39D4" w:rsidP="000C39D4">
    <w:pPr>
      <w:pStyle w:val="Footer"/>
    </w:pPr>
    <w:r w:rsidRPr="0027112F">
      <w:rPr>
        <w:noProof/>
        <w:lang w:val="en-US"/>
      </w:rPr>
      <w:drawing>
        <wp:anchor distT="0" distB="0" distL="114300" distR="114300" simplePos="0" relativeHeight="251659264" behindDoc="0" locked="1" layoutInCell="1" allowOverlap="1" wp14:anchorId="72895523" wp14:editId="199404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05129F" w14:textId="3B534DDF" w:rsidR="000C39D4" w:rsidRPr="000C39D4" w:rsidRDefault="000C39D4" w:rsidP="000C39D4">
    <w:pPr>
      <w:pStyle w:val="Footer"/>
      <w:ind w:right="1134"/>
      <w:rPr>
        <w:sz w:val="20"/>
      </w:rPr>
    </w:pPr>
    <w:r>
      <w:rPr>
        <w:sz w:val="20"/>
      </w:rPr>
      <w:t>GE.23-07731(E)</w:t>
    </w:r>
    <w:r>
      <w:rPr>
        <w:noProof/>
        <w:sz w:val="20"/>
      </w:rPr>
      <w:drawing>
        <wp:anchor distT="0" distB="0" distL="114300" distR="114300" simplePos="0" relativeHeight="251660288" behindDoc="0" locked="0" layoutInCell="1" allowOverlap="1" wp14:anchorId="1540A4ED" wp14:editId="00B84825">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0374" w14:textId="77777777" w:rsidR="0045624C" w:rsidRPr="00C47B2E" w:rsidRDefault="0045624C" w:rsidP="00C47B2E">
      <w:pPr>
        <w:tabs>
          <w:tab w:val="right" w:pos="2155"/>
        </w:tabs>
        <w:spacing w:after="80" w:line="240" w:lineRule="auto"/>
        <w:ind w:left="680"/>
      </w:pPr>
      <w:r>
        <w:rPr>
          <w:u w:val="single"/>
        </w:rPr>
        <w:tab/>
      </w:r>
    </w:p>
  </w:footnote>
  <w:footnote w:type="continuationSeparator" w:id="0">
    <w:p w14:paraId="70832320" w14:textId="77777777" w:rsidR="0045624C" w:rsidRPr="00C47B2E" w:rsidRDefault="0045624C" w:rsidP="005E716E">
      <w:pPr>
        <w:tabs>
          <w:tab w:val="right" w:pos="2155"/>
        </w:tabs>
        <w:spacing w:after="80" w:line="240" w:lineRule="auto"/>
        <w:ind w:left="680"/>
      </w:pPr>
      <w:r>
        <w:rPr>
          <w:u w:val="single"/>
        </w:rPr>
        <w:tab/>
      </w:r>
    </w:p>
  </w:footnote>
  <w:footnote w:type="continuationNotice" w:id="1">
    <w:p w14:paraId="593C94A4" w14:textId="77777777" w:rsidR="0045624C" w:rsidRPr="00C47B2E" w:rsidRDefault="0045624C" w:rsidP="00C47B2E">
      <w:pPr>
        <w:pStyle w:val="Footer"/>
      </w:pPr>
    </w:p>
  </w:footnote>
  <w:footnote w:id="2">
    <w:p w14:paraId="0E5B3C2D" w14:textId="61E6AEF8" w:rsidR="00C72559" w:rsidRPr="009571E6" w:rsidRDefault="00C72559">
      <w:pPr>
        <w:pStyle w:val="FootnoteText"/>
        <w:rPr>
          <w:sz w:val="20"/>
        </w:rPr>
      </w:pPr>
      <w:r>
        <w:tab/>
      </w:r>
      <w:r w:rsidRPr="00944133">
        <w:rPr>
          <w:rStyle w:val="FootnoteReference"/>
          <w:sz w:val="20"/>
        </w:rPr>
        <w:t>*</w:t>
      </w:r>
      <w:r w:rsidRPr="00C72559">
        <w:t xml:space="preserve"> </w:t>
      </w:r>
      <w:r>
        <w:tab/>
      </w:r>
      <w:r w:rsidRPr="00537719">
        <w:t>A/77/6 (Sect. 20), table 20.6</w:t>
      </w:r>
    </w:p>
  </w:footnote>
  <w:footnote w:id="3">
    <w:p w14:paraId="00AAD6E5" w14:textId="0B091C65" w:rsidR="00C72559" w:rsidRPr="009571E6" w:rsidRDefault="00C72559" w:rsidP="00944133">
      <w:pPr>
        <w:pStyle w:val="FootnoteText"/>
        <w:widowControl w:val="0"/>
        <w:suppressAutoHyphens/>
      </w:pPr>
      <w:r>
        <w:tab/>
      </w:r>
      <w:r>
        <w:rPr>
          <w:rStyle w:val="FootnoteReference"/>
        </w:rPr>
        <w:footnoteRef/>
      </w:r>
      <w:r>
        <w:tab/>
        <w:t xml:space="preserve"> See informal document </w:t>
      </w:r>
      <w:r w:rsidRPr="009719A6">
        <w:t xml:space="preserve">INF.14 </w:t>
      </w:r>
      <w:r>
        <w:t xml:space="preserve">and report </w:t>
      </w:r>
      <w:r w:rsidRPr="00786FB8">
        <w:t xml:space="preserve">ST/SG/AC.10/C.4/84 </w:t>
      </w:r>
      <w:r>
        <w:t>from the forty-second session.</w:t>
      </w:r>
    </w:p>
  </w:footnote>
  <w:footnote w:id="4">
    <w:p w14:paraId="51820603" w14:textId="57D43129" w:rsidR="00C72559" w:rsidRPr="009571E6" w:rsidRDefault="00C72559" w:rsidP="00944133">
      <w:pPr>
        <w:pStyle w:val="FootnoteText"/>
        <w:widowControl w:val="0"/>
        <w:suppressAutoHyphens/>
      </w:pPr>
      <w:r>
        <w:tab/>
      </w:r>
      <w:r>
        <w:rPr>
          <w:rStyle w:val="FootnoteReference"/>
        </w:rPr>
        <w:footnoteRef/>
      </w:r>
      <w:r>
        <w:tab/>
        <w:t xml:space="preserve"> </w:t>
      </w:r>
      <w:r w:rsidRPr="00A553E8">
        <w:t>See</w:t>
      </w:r>
      <w:r>
        <w:t xml:space="preserve"> </w:t>
      </w:r>
      <w:r w:rsidRPr="00A553E8">
        <w:t>i</w:t>
      </w:r>
      <w:r w:rsidRPr="00532ABD">
        <w:t>nformal document INF.</w:t>
      </w:r>
      <w:r w:rsidRPr="00A553E8">
        <w:t>37</w:t>
      </w:r>
      <w:r w:rsidRPr="00532ABD">
        <w:t xml:space="preserve"> </w:t>
      </w:r>
      <w:r>
        <w:t xml:space="preserve">and report </w:t>
      </w:r>
      <w:r w:rsidR="00AA7CB5">
        <w:fldChar w:fldCharType="begin"/>
      </w:r>
      <w:r w:rsidR="00AA7CB5">
        <w:instrText xml:space="preserve"> TITLE  \* MERGEFORMAT </w:instrText>
      </w:r>
      <w:r w:rsidR="00AA7CB5">
        <w:fldChar w:fldCharType="separate"/>
      </w:r>
      <w:r w:rsidRPr="00567065">
        <w:t>ST/SG/AC.10/C.4/86</w:t>
      </w:r>
      <w:r w:rsidR="00AA7CB5">
        <w:fldChar w:fldCharType="end"/>
      </w:r>
      <w:r w:rsidRPr="00FF1062">
        <w:t xml:space="preserve"> </w:t>
      </w:r>
      <w:r>
        <w:t xml:space="preserve">from the forty-third </w:t>
      </w:r>
      <w:r w:rsidRPr="00532ABD">
        <w:t>session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ECA3" w14:textId="7C075AAD" w:rsidR="00223DDC" w:rsidRPr="00223DDC" w:rsidRDefault="00AA7CB5">
    <w:pPr>
      <w:pStyle w:val="Header"/>
    </w:pPr>
    <w:r>
      <w:fldChar w:fldCharType="begin"/>
    </w:r>
    <w:r>
      <w:instrText xml:space="preserve"> TITLE  \* MERGEFORMAT </w:instrText>
    </w:r>
    <w:r>
      <w:fldChar w:fldCharType="separate"/>
    </w:r>
    <w:r w:rsidR="00223DDC">
      <w:t>ST/SG/AC.10/C.4/2023/4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2F1A" w14:textId="22DDF684" w:rsidR="00D94B05" w:rsidRPr="00223DDC" w:rsidRDefault="00AA7CB5" w:rsidP="00223DDC">
    <w:pPr>
      <w:pStyle w:val="Header"/>
      <w:jc w:val="right"/>
    </w:pPr>
    <w:r>
      <w:fldChar w:fldCharType="begin"/>
    </w:r>
    <w:r>
      <w:instrText xml:space="preserve"> TITLE  \* MERGEFORMAT </w:instrText>
    </w:r>
    <w:r>
      <w:fldChar w:fldCharType="separate"/>
    </w:r>
    <w:r w:rsidR="00223DDC">
      <w:t>ST/SG/AC.10/C.4/2023/4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06E46"/>
    <w:multiLevelType w:val="hybridMultilevel"/>
    <w:tmpl w:val="4C6E86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A045F9"/>
    <w:multiLevelType w:val="hybridMultilevel"/>
    <w:tmpl w:val="791A4B84"/>
    <w:lvl w:ilvl="0" w:tplc="FFFFFFFF">
      <w:start w:val="1"/>
      <w:numFmt w:val="lowerLetter"/>
      <w:lvlText w:val="(%1)"/>
      <w:lvlJc w:val="left"/>
      <w:pPr>
        <w:ind w:left="720" w:hanging="360"/>
      </w:pPr>
      <w:rPr>
        <w:rFonts w:asciiTheme="majorBidi" w:eastAsia="Times New Roman" w:hAnsiTheme="majorBidi" w:cstheme="majorBid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13932"/>
    <w:multiLevelType w:val="hybridMultilevel"/>
    <w:tmpl w:val="0276DD3A"/>
    <w:lvl w:ilvl="0" w:tplc="90F2F85C">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6779703">
    <w:abstractNumId w:val="7"/>
  </w:num>
  <w:num w:numId="2" w16cid:durableId="329601211">
    <w:abstractNumId w:val="6"/>
  </w:num>
  <w:num w:numId="3" w16cid:durableId="37122850">
    <w:abstractNumId w:val="0"/>
  </w:num>
  <w:num w:numId="4" w16cid:durableId="1914775044">
    <w:abstractNumId w:val="8"/>
  </w:num>
  <w:num w:numId="5" w16cid:durableId="1960868940">
    <w:abstractNumId w:val="9"/>
  </w:num>
  <w:num w:numId="6" w16cid:durableId="605506370">
    <w:abstractNumId w:val="12"/>
  </w:num>
  <w:num w:numId="7" w16cid:durableId="1720007182">
    <w:abstractNumId w:val="4"/>
  </w:num>
  <w:num w:numId="8" w16cid:durableId="105080313">
    <w:abstractNumId w:val="1"/>
  </w:num>
  <w:num w:numId="9" w16cid:durableId="1673950433">
    <w:abstractNumId w:val="10"/>
  </w:num>
  <w:num w:numId="10" w16cid:durableId="176045250">
    <w:abstractNumId w:val="1"/>
  </w:num>
  <w:num w:numId="11" w16cid:durableId="873034767">
    <w:abstractNumId w:val="10"/>
  </w:num>
  <w:num w:numId="12" w16cid:durableId="1672685138">
    <w:abstractNumId w:val="3"/>
  </w:num>
  <w:num w:numId="13" w16cid:durableId="1346857862">
    <w:abstractNumId w:val="3"/>
  </w:num>
  <w:num w:numId="14" w16cid:durableId="1616595164">
    <w:abstractNumId w:val="11"/>
  </w:num>
  <w:num w:numId="15" w16cid:durableId="1812091724">
    <w:abstractNumId w:val="2"/>
  </w:num>
  <w:num w:numId="16" w16cid:durableId="862478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DC"/>
    <w:rsid w:val="00027998"/>
    <w:rsid w:val="000338B4"/>
    <w:rsid w:val="00046E92"/>
    <w:rsid w:val="00063C90"/>
    <w:rsid w:val="00066374"/>
    <w:rsid w:val="00070000"/>
    <w:rsid w:val="000B4A23"/>
    <w:rsid w:val="000C39D4"/>
    <w:rsid w:val="000C53BA"/>
    <w:rsid w:val="00101B98"/>
    <w:rsid w:val="00133931"/>
    <w:rsid w:val="0014560A"/>
    <w:rsid w:val="001514D1"/>
    <w:rsid w:val="001A18ED"/>
    <w:rsid w:val="001A7BA4"/>
    <w:rsid w:val="00223DDC"/>
    <w:rsid w:val="002449AA"/>
    <w:rsid w:val="00246C06"/>
    <w:rsid w:val="00247E2C"/>
    <w:rsid w:val="002747F5"/>
    <w:rsid w:val="0027485A"/>
    <w:rsid w:val="00285172"/>
    <w:rsid w:val="00286EF3"/>
    <w:rsid w:val="002A32CB"/>
    <w:rsid w:val="002D5B2C"/>
    <w:rsid w:val="002D6C53"/>
    <w:rsid w:val="002F5595"/>
    <w:rsid w:val="00317594"/>
    <w:rsid w:val="00334F6A"/>
    <w:rsid w:val="00342AC8"/>
    <w:rsid w:val="00343302"/>
    <w:rsid w:val="003959B1"/>
    <w:rsid w:val="003979DE"/>
    <w:rsid w:val="003A3A28"/>
    <w:rsid w:val="003B4550"/>
    <w:rsid w:val="003D2A18"/>
    <w:rsid w:val="0040456C"/>
    <w:rsid w:val="00413386"/>
    <w:rsid w:val="00425C91"/>
    <w:rsid w:val="00427F36"/>
    <w:rsid w:val="0045624C"/>
    <w:rsid w:val="00461253"/>
    <w:rsid w:val="004858F5"/>
    <w:rsid w:val="0049295F"/>
    <w:rsid w:val="004A2814"/>
    <w:rsid w:val="004C0622"/>
    <w:rsid w:val="004F73D0"/>
    <w:rsid w:val="005042C2"/>
    <w:rsid w:val="00526EE1"/>
    <w:rsid w:val="005631AA"/>
    <w:rsid w:val="005839F9"/>
    <w:rsid w:val="005E716E"/>
    <w:rsid w:val="005F7F9C"/>
    <w:rsid w:val="006476E1"/>
    <w:rsid w:val="006604DF"/>
    <w:rsid w:val="00671529"/>
    <w:rsid w:val="006C6CC2"/>
    <w:rsid w:val="006F1EF5"/>
    <w:rsid w:val="00702C78"/>
    <w:rsid w:val="0070489D"/>
    <w:rsid w:val="007200A1"/>
    <w:rsid w:val="0072065F"/>
    <w:rsid w:val="007268F9"/>
    <w:rsid w:val="0072749D"/>
    <w:rsid w:val="00750282"/>
    <w:rsid w:val="0076214D"/>
    <w:rsid w:val="00764440"/>
    <w:rsid w:val="00765D9C"/>
    <w:rsid w:val="0077084B"/>
    <w:rsid w:val="0077101B"/>
    <w:rsid w:val="00785D9C"/>
    <w:rsid w:val="00797E07"/>
    <w:rsid w:val="007B183B"/>
    <w:rsid w:val="007C0239"/>
    <w:rsid w:val="007C52B0"/>
    <w:rsid w:val="007C6033"/>
    <w:rsid w:val="008147C8"/>
    <w:rsid w:val="0081753A"/>
    <w:rsid w:val="00823752"/>
    <w:rsid w:val="00857D23"/>
    <w:rsid w:val="008B1623"/>
    <w:rsid w:val="008D449C"/>
    <w:rsid w:val="008E16D0"/>
    <w:rsid w:val="008E20B1"/>
    <w:rsid w:val="00940340"/>
    <w:rsid w:val="009411B4"/>
    <w:rsid w:val="00941F35"/>
    <w:rsid w:val="00944133"/>
    <w:rsid w:val="00946F1D"/>
    <w:rsid w:val="009571E6"/>
    <w:rsid w:val="009654B8"/>
    <w:rsid w:val="009D0139"/>
    <w:rsid w:val="009D717D"/>
    <w:rsid w:val="009F5CDC"/>
    <w:rsid w:val="00A072D7"/>
    <w:rsid w:val="00A775CF"/>
    <w:rsid w:val="00AA7CB5"/>
    <w:rsid w:val="00AD1A9C"/>
    <w:rsid w:val="00AF5DE1"/>
    <w:rsid w:val="00B06045"/>
    <w:rsid w:val="00B206DD"/>
    <w:rsid w:val="00B44140"/>
    <w:rsid w:val="00B52EF4"/>
    <w:rsid w:val="00B777AD"/>
    <w:rsid w:val="00BD198F"/>
    <w:rsid w:val="00BE417E"/>
    <w:rsid w:val="00C03015"/>
    <w:rsid w:val="00C0358D"/>
    <w:rsid w:val="00C35A27"/>
    <w:rsid w:val="00C47B2E"/>
    <w:rsid w:val="00C540E0"/>
    <w:rsid w:val="00C71B44"/>
    <w:rsid w:val="00C72559"/>
    <w:rsid w:val="00C8503F"/>
    <w:rsid w:val="00CE751F"/>
    <w:rsid w:val="00D1060F"/>
    <w:rsid w:val="00D1080D"/>
    <w:rsid w:val="00D2042E"/>
    <w:rsid w:val="00D5448D"/>
    <w:rsid w:val="00D63CD2"/>
    <w:rsid w:val="00D87DC2"/>
    <w:rsid w:val="00D93887"/>
    <w:rsid w:val="00D94B05"/>
    <w:rsid w:val="00DC3A3A"/>
    <w:rsid w:val="00DC7379"/>
    <w:rsid w:val="00DD719F"/>
    <w:rsid w:val="00E02C2B"/>
    <w:rsid w:val="00E21C27"/>
    <w:rsid w:val="00E26BCF"/>
    <w:rsid w:val="00E338B0"/>
    <w:rsid w:val="00E52109"/>
    <w:rsid w:val="00E75317"/>
    <w:rsid w:val="00EC0CE6"/>
    <w:rsid w:val="00EC7C1D"/>
    <w:rsid w:val="00ED6C48"/>
    <w:rsid w:val="00EE3045"/>
    <w:rsid w:val="00F65F5D"/>
    <w:rsid w:val="00F86A3A"/>
    <w:rsid w:val="00FA42DA"/>
    <w:rsid w:val="00FC353D"/>
    <w:rsid w:val="00FD6CDB"/>
    <w:rsid w:val="00FE2AC5"/>
    <w:rsid w:val="00FF5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4D92D0"/>
  <w15:docId w15:val="{EA5AB639-99BE-4E1A-A626-CDC27B48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B1"/>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aliases w:val="GHS Chapter Heading"/>
    <w:basedOn w:val="Normal"/>
    <w:next w:val="Normal"/>
    <w:link w:val="Heading2Char"/>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C72559"/>
  </w:style>
  <w:style w:type="character" w:customStyle="1" w:styleId="HChGChar">
    <w:name w:val="_ H _Ch_G Char"/>
    <w:link w:val="HChG"/>
    <w:locked/>
    <w:rsid w:val="00C72559"/>
    <w:rPr>
      <w:b/>
      <w:sz w:val="28"/>
    </w:rPr>
  </w:style>
  <w:style w:type="paragraph" w:styleId="ListParagraph">
    <w:name w:val="List Paragraph"/>
    <w:basedOn w:val="Normal"/>
    <w:link w:val="ListParagraphChar"/>
    <w:uiPriority w:val="34"/>
    <w:qFormat/>
    <w:rsid w:val="00C72559"/>
    <w:pPr>
      <w:spacing w:line="240" w:lineRule="auto"/>
      <w:ind w:left="720"/>
    </w:pPr>
    <w:rPr>
      <w:rFonts w:ascii="Calibri" w:eastAsiaTheme="minorHAnsi" w:hAnsi="Calibri" w:cs="Calibri"/>
      <w:sz w:val="22"/>
      <w:szCs w:val="22"/>
      <w:lang w:eastAsia="en-US"/>
    </w:rPr>
  </w:style>
  <w:style w:type="character" w:customStyle="1" w:styleId="H1GChar">
    <w:name w:val="_ H_1_G Char"/>
    <w:link w:val="H1G"/>
    <w:rsid w:val="00C72559"/>
    <w:rPr>
      <w:b/>
      <w:sz w:val="24"/>
    </w:rPr>
  </w:style>
  <w:style w:type="character" w:customStyle="1" w:styleId="ListParagraphChar">
    <w:name w:val="List Paragraph Char"/>
    <w:basedOn w:val="DefaultParagraphFont"/>
    <w:link w:val="ListParagraph"/>
    <w:uiPriority w:val="34"/>
    <w:locked/>
    <w:rsid w:val="00C72559"/>
    <w:rPr>
      <w:rFonts w:ascii="Calibri" w:eastAsiaTheme="minorHAnsi" w:hAnsi="Calibri" w:cs="Calibri"/>
      <w:sz w:val="22"/>
      <w:szCs w:val="22"/>
      <w:lang w:eastAsia="en-US"/>
    </w:rPr>
  </w:style>
  <w:style w:type="paragraph" w:customStyle="1" w:styleId="GHS1stline">
    <w:name w:val="GHS_1st line"/>
    <w:basedOn w:val="Normal"/>
    <w:qFormat/>
    <w:rsid w:val="00C72559"/>
    <w:pPr>
      <w:tabs>
        <w:tab w:val="left" w:pos="1418"/>
        <w:tab w:val="left" w:pos="1985"/>
        <w:tab w:val="left" w:pos="2552"/>
        <w:tab w:val="left" w:pos="3119"/>
        <w:tab w:val="left" w:pos="3686"/>
      </w:tabs>
      <w:autoSpaceDE w:val="0"/>
      <w:autoSpaceDN w:val="0"/>
      <w:adjustRightInd w:val="0"/>
      <w:spacing w:after="240" w:line="240" w:lineRule="auto"/>
      <w:ind w:firstLine="1418"/>
      <w:jc w:val="both"/>
    </w:pPr>
    <w:rPr>
      <w:rFonts w:eastAsia="Times New Roman"/>
      <w:lang w:eastAsia="en-US"/>
    </w:rPr>
  </w:style>
  <w:style w:type="paragraph" w:styleId="Revision">
    <w:name w:val="Revision"/>
    <w:hidden/>
    <w:uiPriority w:val="99"/>
    <w:semiHidden/>
    <w:rsid w:val="00C72559"/>
    <w:pPr>
      <w:spacing w:line="240" w:lineRule="auto"/>
    </w:pPr>
  </w:style>
  <w:style w:type="paragraph" w:customStyle="1" w:styleId="GHSHeading3">
    <w:name w:val="GHSHeading3"/>
    <w:basedOn w:val="Heading3"/>
    <w:rsid w:val="000B4A23"/>
    <w:pPr>
      <w:keepNext/>
      <w:tabs>
        <w:tab w:val="left" w:pos="1418"/>
      </w:tabs>
      <w:autoSpaceDE w:val="0"/>
      <w:autoSpaceDN w:val="0"/>
      <w:adjustRightInd w:val="0"/>
    </w:pPr>
    <w:rPr>
      <w:rFonts w:eastAsia="Times New Roman"/>
      <w:b/>
      <w:bCs/>
      <w:color w:val="000000"/>
      <w:sz w:val="22"/>
      <w:szCs w:val="22"/>
      <w:lang w:eastAsia="fr-FR"/>
    </w:rPr>
  </w:style>
  <w:style w:type="character" w:styleId="CommentReference">
    <w:name w:val="annotation reference"/>
    <w:basedOn w:val="DefaultParagraphFont"/>
    <w:uiPriority w:val="99"/>
    <w:semiHidden/>
    <w:unhideWhenUsed/>
    <w:rsid w:val="008B1623"/>
    <w:rPr>
      <w:sz w:val="16"/>
      <w:szCs w:val="16"/>
    </w:rPr>
  </w:style>
  <w:style w:type="paragraph" w:styleId="CommentText">
    <w:name w:val="annotation text"/>
    <w:basedOn w:val="Normal"/>
    <w:link w:val="CommentTextChar"/>
    <w:uiPriority w:val="99"/>
    <w:semiHidden/>
    <w:unhideWhenUsed/>
    <w:rsid w:val="008B1623"/>
    <w:pPr>
      <w:spacing w:line="240" w:lineRule="auto"/>
    </w:pPr>
  </w:style>
  <w:style w:type="character" w:customStyle="1" w:styleId="CommentTextChar">
    <w:name w:val="Comment Text Char"/>
    <w:basedOn w:val="DefaultParagraphFont"/>
    <w:link w:val="CommentText"/>
    <w:uiPriority w:val="99"/>
    <w:semiHidden/>
    <w:rsid w:val="008B1623"/>
  </w:style>
  <w:style w:type="paragraph" w:styleId="CommentSubject">
    <w:name w:val="annotation subject"/>
    <w:basedOn w:val="CommentText"/>
    <w:next w:val="CommentText"/>
    <w:link w:val="CommentSubjectChar"/>
    <w:uiPriority w:val="99"/>
    <w:semiHidden/>
    <w:unhideWhenUsed/>
    <w:rsid w:val="008B1623"/>
    <w:rPr>
      <w:b/>
      <w:bCs/>
    </w:rPr>
  </w:style>
  <w:style w:type="character" w:customStyle="1" w:styleId="CommentSubjectChar">
    <w:name w:val="Comment Subject Char"/>
    <w:basedOn w:val="CommentTextChar"/>
    <w:link w:val="CommentSubject"/>
    <w:uiPriority w:val="99"/>
    <w:semiHidden/>
    <w:rsid w:val="008B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1497B-527C-4B1D-9591-4B4BC6A1923B}"/>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8</Pages>
  <Words>2200</Words>
  <Characters>12148</Characters>
  <Application>Microsoft Office Word</Application>
  <DocSecurity>0</DocSecurity>
  <Lines>350</Lines>
  <Paragraphs>161</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ST/SG/AC.10/C.4/2023/4</vt:lpstr>
      <vt:lpstr>    Revision of chapter 4.2 to include classification and hazard communication for</vt:lpstr>
      <vt:lpstr>        Transmitted by the experts from Austria, Finland, Germany, the United Kingdom,</vt:lpstr>
      <vt:lpstr>    Introduction </vt:lpstr>
      <vt:lpstr>    Discussion</vt:lpstr>
      <vt:lpstr>        Conforming changes to chapter 1.2 and annexes 1 and 3</vt:lpstr>
      <vt:lpstr>    Action and next steps</vt:lpstr>
      <vt:lpstr>    Annex </vt:lpstr>
      <vt:lpstr>        Proposed amendments to cChapter 4.2: </vt:lpstr>
      <vt:lpstr>        “4.2.2	Classification criteria</vt:lpstr>
      <vt:lpstr>        “4.2.3	Hazard communication</vt:lpstr>
      <vt:lpstr>        Proposed conforming changes to cChapter 1.2:</vt:lpstr>
      <vt:lpstr>        Proposed conforming changes to aAnnex 1:</vt:lpstr>
      <vt:lpstr>        Proposed conforming changes to annex 3, section 1</vt:lpstr>
      <vt:lpstr>        Proposed conforming changes to annex 3, section 2</vt:lpstr>
      <vt:lpstr>        Proposed conforming changes to annex 3, section 3</vt: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ST/SG/AC.10/C.4/2023/4</dc:title>
  <dc:subject>2307731</dc:subject>
  <dc:creator>Rosa Garcia-Couto</dc:creator>
  <cp:keywords/>
  <dc:description/>
  <cp:lastModifiedBy>Maria Rosario Corazon Gatmaytan</cp:lastModifiedBy>
  <cp:revision>2</cp:revision>
  <dcterms:created xsi:type="dcterms:W3CDTF">2023-04-25T12:55:00Z</dcterms:created>
  <dcterms:modified xsi:type="dcterms:W3CDTF">2023-04-25T12:55:00Z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