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C71FAC6" w14:textId="77777777" w:rsidTr="00F01738">
        <w:trPr>
          <w:trHeight w:hRule="exact" w:val="851"/>
        </w:trPr>
        <w:tc>
          <w:tcPr>
            <w:tcW w:w="1276" w:type="dxa"/>
            <w:tcBorders>
              <w:bottom w:val="single" w:sz="4" w:space="0" w:color="auto"/>
            </w:tcBorders>
          </w:tcPr>
          <w:p w14:paraId="6046A18F" w14:textId="77777777" w:rsidR="00132EA9" w:rsidRPr="00DB58B5" w:rsidRDefault="00132EA9" w:rsidP="00A91DB5"/>
        </w:tc>
        <w:tc>
          <w:tcPr>
            <w:tcW w:w="2268" w:type="dxa"/>
            <w:tcBorders>
              <w:bottom w:val="single" w:sz="4" w:space="0" w:color="auto"/>
            </w:tcBorders>
            <w:vAlign w:val="bottom"/>
          </w:tcPr>
          <w:p w14:paraId="10B0C80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F5E57E" w14:textId="15EB615D" w:rsidR="00132EA9" w:rsidRPr="00DB58B5" w:rsidRDefault="00A91DB5" w:rsidP="00A91DB5">
            <w:pPr>
              <w:jc w:val="right"/>
            </w:pPr>
            <w:r w:rsidRPr="00A91DB5">
              <w:rPr>
                <w:sz w:val="40"/>
              </w:rPr>
              <w:t>ST</w:t>
            </w:r>
            <w:r>
              <w:t>/SG/AC.10/C.3/2023/8</w:t>
            </w:r>
          </w:p>
        </w:tc>
      </w:tr>
      <w:tr w:rsidR="00132EA9" w:rsidRPr="00DB58B5" w14:paraId="4E6E666E" w14:textId="77777777" w:rsidTr="00F01738">
        <w:trPr>
          <w:trHeight w:hRule="exact" w:val="2835"/>
        </w:trPr>
        <w:tc>
          <w:tcPr>
            <w:tcW w:w="1276" w:type="dxa"/>
            <w:tcBorders>
              <w:top w:val="single" w:sz="4" w:space="0" w:color="auto"/>
              <w:bottom w:val="single" w:sz="12" w:space="0" w:color="auto"/>
            </w:tcBorders>
          </w:tcPr>
          <w:p w14:paraId="7BAE5C43" w14:textId="77777777" w:rsidR="00132EA9" w:rsidRPr="00DB58B5" w:rsidRDefault="00132EA9" w:rsidP="00F01738">
            <w:pPr>
              <w:spacing w:before="120"/>
              <w:jc w:val="center"/>
            </w:pPr>
            <w:r>
              <w:rPr>
                <w:noProof/>
                <w:lang w:eastAsia="fr-CH"/>
              </w:rPr>
              <w:drawing>
                <wp:inline distT="0" distB="0" distL="0" distR="0" wp14:anchorId="7FF49B10" wp14:editId="65EDB2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166A7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C0390D9" w14:textId="77777777" w:rsidR="00132EA9" w:rsidRDefault="00A91DB5" w:rsidP="00F01738">
            <w:pPr>
              <w:spacing w:before="240"/>
            </w:pPr>
            <w:r>
              <w:t>Distr. générale</w:t>
            </w:r>
          </w:p>
          <w:p w14:paraId="0739814C" w14:textId="77777777" w:rsidR="00A91DB5" w:rsidRDefault="00A91DB5" w:rsidP="00A91DB5">
            <w:pPr>
              <w:spacing w:line="240" w:lineRule="exact"/>
            </w:pPr>
            <w:r>
              <w:t>11 avril 2023</w:t>
            </w:r>
          </w:p>
          <w:p w14:paraId="65DE4D2F" w14:textId="77777777" w:rsidR="00A91DB5" w:rsidRDefault="00A91DB5" w:rsidP="00A91DB5">
            <w:pPr>
              <w:spacing w:line="240" w:lineRule="exact"/>
            </w:pPr>
            <w:r>
              <w:t>Français</w:t>
            </w:r>
          </w:p>
          <w:p w14:paraId="55FFB923" w14:textId="76F21A25" w:rsidR="00A91DB5" w:rsidRPr="00DB58B5" w:rsidRDefault="00A91DB5" w:rsidP="00A91DB5">
            <w:pPr>
              <w:spacing w:line="240" w:lineRule="exact"/>
            </w:pPr>
            <w:r>
              <w:t>Original : anglais</w:t>
            </w:r>
          </w:p>
        </w:tc>
      </w:tr>
    </w:tbl>
    <w:p w14:paraId="6D32465D" w14:textId="591A8020" w:rsidR="00A91DB5" w:rsidRPr="00591AEF" w:rsidRDefault="00A91DB5" w:rsidP="00591AEF">
      <w:pPr>
        <w:spacing w:before="120"/>
        <w:rPr>
          <w:b/>
          <w:sz w:val="32"/>
          <w:szCs w:val="32"/>
          <w:lang w:val="fr-FR"/>
        </w:rPr>
      </w:pPr>
      <w:r w:rsidRPr="00591AEF">
        <w:rPr>
          <w:b/>
          <w:bCs/>
          <w:sz w:val="24"/>
          <w:szCs w:val="24"/>
          <w:lang w:val="fr-FR"/>
        </w:rPr>
        <w:t xml:space="preserve">Comité d’experts du transport des marchandises dangereuses </w:t>
      </w:r>
      <w:r w:rsidR="00591AEF">
        <w:rPr>
          <w:b/>
          <w:bCs/>
          <w:sz w:val="24"/>
          <w:szCs w:val="24"/>
          <w:lang w:val="fr-FR"/>
        </w:rPr>
        <w:br/>
      </w:r>
      <w:r w:rsidRPr="00591AEF">
        <w:rPr>
          <w:b/>
          <w:bCs/>
          <w:sz w:val="24"/>
          <w:szCs w:val="24"/>
          <w:lang w:val="fr-FR"/>
        </w:rPr>
        <w:t xml:space="preserve">et du Système général harmonisé de classification </w:t>
      </w:r>
      <w:r w:rsidR="00591AEF">
        <w:rPr>
          <w:b/>
          <w:bCs/>
          <w:sz w:val="24"/>
          <w:szCs w:val="24"/>
          <w:lang w:val="fr-FR"/>
        </w:rPr>
        <w:br/>
      </w:r>
      <w:r w:rsidRPr="00591AEF">
        <w:rPr>
          <w:b/>
          <w:bCs/>
          <w:sz w:val="24"/>
          <w:szCs w:val="24"/>
          <w:lang w:val="fr-FR"/>
        </w:rPr>
        <w:t>et d’étiquetage des produits chimiques</w:t>
      </w:r>
    </w:p>
    <w:p w14:paraId="3CC25B4A" w14:textId="77777777" w:rsidR="00A91DB5" w:rsidRPr="00591AEF" w:rsidRDefault="00A91DB5" w:rsidP="00A91DB5">
      <w:pPr>
        <w:spacing w:before="120"/>
        <w:rPr>
          <w:rFonts w:ascii="Helv" w:hAnsi="Helv" w:cs="Helv"/>
          <w:b/>
          <w:color w:val="000000"/>
          <w:lang w:val="fr-FR"/>
        </w:rPr>
      </w:pPr>
      <w:r w:rsidRPr="00591AEF">
        <w:rPr>
          <w:b/>
          <w:bCs/>
          <w:lang w:val="fr-FR"/>
        </w:rPr>
        <w:t>Sous-Comité d’experts du transport des marchandises dangereuses</w:t>
      </w:r>
    </w:p>
    <w:p w14:paraId="07350951" w14:textId="77777777" w:rsidR="00A91DB5" w:rsidRPr="00591AEF" w:rsidRDefault="00A91DB5" w:rsidP="00A91DB5">
      <w:pPr>
        <w:spacing w:before="120"/>
        <w:rPr>
          <w:b/>
          <w:lang w:val="fr-FR"/>
        </w:rPr>
      </w:pPr>
      <w:r w:rsidRPr="00591AEF">
        <w:rPr>
          <w:b/>
          <w:bCs/>
          <w:lang w:val="fr-FR"/>
        </w:rPr>
        <w:t>Soixante-deuxième session</w:t>
      </w:r>
    </w:p>
    <w:p w14:paraId="18B31D54" w14:textId="77777777" w:rsidR="00A91DB5" w:rsidRPr="00591AEF" w:rsidRDefault="00A91DB5" w:rsidP="00A91DB5">
      <w:pPr>
        <w:rPr>
          <w:lang w:val="fr-FR"/>
        </w:rPr>
      </w:pPr>
      <w:r w:rsidRPr="00591AEF">
        <w:rPr>
          <w:lang w:val="fr-FR"/>
        </w:rPr>
        <w:t xml:space="preserve">Genève, 3-7 juillet 2023 </w:t>
      </w:r>
    </w:p>
    <w:p w14:paraId="2A78DC22" w14:textId="77777777" w:rsidR="00A91DB5" w:rsidRPr="00591AEF" w:rsidRDefault="00A91DB5" w:rsidP="00A91DB5">
      <w:pPr>
        <w:rPr>
          <w:lang w:val="fr-FR"/>
        </w:rPr>
      </w:pPr>
      <w:r w:rsidRPr="00591AEF">
        <w:rPr>
          <w:lang w:val="fr-FR"/>
        </w:rPr>
        <w:t>Point 4 c) de l’ordre du jour provisoire</w:t>
      </w:r>
    </w:p>
    <w:p w14:paraId="79A1DC2A" w14:textId="1820F472" w:rsidR="00A91DB5" w:rsidRPr="00591AEF" w:rsidRDefault="00A91DB5" w:rsidP="00A91DB5">
      <w:pPr>
        <w:rPr>
          <w:b/>
          <w:bCs/>
          <w:lang w:val="fr-FR"/>
        </w:rPr>
      </w:pPr>
      <w:r w:rsidRPr="00591AEF">
        <w:rPr>
          <w:b/>
          <w:bCs/>
          <w:lang w:val="fr-FR"/>
        </w:rPr>
        <w:t>Systèmes de stockage de l’électricité</w:t>
      </w:r>
      <w:r w:rsidR="00591AEF">
        <w:rPr>
          <w:b/>
          <w:bCs/>
          <w:lang w:val="fr-FR"/>
        </w:rPr>
        <w:t> </w:t>
      </w:r>
      <w:r w:rsidRPr="00591AEF">
        <w:rPr>
          <w:b/>
          <w:bCs/>
          <w:lang w:val="fr-FR"/>
        </w:rPr>
        <w:t>:</w:t>
      </w:r>
    </w:p>
    <w:p w14:paraId="518832F7" w14:textId="77777777" w:rsidR="00A91DB5" w:rsidRPr="00591AEF" w:rsidRDefault="00A91DB5" w:rsidP="00A91DB5">
      <w:pPr>
        <w:rPr>
          <w:b/>
          <w:bCs/>
          <w:lang w:val="fr-FR"/>
        </w:rPr>
      </w:pPr>
      <w:r w:rsidRPr="00591AEF">
        <w:rPr>
          <w:b/>
          <w:bCs/>
          <w:lang w:val="fr-FR"/>
        </w:rPr>
        <w:t>dispositions relatives au transport</w:t>
      </w:r>
    </w:p>
    <w:p w14:paraId="7118035F" w14:textId="16C3BC97" w:rsidR="00A91DB5" w:rsidRPr="00594A22" w:rsidRDefault="00A91DB5" w:rsidP="00591AEF">
      <w:pPr>
        <w:pStyle w:val="HChG"/>
        <w:rPr>
          <w:lang w:val="fr-FR"/>
        </w:rPr>
      </w:pPr>
      <w:r>
        <w:rPr>
          <w:lang w:val="fr-FR"/>
        </w:rPr>
        <w:tab/>
      </w:r>
      <w:r>
        <w:rPr>
          <w:lang w:val="fr-FR"/>
        </w:rPr>
        <w:tab/>
        <w:t xml:space="preserve">Modifications à apporter à la disposition spéciale 384 </w:t>
      </w:r>
      <w:r w:rsidR="00591AEF">
        <w:rPr>
          <w:lang w:val="fr-FR"/>
        </w:rPr>
        <w:br/>
      </w:r>
      <w:r>
        <w:rPr>
          <w:lang w:val="fr-FR"/>
        </w:rPr>
        <w:t>du Règlement type</w:t>
      </w:r>
    </w:p>
    <w:p w14:paraId="414644F4" w14:textId="655C14C5" w:rsidR="00A91DB5" w:rsidRPr="00594A22" w:rsidRDefault="00A91DB5" w:rsidP="00591AEF">
      <w:pPr>
        <w:pStyle w:val="H1G"/>
        <w:rPr>
          <w:lang w:val="fr-FR"/>
        </w:rPr>
      </w:pPr>
      <w:r>
        <w:rPr>
          <w:lang w:val="fr-FR"/>
        </w:rPr>
        <w:tab/>
      </w:r>
      <w:r>
        <w:rPr>
          <w:lang w:val="fr-FR"/>
        </w:rPr>
        <w:tab/>
        <w:t>Communication de l’expert de la Chine</w:t>
      </w:r>
      <w:r w:rsidR="00591AEF" w:rsidRPr="00591AEF">
        <w:rPr>
          <w:rStyle w:val="Appelnotedebasdep"/>
          <w:b w:val="0"/>
          <w:bCs/>
          <w:sz w:val="20"/>
          <w:vertAlign w:val="baseline"/>
        </w:rPr>
        <w:footnoteReference w:customMarkFollows="1" w:id="2"/>
        <w:t>*</w:t>
      </w:r>
    </w:p>
    <w:p w14:paraId="3FD01EC8" w14:textId="77777777" w:rsidR="00A91DB5" w:rsidRPr="00594A22" w:rsidRDefault="00A91DB5" w:rsidP="00591AEF">
      <w:pPr>
        <w:pStyle w:val="HChG"/>
        <w:rPr>
          <w:lang w:val="fr-FR"/>
        </w:rPr>
      </w:pPr>
      <w:r>
        <w:rPr>
          <w:lang w:val="fr-FR"/>
        </w:rPr>
        <w:tab/>
      </w:r>
      <w:r>
        <w:rPr>
          <w:lang w:val="fr-FR"/>
        </w:rPr>
        <w:tab/>
        <w:t>Introduction</w:t>
      </w:r>
    </w:p>
    <w:p w14:paraId="2E39A5D7" w14:textId="72A3F3E6" w:rsidR="00A91DB5" w:rsidRPr="00591AEF" w:rsidRDefault="00A91DB5" w:rsidP="00591AEF">
      <w:pPr>
        <w:pStyle w:val="SingleTxtG"/>
      </w:pPr>
      <w:r w:rsidRPr="00591AEF">
        <w:t>1.</w:t>
      </w:r>
      <w:r w:rsidRPr="00591AEF">
        <w:tab/>
        <w:t xml:space="preserve">À sa soixante et unième session, le Sous-Comité a examiné le document informel INF.38, dans lequel la Chine proposait de modifier les prescriptions relatives à l’étiquetage des emballages contenant des batteries au lithium ionique, plus précisément les prescriptions soit de la disposition spéciale 384, soit du 5.2.2.1.7 du Règlement type, pour les adapter aux emballages de différents volumes afin que les étiquettes restent suffisamment visibles pendant le transport. Au cours de la session, certains experts ont dit qu’à choisir, ils </w:t>
      </w:r>
      <w:r w:rsidR="00591AEF" w:rsidRPr="00591AEF">
        <w:t>préféreraient</w:t>
      </w:r>
      <w:r w:rsidRPr="00591AEF">
        <w:t xml:space="preserve"> modifier la disposition spéciale 384. D’autres ont fait part de leur inquiétude quant aux conséquences possibles de la modification des dimensions minimales des étiquettes.</w:t>
      </w:r>
    </w:p>
    <w:p w14:paraId="749BF202" w14:textId="77777777" w:rsidR="00A91DB5" w:rsidRPr="00594A22" w:rsidRDefault="00A91DB5" w:rsidP="00591AEF">
      <w:pPr>
        <w:pStyle w:val="SingleTxtG"/>
        <w:rPr>
          <w:lang w:val="fr-FR"/>
        </w:rPr>
      </w:pPr>
      <w:r>
        <w:rPr>
          <w:lang w:val="fr-FR"/>
        </w:rPr>
        <w:t>2.</w:t>
      </w:r>
      <w:r>
        <w:rPr>
          <w:lang w:val="fr-FR"/>
        </w:rPr>
        <w:tab/>
        <w:t>Après la session, les experts chinois ont consulté plusieurs fabricants de batteries au lithium ionique à ce sujet. Les professionnels du secteur ont estimé que la modification des prescriptions de la disposition spéciale 384 en vue d’adapter l’étiquetage à la taille des colis permettrait que les étiquettes soient suffisamment visibles pendant le transport, ce qui contribuerait au transport en toute sécurité des colis contenant des batteries au lithium ionique. Sur la base de la réaction des professionnels et des observations des experts, la Chine a mis à jour la proposition et introduit une mesure transitoire destinée à permettre au secteur de s’adapter en douceur aux nouvelles prescriptions.</w:t>
      </w:r>
    </w:p>
    <w:p w14:paraId="1DA02CD1" w14:textId="77777777" w:rsidR="00A91DB5" w:rsidRPr="00594A22" w:rsidRDefault="00A91DB5" w:rsidP="00591AEF">
      <w:pPr>
        <w:pStyle w:val="HChG"/>
        <w:rPr>
          <w:rFonts w:eastAsia="Times New Roman"/>
          <w:lang w:val="fr-FR"/>
        </w:rPr>
      </w:pPr>
      <w:r>
        <w:rPr>
          <w:lang w:val="fr-FR"/>
        </w:rPr>
        <w:lastRenderedPageBreak/>
        <w:tab/>
      </w:r>
      <w:r>
        <w:rPr>
          <w:lang w:val="fr-FR"/>
        </w:rPr>
        <w:tab/>
      </w:r>
      <w:r>
        <w:rPr>
          <w:lang w:val="fr-FR"/>
        </w:rPr>
        <w:tab/>
        <w:t>Proposition</w:t>
      </w:r>
    </w:p>
    <w:p w14:paraId="24E40B98" w14:textId="18EF671B" w:rsidR="00A91DB5" w:rsidRPr="00594A22" w:rsidRDefault="00A91DB5" w:rsidP="00591AEF">
      <w:pPr>
        <w:pStyle w:val="SingleTxtG"/>
        <w:keepNext/>
        <w:rPr>
          <w:lang w:val="fr-FR"/>
        </w:rPr>
      </w:pPr>
      <w:r>
        <w:rPr>
          <w:lang w:val="fr-FR"/>
        </w:rPr>
        <w:t>3.</w:t>
      </w:r>
      <w:r>
        <w:rPr>
          <w:lang w:val="fr-FR"/>
        </w:rPr>
        <w:tab/>
        <w:t>La Chine propose de modifier la disposition spéciale 384 (chap</w:t>
      </w:r>
      <w:r w:rsidR="00591AEF">
        <w:rPr>
          <w:lang w:val="fr-FR"/>
        </w:rPr>
        <w:t>. </w:t>
      </w:r>
      <w:r>
        <w:rPr>
          <w:lang w:val="fr-FR"/>
        </w:rPr>
        <w:t>3.3) comme suit (les</w:t>
      </w:r>
      <w:r w:rsidR="00591AEF">
        <w:rPr>
          <w:lang w:val="fr-FR"/>
        </w:rPr>
        <w:t> </w:t>
      </w:r>
      <w:r>
        <w:rPr>
          <w:lang w:val="fr-FR"/>
        </w:rPr>
        <w:t xml:space="preserve">suppressions sont </w:t>
      </w:r>
      <w:r>
        <w:rPr>
          <w:strike/>
          <w:lang w:val="fr-FR"/>
        </w:rPr>
        <w:t>biffées</w:t>
      </w:r>
      <w:r>
        <w:rPr>
          <w:lang w:val="fr-FR"/>
        </w:rPr>
        <w:t xml:space="preserve">, les ajouts sont en caractères </w:t>
      </w:r>
      <w:r>
        <w:rPr>
          <w:b/>
          <w:bCs/>
          <w:u w:val="single"/>
          <w:lang w:val="fr-FR"/>
        </w:rPr>
        <w:t>gras soulignés</w:t>
      </w:r>
      <w:r>
        <w:rPr>
          <w:lang w:val="fr-FR"/>
        </w:rPr>
        <w:t>)</w:t>
      </w:r>
      <w:r w:rsidR="00591AEF">
        <w:rPr>
          <w:lang w:val="fr-FR"/>
        </w:rPr>
        <w:t> </w:t>
      </w:r>
      <w:r>
        <w:rPr>
          <w:lang w:val="fr-FR"/>
        </w:rPr>
        <w:t>:</w:t>
      </w:r>
    </w:p>
    <w:p w14:paraId="5B9D8C80" w14:textId="6C5C3FC3" w:rsidR="00A91DB5" w:rsidRPr="00594A22" w:rsidRDefault="00A91DB5" w:rsidP="00591AEF">
      <w:pPr>
        <w:pStyle w:val="SingleTxtG"/>
        <w:tabs>
          <w:tab w:val="clear" w:pos="1701"/>
        </w:tabs>
        <w:ind w:left="2268" w:hanging="1134"/>
        <w:rPr>
          <w:lang w:val="fr-FR"/>
        </w:rPr>
      </w:pPr>
      <w:r>
        <w:rPr>
          <w:lang w:val="fr-FR"/>
        </w:rPr>
        <w:t>« 384</w:t>
      </w:r>
      <w:r>
        <w:rPr>
          <w:lang w:val="fr-FR"/>
        </w:rPr>
        <w:tab/>
        <w:t>Il faut utiliser l’étiquette du modèle N</w:t>
      </w:r>
      <w:r w:rsidRPr="00591AEF">
        <w:rPr>
          <w:vertAlign w:val="superscript"/>
          <w:lang w:val="fr-FR"/>
        </w:rPr>
        <w:t>o</w:t>
      </w:r>
      <w:r w:rsidR="00591AEF">
        <w:rPr>
          <w:lang w:val="fr-FR"/>
        </w:rPr>
        <w:t> </w:t>
      </w:r>
      <w:r>
        <w:rPr>
          <w:lang w:val="fr-FR"/>
        </w:rPr>
        <w:t>9A, voir 5.2.2.2.2. Cependant, pour le placardage des engins de transport, la plaque-étiquette doit correspondre au modèle N</w:t>
      </w:r>
      <w:r w:rsidRPr="00591AEF">
        <w:rPr>
          <w:vertAlign w:val="superscript"/>
          <w:lang w:val="fr-FR"/>
        </w:rPr>
        <w:t>o</w:t>
      </w:r>
      <w:r w:rsidR="00591AEF">
        <w:rPr>
          <w:lang w:val="fr-FR"/>
        </w:rPr>
        <w:t> </w:t>
      </w:r>
      <w:r>
        <w:rPr>
          <w:lang w:val="fr-FR"/>
        </w:rPr>
        <w:t>9.</w:t>
      </w:r>
    </w:p>
    <w:p w14:paraId="4623F2E0" w14:textId="3090FEB9" w:rsidR="00A91DB5" w:rsidRPr="00594A22" w:rsidRDefault="00A91DB5" w:rsidP="00591AEF">
      <w:pPr>
        <w:pStyle w:val="SingleTxtG"/>
        <w:ind w:left="2268"/>
        <w:rPr>
          <w:i/>
          <w:iCs/>
          <w:lang w:val="fr-FR"/>
        </w:rPr>
      </w:pPr>
      <w:r>
        <w:rPr>
          <w:i/>
          <w:iCs/>
          <w:lang w:val="fr-FR"/>
        </w:rPr>
        <w:t>NOTA</w:t>
      </w:r>
      <w:r w:rsidR="00591AEF">
        <w:rPr>
          <w:i/>
          <w:iCs/>
          <w:lang w:val="fr-FR"/>
        </w:rPr>
        <w:t> </w:t>
      </w:r>
      <w:r>
        <w:rPr>
          <w:i/>
          <w:iCs/>
          <w:lang w:val="fr-FR"/>
        </w:rPr>
        <w:t>: L’étiquette pour la classe 9 (modèle N</w:t>
      </w:r>
      <w:r w:rsidRPr="00591AEF">
        <w:rPr>
          <w:i/>
          <w:iCs/>
          <w:vertAlign w:val="superscript"/>
          <w:lang w:val="fr-FR"/>
        </w:rPr>
        <w:t>o</w:t>
      </w:r>
      <w:r w:rsidR="00591AEF">
        <w:rPr>
          <w:i/>
          <w:iCs/>
          <w:lang w:val="fr-FR"/>
        </w:rPr>
        <w:t> </w:t>
      </w:r>
      <w:r>
        <w:rPr>
          <w:i/>
          <w:iCs/>
          <w:lang w:val="fr-FR"/>
        </w:rPr>
        <w:t>9) peut continuer à être utilisée jusqu’au 31</w:t>
      </w:r>
      <w:r w:rsidR="00591AEF">
        <w:rPr>
          <w:i/>
          <w:iCs/>
          <w:lang w:val="fr-FR"/>
        </w:rPr>
        <w:t> </w:t>
      </w:r>
      <w:r>
        <w:rPr>
          <w:i/>
          <w:iCs/>
          <w:lang w:val="fr-FR"/>
        </w:rPr>
        <w:t>décembre 2018.</w:t>
      </w:r>
    </w:p>
    <w:p w14:paraId="6C295630" w14:textId="34E677C5" w:rsidR="00A91DB5" w:rsidRPr="00594A22" w:rsidRDefault="00A91DB5" w:rsidP="00591AEF">
      <w:pPr>
        <w:pStyle w:val="SingleTxtG"/>
        <w:ind w:left="2835" w:hanging="567"/>
        <w:rPr>
          <w:b/>
          <w:bCs/>
          <w:u w:val="single"/>
          <w:lang w:val="fr-FR"/>
        </w:rPr>
      </w:pPr>
      <w:r>
        <w:rPr>
          <w:b/>
          <w:bCs/>
          <w:lang w:val="fr-FR"/>
        </w:rPr>
        <w:t>a)</w:t>
      </w:r>
      <w:r>
        <w:rPr>
          <w:lang w:val="fr-FR"/>
        </w:rPr>
        <w:tab/>
      </w:r>
      <w:r w:rsidRPr="00594A22">
        <w:rPr>
          <w:b/>
          <w:bCs/>
          <w:u w:val="single"/>
          <w:lang w:val="fr-FR"/>
        </w:rPr>
        <w:t>Les grands emballages et les colis dont le volume est supérieur à 0,45</w:t>
      </w:r>
      <w:r w:rsidR="00591AEF">
        <w:rPr>
          <w:b/>
          <w:bCs/>
          <w:u w:val="single"/>
          <w:lang w:val="fr-FR"/>
        </w:rPr>
        <w:t> </w:t>
      </w:r>
      <w:r w:rsidRPr="00594A22">
        <w:rPr>
          <w:b/>
          <w:bCs/>
          <w:u w:val="single"/>
          <w:lang w:val="fr-FR"/>
        </w:rPr>
        <w:t>m</w:t>
      </w:r>
      <w:r w:rsidRPr="00594A22">
        <w:rPr>
          <w:b/>
          <w:bCs/>
          <w:u w:val="single"/>
          <w:vertAlign w:val="superscript"/>
          <w:lang w:val="fr-FR"/>
        </w:rPr>
        <w:t>3</w:t>
      </w:r>
      <w:r w:rsidRPr="00594A22">
        <w:rPr>
          <w:b/>
          <w:bCs/>
          <w:u w:val="single"/>
          <w:lang w:val="fr-FR"/>
        </w:rPr>
        <w:t xml:space="preserve"> mais inférieur à 3</w:t>
      </w:r>
      <w:r w:rsidR="00591AEF">
        <w:rPr>
          <w:b/>
          <w:bCs/>
          <w:u w:val="single"/>
          <w:lang w:val="fr-FR"/>
        </w:rPr>
        <w:t> </w:t>
      </w:r>
      <w:r w:rsidRPr="00594A22">
        <w:rPr>
          <w:b/>
          <w:bCs/>
          <w:u w:val="single"/>
          <w:lang w:val="fr-FR"/>
        </w:rPr>
        <w:t>m</w:t>
      </w:r>
      <w:r w:rsidRPr="00594A22">
        <w:rPr>
          <w:b/>
          <w:bCs/>
          <w:u w:val="single"/>
          <w:vertAlign w:val="superscript"/>
          <w:lang w:val="fr-FR"/>
        </w:rPr>
        <w:t>3</w:t>
      </w:r>
      <w:r w:rsidRPr="00594A22">
        <w:rPr>
          <w:b/>
          <w:bCs/>
          <w:u w:val="single"/>
          <w:lang w:val="fr-FR"/>
        </w:rPr>
        <w:t xml:space="preserve"> doivent comporter deux étiquettes du modèle N</w:t>
      </w:r>
      <w:r w:rsidRPr="00591AEF">
        <w:rPr>
          <w:b/>
          <w:bCs/>
          <w:u w:val="single"/>
          <w:vertAlign w:val="superscript"/>
          <w:lang w:val="fr-FR"/>
        </w:rPr>
        <w:t>o</w:t>
      </w:r>
      <w:r w:rsidR="00591AEF">
        <w:rPr>
          <w:b/>
          <w:bCs/>
          <w:u w:val="single"/>
          <w:lang w:val="fr-FR"/>
        </w:rPr>
        <w:t> </w:t>
      </w:r>
      <w:r w:rsidRPr="00594A22">
        <w:rPr>
          <w:b/>
          <w:bCs/>
          <w:u w:val="single"/>
          <w:lang w:val="fr-FR"/>
        </w:rPr>
        <w:t>9A sur deux côtés opposés.</w:t>
      </w:r>
    </w:p>
    <w:p w14:paraId="08DC4EFA" w14:textId="4094A7E4" w:rsidR="00A91DB5" w:rsidRPr="00594A22" w:rsidRDefault="00A91DB5" w:rsidP="00591AEF">
      <w:pPr>
        <w:pStyle w:val="SingleTxtG"/>
        <w:ind w:left="2835" w:hanging="567"/>
        <w:rPr>
          <w:b/>
          <w:bCs/>
          <w:u w:val="single"/>
          <w:lang w:val="fr-FR"/>
        </w:rPr>
      </w:pPr>
      <w:r w:rsidRPr="00ED1A36">
        <w:rPr>
          <w:b/>
          <w:bCs/>
          <w:lang w:val="fr-FR"/>
        </w:rPr>
        <w:t>b)</w:t>
      </w:r>
      <w:r w:rsidRPr="00ED1A36">
        <w:rPr>
          <w:lang w:val="fr-FR"/>
        </w:rPr>
        <w:tab/>
      </w:r>
      <w:r w:rsidRPr="00594A22">
        <w:rPr>
          <w:b/>
          <w:bCs/>
          <w:u w:val="single"/>
          <w:lang w:val="fr-FR"/>
        </w:rPr>
        <w:t>Si le volume du colis dépasse 3</w:t>
      </w:r>
      <w:r w:rsidR="00591AEF">
        <w:rPr>
          <w:b/>
          <w:bCs/>
          <w:u w:val="single"/>
          <w:lang w:val="fr-FR"/>
        </w:rPr>
        <w:t> </w:t>
      </w:r>
      <w:r w:rsidRPr="00594A22">
        <w:rPr>
          <w:b/>
          <w:bCs/>
          <w:u w:val="single"/>
          <w:lang w:val="fr-FR"/>
        </w:rPr>
        <w:t>m</w:t>
      </w:r>
      <w:r w:rsidRPr="00594A22">
        <w:rPr>
          <w:b/>
          <w:bCs/>
          <w:u w:val="single"/>
          <w:vertAlign w:val="superscript"/>
          <w:lang w:val="fr-FR"/>
        </w:rPr>
        <w:t>3</w:t>
      </w:r>
      <w:r w:rsidRPr="00594A22">
        <w:rPr>
          <w:b/>
          <w:bCs/>
          <w:u w:val="single"/>
          <w:lang w:val="fr-FR"/>
        </w:rPr>
        <w:t>, le colis doit comporter, sur deux côtés opposés, des étiquettes du modèle N</w:t>
      </w:r>
      <w:r w:rsidRPr="00591AEF">
        <w:rPr>
          <w:b/>
          <w:bCs/>
          <w:u w:val="single"/>
          <w:vertAlign w:val="superscript"/>
          <w:lang w:val="fr-FR"/>
        </w:rPr>
        <w:t>o</w:t>
      </w:r>
      <w:r w:rsidR="00591AEF">
        <w:rPr>
          <w:b/>
          <w:bCs/>
          <w:u w:val="single"/>
          <w:lang w:val="fr-FR"/>
        </w:rPr>
        <w:t> </w:t>
      </w:r>
      <w:r w:rsidRPr="00594A22">
        <w:rPr>
          <w:b/>
          <w:bCs/>
          <w:u w:val="single"/>
          <w:lang w:val="fr-FR"/>
        </w:rPr>
        <w:t xml:space="preserve">9A </w:t>
      </w:r>
      <w:r>
        <w:rPr>
          <w:b/>
          <w:bCs/>
          <w:u w:val="single"/>
          <w:lang w:val="fr-FR"/>
        </w:rPr>
        <w:t xml:space="preserve">mesurant au minimum </w:t>
      </w:r>
      <w:r w:rsidRPr="00594A22">
        <w:rPr>
          <w:b/>
          <w:bCs/>
          <w:u w:val="single"/>
          <w:lang w:val="fr-FR"/>
        </w:rPr>
        <w:t>250</w:t>
      </w:r>
      <w:r>
        <w:rPr>
          <w:b/>
          <w:bCs/>
          <w:u w:val="single"/>
          <w:lang w:val="fr-FR"/>
        </w:rPr>
        <w:t> </w:t>
      </w:r>
      <w:r w:rsidRPr="00594A22">
        <w:rPr>
          <w:b/>
          <w:bCs/>
          <w:u w:val="single"/>
          <w:lang w:val="fr-FR"/>
        </w:rPr>
        <w:t>mm</w:t>
      </w:r>
      <w:r>
        <w:rPr>
          <w:b/>
          <w:bCs/>
          <w:u w:val="single"/>
          <w:lang w:val="fr-FR"/>
        </w:rPr>
        <w:t> </w:t>
      </w:r>
      <w:r w:rsidRPr="00594A22">
        <w:rPr>
          <w:b/>
          <w:bCs/>
          <w:u w:val="single"/>
          <w:lang w:val="fr-FR"/>
        </w:rPr>
        <w:t>x</w:t>
      </w:r>
      <w:r>
        <w:rPr>
          <w:b/>
          <w:bCs/>
          <w:u w:val="single"/>
          <w:lang w:val="fr-FR"/>
        </w:rPr>
        <w:t> </w:t>
      </w:r>
      <w:r w:rsidRPr="00594A22">
        <w:rPr>
          <w:b/>
          <w:bCs/>
          <w:u w:val="single"/>
          <w:lang w:val="fr-FR"/>
        </w:rPr>
        <w:t>250</w:t>
      </w:r>
      <w:r>
        <w:rPr>
          <w:b/>
          <w:bCs/>
          <w:u w:val="single"/>
          <w:lang w:val="fr-FR"/>
        </w:rPr>
        <w:t> </w:t>
      </w:r>
      <w:r w:rsidRPr="00594A22">
        <w:rPr>
          <w:b/>
          <w:bCs/>
          <w:u w:val="single"/>
          <w:lang w:val="fr-FR"/>
        </w:rPr>
        <w:t>mm.</w:t>
      </w:r>
    </w:p>
    <w:p w14:paraId="06CE70B7" w14:textId="1B41499B" w:rsidR="00A91DB5" w:rsidRDefault="00A91DB5" w:rsidP="00591AEF">
      <w:pPr>
        <w:pStyle w:val="SingleTxtG"/>
        <w:ind w:left="2268"/>
        <w:rPr>
          <w:i/>
          <w:iCs/>
          <w:u w:val="single"/>
          <w:lang w:val="fr-FR"/>
        </w:rPr>
      </w:pPr>
      <w:r>
        <w:rPr>
          <w:b/>
          <w:bCs/>
          <w:i/>
          <w:iCs/>
          <w:u w:val="single"/>
          <w:lang w:val="fr-FR"/>
        </w:rPr>
        <w:t>NOTA</w:t>
      </w:r>
      <w:r w:rsidR="00591AEF">
        <w:rPr>
          <w:b/>
          <w:bCs/>
          <w:i/>
          <w:iCs/>
          <w:u w:val="single"/>
          <w:lang w:val="fr-FR"/>
        </w:rPr>
        <w:t> </w:t>
      </w:r>
      <w:r>
        <w:rPr>
          <w:b/>
          <w:bCs/>
          <w:i/>
          <w:iCs/>
          <w:u w:val="single"/>
          <w:lang w:val="fr-FR"/>
        </w:rPr>
        <w:t>: Les prescriptions de la disposition spéciale 384 relatives à l’étiquetage figurant dans la vingt-troisième édition révisée des Recommandations relatives au transport des marchandises dangereuses, Règlement type, peuvent continuer à être appliquées jusqu’au 31</w:t>
      </w:r>
      <w:r w:rsidR="00591AEF">
        <w:rPr>
          <w:b/>
          <w:bCs/>
          <w:i/>
          <w:iCs/>
          <w:u w:val="single"/>
          <w:lang w:val="fr-FR"/>
        </w:rPr>
        <w:t> </w:t>
      </w:r>
      <w:r>
        <w:rPr>
          <w:b/>
          <w:bCs/>
          <w:i/>
          <w:iCs/>
          <w:u w:val="single"/>
          <w:lang w:val="fr-FR"/>
        </w:rPr>
        <w:t>décembre 2028.</w:t>
      </w:r>
      <w:r w:rsidRPr="00591AEF">
        <w:rPr>
          <w:i/>
          <w:iCs/>
          <w:u w:val="single"/>
          <w:lang w:val="fr-FR"/>
        </w:rPr>
        <w:t> »</w:t>
      </w:r>
      <w:r w:rsidR="00591AEF" w:rsidRPr="00591AEF">
        <w:rPr>
          <w:i/>
          <w:iCs/>
          <w:u w:val="single"/>
          <w:lang w:val="fr-FR"/>
        </w:rPr>
        <w:t>.</w:t>
      </w:r>
    </w:p>
    <w:p w14:paraId="500AA140" w14:textId="2D2123E3" w:rsidR="00446FE5" w:rsidRPr="00591AEF" w:rsidRDefault="00591AEF" w:rsidP="00591AE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591AEF" w:rsidSect="00A91D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92FA" w14:textId="77777777" w:rsidR="00C23354" w:rsidRDefault="00C23354" w:rsidP="00F95C08">
      <w:pPr>
        <w:spacing w:line="240" w:lineRule="auto"/>
      </w:pPr>
    </w:p>
  </w:endnote>
  <w:endnote w:type="continuationSeparator" w:id="0">
    <w:p w14:paraId="76B2B5E6" w14:textId="77777777" w:rsidR="00C23354" w:rsidRPr="00AC3823" w:rsidRDefault="00C23354" w:rsidP="00AC3823">
      <w:pPr>
        <w:pStyle w:val="Pieddepage"/>
      </w:pPr>
    </w:p>
  </w:endnote>
  <w:endnote w:type="continuationNotice" w:id="1">
    <w:p w14:paraId="3425BAAC" w14:textId="77777777" w:rsidR="00C23354" w:rsidRDefault="00C233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BEC0" w14:textId="39340434" w:rsidR="00A91DB5" w:rsidRPr="00A91DB5" w:rsidRDefault="00A91DB5" w:rsidP="00A91DB5">
    <w:pPr>
      <w:pStyle w:val="Pieddepage"/>
      <w:tabs>
        <w:tab w:val="right" w:pos="9638"/>
      </w:tabs>
    </w:pPr>
    <w:r w:rsidRPr="00A91DB5">
      <w:rPr>
        <w:b/>
        <w:sz w:val="18"/>
      </w:rPr>
      <w:fldChar w:fldCharType="begin"/>
    </w:r>
    <w:r w:rsidRPr="00A91DB5">
      <w:rPr>
        <w:b/>
        <w:sz w:val="18"/>
      </w:rPr>
      <w:instrText xml:space="preserve"> PAGE  \* MERGEFORMAT </w:instrText>
    </w:r>
    <w:r w:rsidRPr="00A91DB5">
      <w:rPr>
        <w:b/>
        <w:sz w:val="18"/>
      </w:rPr>
      <w:fldChar w:fldCharType="separate"/>
    </w:r>
    <w:r w:rsidRPr="00A91DB5">
      <w:rPr>
        <w:b/>
        <w:noProof/>
        <w:sz w:val="18"/>
      </w:rPr>
      <w:t>2</w:t>
    </w:r>
    <w:r w:rsidRPr="00A91DB5">
      <w:rPr>
        <w:b/>
        <w:sz w:val="18"/>
      </w:rPr>
      <w:fldChar w:fldCharType="end"/>
    </w:r>
    <w:r>
      <w:rPr>
        <w:b/>
        <w:sz w:val="18"/>
      </w:rPr>
      <w:tab/>
    </w:r>
    <w:r>
      <w:t>GE.23-06587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6A50" w14:textId="5627E322" w:rsidR="00A91DB5" w:rsidRPr="00A91DB5" w:rsidRDefault="00A91DB5" w:rsidP="00A91DB5">
    <w:pPr>
      <w:pStyle w:val="Pieddepage"/>
      <w:tabs>
        <w:tab w:val="right" w:pos="9638"/>
      </w:tabs>
      <w:rPr>
        <w:b/>
        <w:sz w:val="18"/>
      </w:rPr>
    </w:pPr>
    <w:r>
      <w:t>GE.23-06587</w:t>
    </w:r>
    <w:r>
      <w:tab/>
    </w:r>
    <w:r w:rsidRPr="00A91DB5">
      <w:rPr>
        <w:b/>
        <w:sz w:val="18"/>
      </w:rPr>
      <w:fldChar w:fldCharType="begin"/>
    </w:r>
    <w:r w:rsidRPr="00A91DB5">
      <w:rPr>
        <w:b/>
        <w:sz w:val="18"/>
      </w:rPr>
      <w:instrText xml:space="preserve"> PAGE  \* MERGEFORMAT </w:instrText>
    </w:r>
    <w:r w:rsidRPr="00A91DB5">
      <w:rPr>
        <w:b/>
        <w:sz w:val="18"/>
      </w:rPr>
      <w:fldChar w:fldCharType="separate"/>
    </w:r>
    <w:r w:rsidRPr="00A91DB5">
      <w:rPr>
        <w:b/>
        <w:noProof/>
        <w:sz w:val="18"/>
      </w:rPr>
      <w:t>3</w:t>
    </w:r>
    <w:r w:rsidRPr="00A91D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3B7" w14:textId="78FC090D" w:rsidR="0068456F" w:rsidRPr="00A91DB5" w:rsidRDefault="00A91DB5" w:rsidP="00A91DB5">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4707807" wp14:editId="5CA55D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23-06587  (F)</w:t>
    </w:r>
    <w:r>
      <w:rPr>
        <w:noProof/>
        <w:sz w:val="20"/>
      </w:rPr>
      <w:drawing>
        <wp:anchor distT="0" distB="0" distL="114300" distR="114300" simplePos="0" relativeHeight="251660288" behindDoc="0" locked="0" layoutInCell="1" allowOverlap="1" wp14:anchorId="230E991F" wp14:editId="060E8D55">
          <wp:simplePos x="0" y="0"/>
          <wp:positionH relativeFrom="margin">
            <wp:posOffset>5489575</wp:posOffset>
          </wp:positionH>
          <wp:positionV relativeFrom="margin">
            <wp:posOffset>8891905</wp:posOffset>
          </wp:positionV>
          <wp:extent cx="638175" cy="638175"/>
          <wp:effectExtent l="0" t="0" r="9525" b="9525"/>
          <wp:wrapNone/>
          <wp:docPr id="2338673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160523    170523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F014" w14:textId="77777777" w:rsidR="00C23354" w:rsidRPr="00AC3823" w:rsidRDefault="00C23354" w:rsidP="00AC3823">
      <w:pPr>
        <w:pStyle w:val="Pieddepage"/>
        <w:tabs>
          <w:tab w:val="right" w:pos="2155"/>
        </w:tabs>
        <w:spacing w:after="80" w:line="240" w:lineRule="atLeast"/>
        <w:ind w:left="680"/>
        <w:rPr>
          <w:u w:val="single"/>
        </w:rPr>
      </w:pPr>
      <w:r>
        <w:rPr>
          <w:u w:val="single"/>
        </w:rPr>
        <w:tab/>
      </w:r>
    </w:p>
  </w:footnote>
  <w:footnote w:type="continuationSeparator" w:id="0">
    <w:p w14:paraId="76DDE87C" w14:textId="77777777" w:rsidR="00C23354" w:rsidRPr="00AC3823" w:rsidRDefault="00C23354" w:rsidP="00AC3823">
      <w:pPr>
        <w:pStyle w:val="Pieddepage"/>
        <w:tabs>
          <w:tab w:val="right" w:pos="2155"/>
        </w:tabs>
        <w:spacing w:after="80" w:line="240" w:lineRule="atLeast"/>
        <w:ind w:left="680"/>
        <w:rPr>
          <w:u w:val="single"/>
        </w:rPr>
      </w:pPr>
      <w:r>
        <w:rPr>
          <w:u w:val="single"/>
        </w:rPr>
        <w:tab/>
      </w:r>
    </w:p>
  </w:footnote>
  <w:footnote w:type="continuationNotice" w:id="1">
    <w:p w14:paraId="62B87A08" w14:textId="77777777" w:rsidR="00C23354" w:rsidRPr="00AC3823" w:rsidRDefault="00C23354">
      <w:pPr>
        <w:spacing w:line="240" w:lineRule="auto"/>
        <w:rPr>
          <w:sz w:val="2"/>
          <w:szCs w:val="2"/>
        </w:rPr>
      </w:pPr>
    </w:p>
  </w:footnote>
  <w:footnote w:id="2">
    <w:p w14:paraId="1895B8EA" w14:textId="63EC8936" w:rsidR="00591AEF" w:rsidRPr="00591AEF" w:rsidRDefault="00591AEF">
      <w:pPr>
        <w:pStyle w:val="Notedebasdepage"/>
      </w:pPr>
      <w:r>
        <w:rPr>
          <w:rStyle w:val="Appelnotedebasdep"/>
        </w:rPr>
        <w:tab/>
      </w:r>
      <w:r w:rsidRPr="00591AEF">
        <w:rPr>
          <w:rStyle w:val="Appelnotedebasdep"/>
          <w:sz w:val="20"/>
          <w:vertAlign w:val="baseline"/>
        </w:rPr>
        <w:t>*</w:t>
      </w:r>
      <w:r>
        <w:rPr>
          <w:rStyle w:val="Appelnotedebasdep"/>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CB48" w14:textId="67A896D9" w:rsidR="00A91DB5" w:rsidRPr="00A91DB5" w:rsidRDefault="00A91DB5">
    <w:pPr>
      <w:pStyle w:val="En-tte"/>
    </w:pPr>
    <w:fldSimple w:instr=" TITLE  \* MERGEFORMAT ">
      <w:r w:rsidR="002E3DCF">
        <w:t>ST/SG/AC.10/C.3/2023/8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95C3" w14:textId="7BE23672" w:rsidR="00A91DB5" w:rsidRPr="00A91DB5" w:rsidRDefault="00A91DB5" w:rsidP="00A91DB5">
    <w:pPr>
      <w:pStyle w:val="En-tte"/>
      <w:jc w:val="right"/>
    </w:pPr>
    <w:fldSimple w:instr=" TITLE  \* MERGEFORMAT ">
      <w:r w:rsidR="002E3DCF">
        <w:t>ST/SG/AC.10/C.3/2023/8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60368096">
    <w:abstractNumId w:val="12"/>
  </w:num>
  <w:num w:numId="2" w16cid:durableId="205148347">
    <w:abstractNumId w:val="11"/>
  </w:num>
  <w:num w:numId="3" w16cid:durableId="738015">
    <w:abstractNumId w:val="10"/>
  </w:num>
  <w:num w:numId="4" w16cid:durableId="2111392925">
    <w:abstractNumId w:val="8"/>
  </w:num>
  <w:num w:numId="5" w16cid:durableId="21563101">
    <w:abstractNumId w:val="3"/>
  </w:num>
  <w:num w:numId="6" w16cid:durableId="1858150892">
    <w:abstractNumId w:val="2"/>
  </w:num>
  <w:num w:numId="7" w16cid:durableId="1820923113">
    <w:abstractNumId w:val="1"/>
  </w:num>
  <w:num w:numId="8" w16cid:durableId="441533472">
    <w:abstractNumId w:val="0"/>
  </w:num>
  <w:num w:numId="9" w16cid:durableId="1494569600">
    <w:abstractNumId w:val="9"/>
  </w:num>
  <w:num w:numId="10" w16cid:durableId="1065762438">
    <w:abstractNumId w:val="7"/>
  </w:num>
  <w:num w:numId="11" w16cid:durableId="21637320">
    <w:abstractNumId w:val="6"/>
  </w:num>
  <w:num w:numId="12" w16cid:durableId="65079468">
    <w:abstractNumId w:val="5"/>
  </w:num>
  <w:num w:numId="13" w16cid:durableId="1596086018">
    <w:abstractNumId w:val="4"/>
  </w:num>
  <w:num w:numId="14" w16cid:durableId="114758730">
    <w:abstractNumId w:val="12"/>
  </w:num>
  <w:num w:numId="15" w16cid:durableId="526526997">
    <w:abstractNumId w:val="11"/>
  </w:num>
  <w:num w:numId="16" w16cid:durableId="1051609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54"/>
    <w:rsid w:val="00017F94"/>
    <w:rsid w:val="00023842"/>
    <w:rsid w:val="000305D3"/>
    <w:rsid w:val="000334F9"/>
    <w:rsid w:val="0007796D"/>
    <w:rsid w:val="000B7790"/>
    <w:rsid w:val="00111F2F"/>
    <w:rsid w:val="00132EA9"/>
    <w:rsid w:val="0014365E"/>
    <w:rsid w:val="00166F1B"/>
    <w:rsid w:val="00172E49"/>
    <w:rsid w:val="00176178"/>
    <w:rsid w:val="001F525A"/>
    <w:rsid w:val="00223272"/>
    <w:rsid w:val="0024779E"/>
    <w:rsid w:val="00283190"/>
    <w:rsid w:val="002832AC"/>
    <w:rsid w:val="002D7C93"/>
    <w:rsid w:val="002E3DCF"/>
    <w:rsid w:val="00441C3B"/>
    <w:rsid w:val="00446FE5"/>
    <w:rsid w:val="00452396"/>
    <w:rsid w:val="004E468C"/>
    <w:rsid w:val="005505B7"/>
    <w:rsid w:val="00573BE5"/>
    <w:rsid w:val="00584DC4"/>
    <w:rsid w:val="00586ED3"/>
    <w:rsid w:val="00591AEF"/>
    <w:rsid w:val="00596AA9"/>
    <w:rsid w:val="0068456F"/>
    <w:rsid w:val="0071601D"/>
    <w:rsid w:val="007A62E6"/>
    <w:rsid w:val="0080684C"/>
    <w:rsid w:val="008123E0"/>
    <w:rsid w:val="00871C75"/>
    <w:rsid w:val="008776DC"/>
    <w:rsid w:val="008B40CD"/>
    <w:rsid w:val="009705C8"/>
    <w:rsid w:val="009C1CF4"/>
    <w:rsid w:val="00A30353"/>
    <w:rsid w:val="00A81281"/>
    <w:rsid w:val="00A91DB5"/>
    <w:rsid w:val="00AC3823"/>
    <w:rsid w:val="00AE323C"/>
    <w:rsid w:val="00B00181"/>
    <w:rsid w:val="00B00B0D"/>
    <w:rsid w:val="00B765F7"/>
    <w:rsid w:val="00BA0CA9"/>
    <w:rsid w:val="00C02897"/>
    <w:rsid w:val="00C23354"/>
    <w:rsid w:val="00D3439C"/>
    <w:rsid w:val="00DB1831"/>
    <w:rsid w:val="00DD3BFD"/>
    <w:rsid w:val="00DF6678"/>
    <w:rsid w:val="00ED1A36"/>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071B"/>
  <w15:docId w15:val="{CC3EF397-42E9-4A77-B437-8EB0DD5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uiPriority w:val="99"/>
    <w:qFormat/>
    <w:locked/>
    <w:rsid w:val="00A91DB5"/>
    <w:rPr>
      <w:rFonts w:ascii="Times New Roman" w:eastAsiaTheme="minorHAnsi" w:hAnsi="Times New Roman" w:cs="Times New Roman"/>
      <w:b/>
      <w:sz w:val="28"/>
      <w:szCs w:val="20"/>
      <w:lang w:eastAsia="en-US"/>
    </w:rPr>
  </w:style>
  <w:style w:type="character" w:customStyle="1" w:styleId="H1GChar">
    <w:name w:val="_ H_1_G Char"/>
    <w:link w:val="H1G"/>
    <w:uiPriority w:val="99"/>
    <w:locked/>
    <w:rsid w:val="00A91DB5"/>
    <w:rPr>
      <w:rFonts w:ascii="Times New Roman" w:eastAsiaTheme="minorHAnsi" w:hAnsi="Times New Roman" w:cs="Times New Roman"/>
      <w:b/>
      <w:sz w:val="24"/>
      <w:szCs w:val="20"/>
      <w:lang w:eastAsia="en-US"/>
    </w:rPr>
  </w:style>
  <w:style w:type="character" w:customStyle="1" w:styleId="SingleTxtGChar">
    <w:name w:val="_ Single Txt_G Char"/>
    <w:link w:val="SingleTxtG"/>
    <w:uiPriority w:val="99"/>
    <w:qFormat/>
    <w:locked/>
    <w:rsid w:val="00A91DB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336B6-4E44-4110-B9AC-F101D35D13EF}"/>
</file>

<file path=customXml/itemProps2.xml><?xml version="1.0" encoding="utf-8"?>
<ds:datastoreItem xmlns:ds="http://schemas.openxmlformats.org/officeDocument/2006/customXml" ds:itemID="{781046C3-39D5-4030-A944-60CC13B668CE}"/>
</file>

<file path=docProps/app.xml><?xml version="1.0" encoding="utf-8"?>
<Properties xmlns="http://schemas.openxmlformats.org/officeDocument/2006/extended-properties" xmlns:vt="http://schemas.openxmlformats.org/officeDocument/2006/docPropsVTypes">
  <Template>ST.dotm</Template>
  <TotalTime>1</TotalTime>
  <Pages>2</Pages>
  <Words>470</Words>
  <Characters>2650</Characters>
  <Application>Microsoft Office Word</Application>
  <DocSecurity>0</DocSecurity>
  <Lines>59</Lines>
  <Paragraphs>26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ST/SG/AC.10/C.3/2023/8</dc:title>
  <dc:subject/>
  <dc:creator>Christine CHAUTAGNAT</dc:creator>
  <cp:keywords/>
  <cp:lastModifiedBy>Christine Chautagnat</cp:lastModifiedBy>
  <cp:revision>3</cp:revision>
  <cp:lastPrinted>2023-05-17T07:04:00Z</cp:lastPrinted>
  <dcterms:created xsi:type="dcterms:W3CDTF">2023-05-17T07:04:00Z</dcterms:created>
  <dcterms:modified xsi:type="dcterms:W3CDTF">2023-05-17T07:04:00Z</dcterms:modified>
</cp:coreProperties>
</file>