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336364D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66C8B2" w14:textId="77777777" w:rsidR="00132EA9" w:rsidRPr="00DB58B5" w:rsidRDefault="00132EA9" w:rsidP="001B125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12E399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644978" w14:textId="1A8241F2" w:rsidR="00132EA9" w:rsidRPr="00DB58B5" w:rsidRDefault="001B125D" w:rsidP="001B125D">
            <w:pPr>
              <w:jc w:val="right"/>
            </w:pPr>
            <w:r w:rsidRPr="001B125D">
              <w:rPr>
                <w:sz w:val="40"/>
              </w:rPr>
              <w:t>ST</w:t>
            </w:r>
            <w:r>
              <w:t>/SG/AC.10/C.3/2023/30</w:t>
            </w:r>
          </w:p>
        </w:tc>
      </w:tr>
      <w:tr w:rsidR="00132EA9" w:rsidRPr="00DB58B5" w14:paraId="1488BC9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20B406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F6224C" wp14:editId="568E919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A6FFD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D067A8" w14:textId="77777777" w:rsidR="00132EA9" w:rsidRDefault="001B125D" w:rsidP="00F01738">
            <w:pPr>
              <w:spacing w:before="240"/>
            </w:pPr>
            <w:r>
              <w:t>Distr. générale</w:t>
            </w:r>
          </w:p>
          <w:p w14:paraId="1A2496DA" w14:textId="1EEF11D4" w:rsidR="001B125D" w:rsidRDefault="001B125D" w:rsidP="001B125D">
            <w:pPr>
              <w:spacing w:line="240" w:lineRule="exact"/>
            </w:pPr>
            <w:r>
              <w:t>21 avril 2023</w:t>
            </w:r>
          </w:p>
          <w:p w14:paraId="57EC3953" w14:textId="77777777" w:rsidR="001B125D" w:rsidRDefault="001B125D" w:rsidP="001B125D">
            <w:pPr>
              <w:spacing w:line="240" w:lineRule="exact"/>
            </w:pPr>
            <w:r>
              <w:t>Français</w:t>
            </w:r>
          </w:p>
          <w:p w14:paraId="7DB143F3" w14:textId="101B9920" w:rsidR="001B125D" w:rsidRPr="00DB58B5" w:rsidRDefault="001B125D" w:rsidP="001B125D">
            <w:pPr>
              <w:spacing w:line="240" w:lineRule="exact"/>
            </w:pPr>
            <w:r>
              <w:t>Original : anglais</w:t>
            </w:r>
          </w:p>
        </w:tc>
      </w:tr>
    </w:tbl>
    <w:p w14:paraId="48605942" w14:textId="2E40EE48" w:rsidR="001B125D" w:rsidRPr="00CA0680" w:rsidRDefault="001B125D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334D0960" w14:textId="5BB65EE1" w:rsidR="001B125D" w:rsidRPr="00CA0680" w:rsidRDefault="001B125D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</w:t>
      </w:r>
      <w:r w:rsidRPr="00D07A49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D07A49">
        <w:rPr>
          <w:b/>
          <w:bCs/>
          <w:lang w:val="fr-FR"/>
        </w:rPr>
        <w:t>experts du transport des marchandises dangereuses</w:t>
      </w:r>
    </w:p>
    <w:p w14:paraId="2D6D7DE5" w14:textId="027641C6" w:rsidR="001B125D" w:rsidRDefault="001B125D" w:rsidP="000305D3">
      <w:pPr>
        <w:spacing w:before="120"/>
        <w:rPr>
          <w:b/>
        </w:rPr>
      </w:pPr>
      <w:r>
        <w:rPr>
          <w:b/>
        </w:rPr>
        <w:t>Soixante-deuxième</w:t>
      </w:r>
      <w:r w:rsidRPr="00CA0680">
        <w:rPr>
          <w:b/>
        </w:rPr>
        <w:t xml:space="preserve"> session</w:t>
      </w:r>
    </w:p>
    <w:p w14:paraId="5C8381BF" w14:textId="7C6F63C2" w:rsidR="001B125D" w:rsidRDefault="001B125D" w:rsidP="000305D3">
      <w:r>
        <w:t>Genève, 3-7 juillet 2023</w:t>
      </w:r>
    </w:p>
    <w:p w14:paraId="3C156822" w14:textId="26220047" w:rsidR="001B125D" w:rsidRDefault="001B125D" w:rsidP="000305D3">
      <w:r>
        <w:t>Point 3 de l’ordre du jour provisoire</w:t>
      </w:r>
    </w:p>
    <w:p w14:paraId="39538E75" w14:textId="77777777" w:rsidR="001B125D" w:rsidRPr="00D07A49" w:rsidRDefault="001B125D" w:rsidP="001B125D">
      <w:pPr>
        <w:rPr>
          <w:b/>
          <w:bCs/>
          <w:lang w:val="fr-FR"/>
        </w:rPr>
      </w:pPr>
      <w:r w:rsidRPr="00D07A49">
        <w:rPr>
          <w:b/>
          <w:bCs/>
          <w:lang w:val="fr-FR"/>
        </w:rPr>
        <w:t>Inscription, classement et emballage</w:t>
      </w:r>
    </w:p>
    <w:p w14:paraId="558CEE60" w14:textId="3CF5B271" w:rsidR="001B125D" w:rsidRPr="00D07A49" w:rsidRDefault="001B125D" w:rsidP="001B125D">
      <w:pPr>
        <w:pStyle w:val="HChG"/>
        <w:rPr>
          <w:color w:val="000000" w:themeColor="text1"/>
          <w:lang w:val="fr-FR"/>
        </w:rPr>
      </w:pPr>
      <w:r w:rsidRPr="00D07A49">
        <w:rPr>
          <w:lang w:val="fr-FR"/>
        </w:rPr>
        <w:tab/>
      </w:r>
      <w:r w:rsidRPr="00D07A49">
        <w:rPr>
          <w:lang w:val="fr-FR"/>
        </w:rPr>
        <w:tab/>
      </w:r>
      <w:r w:rsidRPr="00D07A49">
        <w:rPr>
          <w:bCs/>
          <w:lang w:val="fr-FR"/>
        </w:rPr>
        <w:t xml:space="preserve">Produits actuels et futurs dans le secteur du gaz de pétrole liquéfié </w:t>
      </w:r>
      <w:r>
        <w:rPr>
          <w:bCs/>
          <w:lang w:val="fr-FR"/>
        </w:rPr>
        <w:t>−</w:t>
      </w:r>
      <w:r w:rsidRPr="00D07A49">
        <w:rPr>
          <w:bCs/>
          <w:lang w:val="fr-FR"/>
        </w:rPr>
        <w:t xml:space="preserve"> proposition de nouveau numéro ONU</w:t>
      </w:r>
    </w:p>
    <w:p w14:paraId="5CB885E9" w14:textId="2D097977" w:rsidR="001B125D" w:rsidRDefault="001B125D" w:rsidP="001B125D">
      <w:pPr>
        <w:pStyle w:val="H1G"/>
        <w:rPr>
          <w:vertAlign w:val="superscript"/>
          <w:lang w:val="fr-FR"/>
        </w:rPr>
      </w:pPr>
      <w:r w:rsidRPr="00D07A49">
        <w:rPr>
          <w:lang w:val="fr-FR"/>
        </w:rPr>
        <w:tab/>
      </w:r>
      <w:r w:rsidRPr="00D07A49">
        <w:rPr>
          <w:lang w:val="fr-FR"/>
        </w:rPr>
        <w:tab/>
        <w:t>Communication de la World LPG Association</w:t>
      </w:r>
      <w:r w:rsidRPr="001B125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1B125D">
        <w:rPr>
          <w:rStyle w:val="Appelnotedebasdep"/>
          <w:b w:val="0"/>
          <w:bCs/>
          <w:sz w:val="20"/>
        </w:rPr>
        <w:t>,</w:t>
      </w:r>
      <w:r w:rsidRPr="001B125D">
        <w:rPr>
          <w:b w:val="0"/>
          <w:bCs/>
          <w:sz w:val="20"/>
          <w:vertAlign w:val="superscript"/>
        </w:rPr>
        <w:t xml:space="preserve"> </w:t>
      </w:r>
      <w:r w:rsidRPr="001B125D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7"/>
      </w:tblGrid>
      <w:tr w:rsidR="001B125D" w14:paraId="715D2CFA" w14:textId="77777777" w:rsidTr="008865A9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1CD1" w14:textId="77777777" w:rsidR="001B125D" w:rsidRDefault="001B125D"/>
        </w:tc>
      </w:tr>
      <w:tr w:rsidR="001B125D" w14:paraId="1A17FA46" w14:textId="77777777" w:rsidTr="008865A9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375B9" w14:textId="507BEE2E" w:rsidR="001B125D" w:rsidRDefault="001B125D" w:rsidP="008865A9">
            <w:pPr>
              <w:spacing w:after="120"/>
              <w:ind w:left="2552" w:right="567" w:hanging="1985"/>
              <w:jc w:val="both"/>
            </w:pPr>
            <w:r w:rsidRPr="001B125D">
              <w:rPr>
                <w:b/>
                <w:bCs/>
              </w:rPr>
              <w:t>Résumé</w:t>
            </w:r>
            <w:r>
              <w:t> :</w:t>
            </w:r>
            <w:r>
              <w:tab/>
            </w:r>
            <w:r>
              <w:rPr>
                <w:lang w:val="fr-FR"/>
              </w:rPr>
              <w:t>Afin de réduire l’</w:t>
            </w:r>
            <w:r w:rsidRPr="00D07A49">
              <w:rPr>
                <w:lang w:val="fr-FR"/>
              </w:rPr>
              <w:t>empreinte carbone</w:t>
            </w:r>
            <w:r>
              <w:rPr>
                <w:lang w:val="fr-FR"/>
              </w:rPr>
              <w:t xml:space="preserve"> du carburant utilisé</w:t>
            </w:r>
            <w:r w:rsidRPr="00D07A49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il sera possible à l’avenir de remplacer partiellement </w:t>
            </w:r>
            <w:r w:rsidRPr="00D07A49">
              <w:rPr>
                <w:lang w:val="fr-FR"/>
              </w:rPr>
              <w:t>le gaz de pétrole liquéfié (GPL) classique (principalement composé de propane et de butane) par des mélanges d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éther méthylique renouvelable/recyclé et de GPL dans n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importe quel rapport. Conformément à la réglementation en vigueur, ces mélanges seraient normalement affectés au N</w:t>
            </w:r>
            <w:r w:rsidRPr="001B125D">
              <w:rPr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</w:t>
            </w:r>
            <w:r w:rsidRPr="00D07A49">
              <w:rPr>
                <w:lang w:val="fr-FR"/>
              </w:rPr>
              <w:t>ONU</w:t>
            </w:r>
            <w:r>
              <w:rPr>
                <w:lang w:val="fr-FR"/>
              </w:rPr>
              <w:t> </w:t>
            </w:r>
            <w:r w:rsidRPr="00D07A49">
              <w:rPr>
                <w:lang w:val="fr-FR"/>
              </w:rPr>
              <w:t xml:space="preserve">3161 </w:t>
            </w:r>
            <w:r>
              <w:rPr>
                <w:lang w:val="fr-FR"/>
              </w:rPr>
              <w:t>(</w:t>
            </w:r>
            <w:r w:rsidRPr="00D07A49">
              <w:rPr>
                <w:lang w:val="fr-FR"/>
              </w:rPr>
              <w:t>Gaz liquéfié inflammable, n.s.a</w:t>
            </w:r>
            <w:r>
              <w:rPr>
                <w:lang w:val="fr-FR"/>
              </w:rPr>
              <w:t>.)</w:t>
            </w:r>
            <w:r w:rsidRPr="00D07A49">
              <w:rPr>
                <w:lang w:val="fr-FR"/>
              </w:rPr>
              <w:t>. Toutefois, pour faciliter l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identification du produit en cas d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 xml:space="preserve">urgence, </w:t>
            </w:r>
            <w:r>
              <w:rPr>
                <w:lang w:val="fr-FR"/>
              </w:rPr>
              <w:t xml:space="preserve">les auteurs du présent document </w:t>
            </w:r>
            <w:r w:rsidRPr="00D07A49">
              <w:rPr>
                <w:lang w:val="fr-FR"/>
              </w:rPr>
              <w:t>propos</w:t>
            </w:r>
            <w:r>
              <w:rPr>
                <w:lang w:val="fr-FR"/>
              </w:rPr>
              <w:t>ent</w:t>
            </w:r>
            <w:r w:rsidRPr="00D07A49">
              <w:rPr>
                <w:lang w:val="fr-FR"/>
              </w:rPr>
              <w:t xml:space="preserve"> de créer un nouveau numéro ONU </w:t>
            </w:r>
            <w:r>
              <w:rPr>
                <w:lang w:val="fr-FR"/>
              </w:rPr>
              <w:t>pour la désignation « </w:t>
            </w:r>
            <w:r w:rsidRPr="00D07A49">
              <w:rPr>
                <w:lang w:val="fr-FR"/>
              </w:rPr>
              <w:t>Éther méthylique et hydrocarbures gazeux en mélange liquéfié, n.s.a</w:t>
            </w:r>
            <w:r>
              <w:rPr>
                <w:lang w:val="fr-FR"/>
              </w:rPr>
              <w:t>. »</w:t>
            </w:r>
            <w:r w:rsidRPr="00D07A49">
              <w:rPr>
                <w:lang w:val="fr-FR"/>
              </w:rPr>
              <w:t>. Ce</w:t>
            </w:r>
            <w:r>
              <w:rPr>
                <w:lang w:val="fr-FR"/>
              </w:rPr>
              <w:t> </w:t>
            </w:r>
            <w:r w:rsidRPr="00D07A49">
              <w:rPr>
                <w:lang w:val="fr-FR"/>
              </w:rPr>
              <w:t>nouveau numéro ONU s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applique</w:t>
            </w:r>
            <w:r>
              <w:rPr>
                <w:lang w:val="fr-FR"/>
              </w:rPr>
              <w:t>rait</w:t>
            </w:r>
            <w:r w:rsidRPr="00D07A49">
              <w:rPr>
                <w:lang w:val="fr-FR"/>
              </w:rPr>
              <w:t xml:space="preserve"> également aux mélanges d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éther méthylique et d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hydrocarbures gazeux qui ne sont pas classés comme GPL</w:t>
            </w:r>
            <w:r>
              <w:rPr>
                <w:lang w:val="fr-FR"/>
              </w:rPr>
              <w:t>, mais pour lesquels les</w:t>
            </w:r>
            <w:r w:rsidRPr="00D07A49">
              <w:rPr>
                <w:lang w:val="fr-FR"/>
              </w:rPr>
              <w:t xml:space="preserve"> mesures à prendre en cas d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urgence sont identiques.</w:t>
            </w:r>
          </w:p>
        </w:tc>
      </w:tr>
      <w:tr w:rsidR="001B125D" w14:paraId="280A8CCC" w14:textId="77777777" w:rsidTr="008865A9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331CE" w14:textId="1D0AF4D1" w:rsidR="001B125D" w:rsidRPr="001B125D" w:rsidRDefault="001B125D" w:rsidP="008865A9">
            <w:pPr>
              <w:spacing w:after="120"/>
              <w:ind w:left="2552" w:right="567" w:hanging="19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Mesures à prendre</w:t>
            </w:r>
            <w:r w:rsidRPr="001B125D">
              <w:t> :</w:t>
            </w:r>
            <w:r>
              <w:tab/>
            </w:r>
            <w:r w:rsidRPr="00D07A49">
              <w:rPr>
                <w:lang w:val="fr-FR"/>
              </w:rPr>
              <w:t>Créer un nouveau numéro ONU pour les mélanges d</w:t>
            </w:r>
            <w:r>
              <w:rPr>
                <w:lang w:val="fr-FR"/>
              </w:rPr>
              <w:t>’</w:t>
            </w:r>
            <w:r w:rsidRPr="00D07A49">
              <w:rPr>
                <w:lang w:val="fr-FR"/>
              </w:rPr>
              <w:t>éther méthylique et de GPL intitulé « Éther méthylique et hydrocarbures gazeux en mélange liquéfié, n.s.a. ».</w:t>
            </w:r>
          </w:p>
        </w:tc>
      </w:tr>
      <w:tr w:rsidR="001B125D" w14:paraId="75661012" w14:textId="77777777" w:rsidTr="008865A9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D8723" w14:textId="1CA6D336" w:rsidR="001B125D" w:rsidRPr="001B125D" w:rsidRDefault="001B125D" w:rsidP="008865A9">
            <w:pPr>
              <w:spacing w:after="120"/>
              <w:ind w:left="2552" w:right="567" w:hanging="1985"/>
              <w:jc w:val="both"/>
            </w:pPr>
            <w:r>
              <w:rPr>
                <w:b/>
                <w:bCs/>
              </w:rPr>
              <w:t>Documents connexes</w:t>
            </w:r>
            <w:r>
              <w:t> :</w:t>
            </w:r>
            <w:r>
              <w:tab/>
            </w:r>
            <w:r w:rsidRPr="00D07A49">
              <w:rPr>
                <w:lang w:val="fr-FR"/>
              </w:rPr>
              <w:t>Document ST/SG/AC.10/C.3/2022/53 et document informel INF.24 de la soixante et unième session)</w:t>
            </w:r>
            <w:r>
              <w:rPr>
                <w:lang w:val="fr-FR"/>
              </w:rPr>
              <w:t>.</w:t>
            </w:r>
          </w:p>
        </w:tc>
      </w:tr>
      <w:tr w:rsidR="001B125D" w14:paraId="1BDEDBE9" w14:textId="77777777" w:rsidTr="008865A9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0E85" w14:textId="77777777" w:rsidR="001B125D" w:rsidRDefault="001B125D"/>
        </w:tc>
      </w:tr>
      <w:tr w:rsidR="001B125D" w14:paraId="67C1006A" w14:textId="77777777" w:rsidTr="008865A9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C5476" w14:textId="77777777" w:rsidR="001B125D" w:rsidRDefault="001B125D"/>
        </w:tc>
      </w:tr>
      <w:tr w:rsidR="001B125D" w14:paraId="072B81F6" w14:textId="77777777" w:rsidTr="008865A9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51EB" w14:textId="77777777" w:rsidR="001B125D" w:rsidRDefault="001B125D"/>
        </w:tc>
      </w:tr>
    </w:tbl>
    <w:p w14:paraId="265179E8" w14:textId="7471DE4D" w:rsidR="001B125D" w:rsidRDefault="001B125D" w:rsidP="001B125D">
      <w:pPr>
        <w:pStyle w:val="SingleTxtG"/>
      </w:pPr>
      <w:r>
        <w:br w:type="page"/>
      </w:r>
    </w:p>
    <w:p w14:paraId="6F4B0BAE" w14:textId="77777777" w:rsidR="001B125D" w:rsidRPr="00D07A49" w:rsidRDefault="001B125D" w:rsidP="001B125D">
      <w:pPr>
        <w:pStyle w:val="HChG"/>
        <w:rPr>
          <w:lang w:val="fr-FR"/>
        </w:rPr>
      </w:pPr>
      <w:r w:rsidRPr="00D07A49">
        <w:rPr>
          <w:bCs/>
          <w:lang w:val="fr-FR"/>
        </w:rPr>
        <w:lastRenderedPageBreak/>
        <w:tab/>
        <w:t>I.</w:t>
      </w:r>
      <w:r w:rsidRPr="00D07A49">
        <w:rPr>
          <w:lang w:val="fr-FR"/>
        </w:rPr>
        <w:tab/>
      </w:r>
      <w:r w:rsidRPr="00D07A49">
        <w:rPr>
          <w:bCs/>
          <w:lang w:val="fr-FR"/>
        </w:rPr>
        <w:t>Cadre général</w:t>
      </w:r>
    </w:p>
    <w:p w14:paraId="2D0BF7E4" w14:textId="77777777" w:rsidR="001B125D" w:rsidRPr="00D07A49" w:rsidRDefault="001B125D" w:rsidP="001B125D">
      <w:pPr>
        <w:pStyle w:val="SingleTxtG"/>
        <w:rPr>
          <w:lang w:val="fr-FR"/>
        </w:rPr>
      </w:pPr>
      <w:r w:rsidRPr="00D07A49">
        <w:rPr>
          <w:lang w:val="fr-FR"/>
        </w:rPr>
        <w:t>1.</w:t>
      </w:r>
      <w:r w:rsidRPr="00D07A49">
        <w:rPr>
          <w:lang w:val="fr-FR"/>
        </w:rPr>
        <w:tab/>
        <w:t xml:space="preserve">Le document ST/SG/AC.10/C.3/2022/53 </w:t>
      </w:r>
      <w:r>
        <w:rPr>
          <w:lang w:val="fr-FR"/>
        </w:rPr>
        <w:t>(</w:t>
      </w:r>
      <w:r w:rsidRPr="00D07A49">
        <w:rPr>
          <w:lang w:val="fr-FR"/>
        </w:rPr>
        <w:t>soixante et unième session</w:t>
      </w:r>
      <w:r>
        <w:rPr>
          <w:lang w:val="fr-FR"/>
        </w:rPr>
        <w:t>)</w:t>
      </w:r>
      <w:r w:rsidRPr="00D07A49">
        <w:rPr>
          <w:lang w:val="fr-FR"/>
        </w:rPr>
        <w:t xml:space="preserve"> contient des informations générales sur la manière dont le secteur du GPL évolue et s</w:t>
      </w:r>
      <w:r>
        <w:rPr>
          <w:lang w:val="fr-FR"/>
        </w:rPr>
        <w:t>’</w:t>
      </w:r>
      <w:r w:rsidRPr="00D07A49">
        <w:rPr>
          <w:lang w:val="fr-FR"/>
        </w:rPr>
        <w:t>adapte pour atteindre ses objectifs en matière de sources renouvelables.</w:t>
      </w:r>
    </w:p>
    <w:p w14:paraId="3F31BA6C" w14:textId="77777777" w:rsidR="001B125D" w:rsidRPr="00D07A49" w:rsidRDefault="001B125D" w:rsidP="001B125D">
      <w:pPr>
        <w:pStyle w:val="SingleTxtG"/>
        <w:rPr>
          <w:lang w:val="fr-FR"/>
        </w:rPr>
      </w:pPr>
      <w:r w:rsidRPr="00D07A49">
        <w:rPr>
          <w:lang w:val="fr-FR"/>
        </w:rPr>
        <w:t>2.</w:t>
      </w:r>
      <w:r w:rsidRPr="00D07A49">
        <w:rPr>
          <w:lang w:val="fr-FR"/>
        </w:rPr>
        <w:tab/>
        <w:t xml:space="preserve">Le document informel INF.24 </w:t>
      </w:r>
      <w:r>
        <w:rPr>
          <w:lang w:val="fr-FR"/>
        </w:rPr>
        <w:t>(</w:t>
      </w:r>
      <w:r w:rsidRPr="00D07A49">
        <w:rPr>
          <w:lang w:val="fr-FR"/>
        </w:rPr>
        <w:t>soixante et unième session</w:t>
      </w:r>
      <w:r>
        <w:rPr>
          <w:lang w:val="fr-FR"/>
        </w:rPr>
        <w:t>)</w:t>
      </w:r>
      <w:r w:rsidRPr="00D07A49">
        <w:rPr>
          <w:lang w:val="fr-FR"/>
        </w:rPr>
        <w:t xml:space="preserve"> présente les propositions du secteur du GPL concernant </w:t>
      </w:r>
      <w:r>
        <w:rPr>
          <w:lang w:val="fr-FR"/>
        </w:rPr>
        <w:t xml:space="preserve">la création </w:t>
      </w:r>
      <w:r w:rsidRPr="00D07A49">
        <w:rPr>
          <w:lang w:val="fr-FR"/>
        </w:rPr>
        <w:t>d</w:t>
      </w:r>
      <w:r>
        <w:rPr>
          <w:lang w:val="fr-FR"/>
        </w:rPr>
        <w:t>’</w:t>
      </w:r>
      <w:r w:rsidRPr="00D07A49">
        <w:rPr>
          <w:lang w:val="fr-FR"/>
        </w:rPr>
        <w:t>un nouveau numéro ONU.</w:t>
      </w:r>
    </w:p>
    <w:p w14:paraId="71C99DD8" w14:textId="242398C3" w:rsidR="001B125D" w:rsidRPr="00D07A49" w:rsidRDefault="001B125D" w:rsidP="001B125D">
      <w:pPr>
        <w:pStyle w:val="SingleTxtG"/>
        <w:rPr>
          <w:lang w:val="fr-FR"/>
        </w:rPr>
      </w:pPr>
      <w:r w:rsidRPr="00D07A49">
        <w:rPr>
          <w:lang w:val="fr-FR"/>
        </w:rPr>
        <w:t>3.</w:t>
      </w:r>
      <w:r w:rsidRPr="00D07A49">
        <w:rPr>
          <w:lang w:val="fr-FR"/>
        </w:rPr>
        <w:tab/>
        <w:t>À sa soixante et unième session, le Sous-Comité s</w:t>
      </w:r>
      <w:r>
        <w:rPr>
          <w:lang w:val="fr-FR"/>
        </w:rPr>
        <w:t>’</w:t>
      </w:r>
      <w:r w:rsidRPr="00D07A49">
        <w:rPr>
          <w:lang w:val="fr-FR"/>
        </w:rPr>
        <w:t>est félicité que le secteur du gaz de pétrole liquéfié (GPL) ait proposé, pour aller dans le sens de l</w:t>
      </w:r>
      <w:r>
        <w:rPr>
          <w:lang w:val="fr-FR"/>
        </w:rPr>
        <w:t>’</w:t>
      </w:r>
      <w:r w:rsidRPr="00D07A49">
        <w:rPr>
          <w:lang w:val="fr-FR"/>
        </w:rPr>
        <w:t>économie circulaire et de l</w:t>
      </w:r>
      <w:r>
        <w:rPr>
          <w:lang w:val="fr-FR"/>
        </w:rPr>
        <w:t>’</w:t>
      </w:r>
      <w:r w:rsidRPr="00D07A49">
        <w:rPr>
          <w:lang w:val="fr-FR"/>
        </w:rPr>
        <w:t>utilisation durable des ressources naturelles, des solutions pour réduire l</w:t>
      </w:r>
      <w:r>
        <w:rPr>
          <w:lang w:val="fr-FR"/>
        </w:rPr>
        <w:t>’</w:t>
      </w:r>
      <w:r w:rsidRPr="00D07A49">
        <w:rPr>
          <w:lang w:val="fr-FR"/>
        </w:rPr>
        <w:t>empreinte carbone globale. En ce qui concerne la proposition figurant dans le document informel INF.24, à</w:t>
      </w:r>
      <w:r>
        <w:rPr>
          <w:lang w:val="fr-FR"/>
        </w:rPr>
        <w:t> </w:t>
      </w:r>
      <w:r w:rsidRPr="00D07A49">
        <w:rPr>
          <w:lang w:val="fr-FR"/>
        </w:rPr>
        <w:t>savoir la création d</w:t>
      </w:r>
      <w:r>
        <w:rPr>
          <w:lang w:val="fr-FR"/>
        </w:rPr>
        <w:t>’</w:t>
      </w:r>
      <w:r w:rsidRPr="00D07A49">
        <w:rPr>
          <w:lang w:val="fr-FR"/>
        </w:rPr>
        <w:t>un nouveau numéro ONU pour les mélanges contenant un pourcentage beaucoup plus élevé d</w:t>
      </w:r>
      <w:r>
        <w:rPr>
          <w:lang w:val="fr-FR"/>
        </w:rPr>
        <w:t>’</w:t>
      </w:r>
      <w:r w:rsidRPr="00D07A49">
        <w:rPr>
          <w:lang w:val="fr-FR"/>
        </w:rPr>
        <w:t>éther méthylique, les experts qui se sont exprimés se sont en général montrés prudents et ont souhaité élargir leur vision à d</w:t>
      </w:r>
      <w:r>
        <w:rPr>
          <w:lang w:val="fr-FR"/>
        </w:rPr>
        <w:t>’</w:t>
      </w:r>
      <w:r w:rsidRPr="00D07A49">
        <w:rPr>
          <w:lang w:val="fr-FR"/>
        </w:rPr>
        <w:t>autres secteurs que celui des transports, en particulier pour prendre en compte les implications pour le secteur des engins mobiles non routiers et sont convenus de reprendre l</w:t>
      </w:r>
      <w:r>
        <w:rPr>
          <w:lang w:val="fr-FR"/>
        </w:rPr>
        <w:t>’</w:t>
      </w:r>
      <w:r w:rsidRPr="00D07A49">
        <w:rPr>
          <w:lang w:val="fr-FR"/>
        </w:rPr>
        <w:t>examen de cette question à la session suivante du Sous-Comité.</w:t>
      </w:r>
    </w:p>
    <w:p w14:paraId="5EB954CA" w14:textId="77777777" w:rsidR="001B125D" w:rsidRPr="00D07A49" w:rsidRDefault="001B125D" w:rsidP="001B125D">
      <w:pPr>
        <w:pStyle w:val="HChG"/>
        <w:rPr>
          <w:b w:val="0"/>
          <w:bCs/>
          <w:sz w:val="24"/>
          <w:szCs w:val="24"/>
          <w:lang w:val="fr-FR"/>
        </w:rPr>
      </w:pPr>
      <w:r w:rsidRPr="00D07A49">
        <w:rPr>
          <w:bCs/>
          <w:lang w:val="fr-FR"/>
        </w:rPr>
        <w:tab/>
        <w:t>II.</w:t>
      </w:r>
      <w:r w:rsidRPr="00D07A49">
        <w:rPr>
          <w:lang w:val="fr-FR"/>
        </w:rPr>
        <w:tab/>
      </w:r>
      <w:r w:rsidRPr="00D07A49">
        <w:rPr>
          <w:bCs/>
          <w:lang w:val="fr-FR"/>
        </w:rPr>
        <w:t>Proposition</w:t>
      </w:r>
    </w:p>
    <w:p w14:paraId="06F6A3D3" w14:textId="47096999" w:rsidR="001B125D" w:rsidRPr="00D07A49" w:rsidRDefault="001B125D" w:rsidP="001B125D">
      <w:pPr>
        <w:pStyle w:val="SingleTxtG"/>
        <w:rPr>
          <w:lang w:val="fr-FR"/>
        </w:rPr>
      </w:pPr>
      <w:r w:rsidRPr="00D07A49">
        <w:rPr>
          <w:lang w:val="fr-FR"/>
        </w:rPr>
        <w:t>4.</w:t>
      </w:r>
      <w:r w:rsidRPr="00D07A49">
        <w:rPr>
          <w:lang w:val="fr-FR"/>
        </w:rPr>
        <w:tab/>
        <w:t>Ajouter une nouvelle rubrique à la Liste des marchandises dangereuses, au 3.2.2, comme suit</w:t>
      </w:r>
      <w:r>
        <w:rPr>
          <w:lang w:val="fr-FR"/>
        </w:rPr>
        <w:t> </w:t>
      </w:r>
      <w:r w:rsidRPr="00D07A49">
        <w:rPr>
          <w:lang w:val="fr-FR"/>
        </w:rPr>
        <w:t>: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403"/>
        <w:gridCol w:w="566"/>
        <w:gridCol w:w="566"/>
        <w:gridCol w:w="568"/>
        <w:gridCol w:w="655"/>
        <w:gridCol w:w="551"/>
        <w:gridCol w:w="553"/>
        <w:gridCol w:w="691"/>
        <w:gridCol w:w="551"/>
        <w:gridCol w:w="414"/>
        <w:gridCol w:w="401"/>
      </w:tblGrid>
      <w:tr w:rsidR="001B125D" w:rsidRPr="001B125D" w14:paraId="677459F3" w14:textId="77777777" w:rsidTr="001B125D">
        <w:trPr>
          <w:trHeight w:val="360"/>
        </w:trPr>
        <w:tc>
          <w:tcPr>
            <w:tcW w:w="369" w:type="pct"/>
            <w:shd w:val="clear" w:color="auto" w:fill="auto"/>
            <w:vAlign w:val="center"/>
          </w:tcPr>
          <w:p w14:paraId="3EF79258" w14:textId="77777777" w:rsidR="001B125D" w:rsidRPr="001B125D" w:rsidRDefault="001B125D" w:rsidP="008D5ACA">
            <w:pPr>
              <w:pStyle w:val="SingleTxtG"/>
              <w:tabs>
                <w:tab w:val="left" w:pos="1269"/>
              </w:tabs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(1)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3AB618C1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(2)</w:t>
            </w:r>
          </w:p>
        </w:tc>
        <w:tc>
          <w:tcPr>
            <w:tcW w:w="294" w:type="pct"/>
            <w:vAlign w:val="center"/>
          </w:tcPr>
          <w:p w14:paraId="76E07555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(3)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C023A30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(4)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C7F041A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(5)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FCD29EB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(6)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CCDF95C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(7a)</w:t>
            </w:r>
          </w:p>
        </w:tc>
        <w:tc>
          <w:tcPr>
            <w:tcW w:w="287" w:type="pct"/>
            <w:vAlign w:val="center"/>
          </w:tcPr>
          <w:p w14:paraId="54E401DB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(7b)</w:t>
            </w:r>
          </w:p>
        </w:tc>
        <w:tc>
          <w:tcPr>
            <w:tcW w:w="359" w:type="pct"/>
            <w:vAlign w:val="center"/>
          </w:tcPr>
          <w:p w14:paraId="4A281AAE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(8)</w:t>
            </w:r>
          </w:p>
        </w:tc>
        <w:tc>
          <w:tcPr>
            <w:tcW w:w="286" w:type="pct"/>
            <w:vAlign w:val="center"/>
          </w:tcPr>
          <w:p w14:paraId="7F94632B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(9)</w:t>
            </w:r>
          </w:p>
        </w:tc>
        <w:tc>
          <w:tcPr>
            <w:tcW w:w="215" w:type="pct"/>
            <w:vAlign w:val="center"/>
          </w:tcPr>
          <w:p w14:paraId="7AAD6047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(10)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8538724" w14:textId="77777777" w:rsidR="001B125D" w:rsidRPr="001B125D" w:rsidRDefault="001B125D" w:rsidP="008D5ACA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(11)</w:t>
            </w:r>
          </w:p>
        </w:tc>
      </w:tr>
      <w:tr w:rsidR="001B125D" w:rsidRPr="001B125D" w14:paraId="49BA64EC" w14:textId="77777777" w:rsidTr="001B125D">
        <w:trPr>
          <w:trHeight w:val="360"/>
        </w:trPr>
        <w:tc>
          <w:tcPr>
            <w:tcW w:w="369" w:type="pct"/>
            <w:shd w:val="clear" w:color="auto" w:fill="auto"/>
          </w:tcPr>
          <w:p w14:paraId="75ABB25D" w14:textId="77777777" w:rsidR="001B125D" w:rsidRPr="001B125D" w:rsidRDefault="001B125D" w:rsidP="008D5ACA">
            <w:pPr>
              <w:pStyle w:val="SingleTxtG"/>
              <w:tabs>
                <w:tab w:val="left" w:pos="1269"/>
              </w:tabs>
              <w:spacing w:before="40" w:after="4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XXXX</w:t>
            </w:r>
          </w:p>
        </w:tc>
        <w:tc>
          <w:tcPr>
            <w:tcW w:w="1767" w:type="pct"/>
            <w:shd w:val="clear" w:color="auto" w:fill="auto"/>
          </w:tcPr>
          <w:p w14:paraId="56E699FD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6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ÉTHER MÉTHYLIQUE ET HYDROCARBURES GAZEUX EN MÉLANGE LIQUÉFIÉ, N.S.A.</w:t>
            </w:r>
          </w:p>
        </w:tc>
        <w:tc>
          <w:tcPr>
            <w:tcW w:w="294" w:type="pct"/>
          </w:tcPr>
          <w:p w14:paraId="67AE50A8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2.1</w:t>
            </w:r>
          </w:p>
        </w:tc>
        <w:tc>
          <w:tcPr>
            <w:tcW w:w="294" w:type="pct"/>
            <w:shd w:val="clear" w:color="auto" w:fill="auto"/>
          </w:tcPr>
          <w:p w14:paraId="25591D64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295" w:type="pct"/>
            <w:shd w:val="clear" w:color="auto" w:fill="auto"/>
          </w:tcPr>
          <w:p w14:paraId="66C94F6E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340" w:type="pct"/>
            <w:shd w:val="clear" w:color="auto" w:fill="auto"/>
          </w:tcPr>
          <w:p w14:paraId="53F92173" w14:textId="77777777" w:rsidR="001B125D" w:rsidRPr="001B125D" w:rsidRDefault="001B125D" w:rsidP="008D5ACA">
            <w:pPr>
              <w:keepNext/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274 392</w:t>
            </w:r>
          </w:p>
        </w:tc>
        <w:tc>
          <w:tcPr>
            <w:tcW w:w="286" w:type="pct"/>
            <w:shd w:val="clear" w:color="auto" w:fill="auto"/>
          </w:tcPr>
          <w:p w14:paraId="17852799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287" w:type="pct"/>
          </w:tcPr>
          <w:p w14:paraId="6A4CE4DB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E0</w:t>
            </w:r>
          </w:p>
        </w:tc>
        <w:tc>
          <w:tcPr>
            <w:tcW w:w="359" w:type="pct"/>
          </w:tcPr>
          <w:p w14:paraId="22F4A251" w14:textId="77777777" w:rsidR="001B125D" w:rsidRPr="001B125D" w:rsidRDefault="001B125D" w:rsidP="008D5ACA">
            <w:pPr>
              <w:suppressAutoHyphens w:val="0"/>
              <w:spacing w:before="40" w:after="4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P200</w:t>
            </w:r>
          </w:p>
        </w:tc>
        <w:tc>
          <w:tcPr>
            <w:tcW w:w="286" w:type="pct"/>
          </w:tcPr>
          <w:p w14:paraId="1E03C177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215" w:type="pct"/>
          </w:tcPr>
          <w:p w14:paraId="1121A303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T50</w:t>
            </w:r>
          </w:p>
        </w:tc>
        <w:tc>
          <w:tcPr>
            <w:tcW w:w="208" w:type="pct"/>
            <w:shd w:val="clear" w:color="auto" w:fill="auto"/>
          </w:tcPr>
          <w:p w14:paraId="52776715" w14:textId="77777777" w:rsidR="001B125D" w:rsidRPr="001B125D" w:rsidRDefault="001B125D" w:rsidP="008D5ACA">
            <w:pPr>
              <w:pStyle w:val="SingleTxtG"/>
              <w:spacing w:before="40" w:after="4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</w:tr>
    </w:tbl>
    <w:p w14:paraId="0EBE98D7" w14:textId="16A4DED9" w:rsidR="001B125D" w:rsidRPr="00D07A49" w:rsidRDefault="001B125D" w:rsidP="001B125D">
      <w:pPr>
        <w:pStyle w:val="SingleTxtG"/>
        <w:spacing w:before="120"/>
        <w:rPr>
          <w:lang w:val="fr-FR"/>
        </w:rPr>
      </w:pPr>
      <w:r w:rsidRPr="00D07A49">
        <w:rPr>
          <w:lang w:val="fr-FR"/>
        </w:rPr>
        <w:t>5.</w:t>
      </w:r>
      <w:r w:rsidRPr="00D07A49">
        <w:rPr>
          <w:lang w:val="fr-FR"/>
        </w:rPr>
        <w:tab/>
        <w:t>Au 4.1.4.1, instruction d</w:t>
      </w:r>
      <w:r>
        <w:rPr>
          <w:lang w:val="fr-FR"/>
        </w:rPr>
        <w:t>’</w:t>
      </w:r>
      <w:r w:rsidRPr="00D07A49">
        <w:rPr>
          <w:lang w:val="fr-FR"/>
        </w:rPr>
        <w:t>emballage P200, tableau 2, ajouter une nouvelle rubrique, comme suit</w:t>
      </w:r>
      <w:r>
        <w:rPr>
          <w:lang w:val="fr-FR"/>
        </w:rPr>
        <w:t> </w:t>
      </w:r>
      <w:r w:rsidRPr="00D07A49">
        <w:rPr>
          <w:lang w:val="fr-FR"/>
        </w:rPr>
        <w:t>: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1"/>
        <w:gridCol w:w="534"/>
        <w:gridCol w:w="535"/>
        <w:gridCol w:w="534"/>
        <w:gridCol w:w="535"/>
        <w:gridCol w:w="534"/>
        <w:gridCol w:w="535"/>
        <w:gridCol w:w="535"/>
        <w:gridCol w:w="415"/>
        <w:gridCol w:w="565"/>
        <w:gridCol w:w="564"/>
        <w:gridCol w:w="565"/>
        <w:gridCol w:w="565"/>
      </w:tblGrid>
      <w:tr w:rsidR="001B125D" w:rsidRPr="001B125D" w14:paraId="1242EFE8" w14:textId="77777777" w:rsidTr="001B125D">
        <w:trPr>
          <w:trHeight w:val="1713"/>
        </w:trPr>
        <w:tc>
          <w:tcPr>
            <w:tcW w:w="709" w:type="dxa"/>
            <w:vAlign w:val="center"/>
          </w:tcPr>
          <w:p w14:paraId="40FA212F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No ONU</w:t>
            </w:r>
          </w:p>
        </w:tc>
        <w:tc>
          <w:tcPr>
            <w:tcW w:w="2511" w:type="dxa"/>
            <w:vAlign w:val="center"/>
          </w:tcPr>
          <w:p w14:paraId="56D7E0F0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534" w:type="dxa"/>
            <w:textDirection w:val="btLr"/>
            <w:vAlign w:val="center"/>
          </w:tcPr>
          <w:p w14:paraId="32DD415D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Classe ou division</w:t>
            </w:r>
          </w:p>
        </w:tc>
        <w:tc>
          <w:tcPr>
            <w:tcW w:w="535" w:type="dxa"/>
            <w:textDirection w:val="btLr"/>
            <w:vAlign w:val="center"/>
          </w:tcPr>
          <w:p w14:paraId="6D214F05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Danger subsidiaire</w:t>
            </w:r>
          </w:p>
        </w:tc>
        <w:tc>
          <w:tcPr>
            <w:tcW w:w="534" w:type="dxa"/>
            <w:textDirection w:val="btLr"/>
            <w:vAlign w:val="center"/>
          </w:tcPr>
          <w:p w14:paraId="31E16289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CL</w:t>
            </w:r>
            <w:r w:rsidRPr="001B125D">
              <w:rPr>
                <w:b/>
                <w:bCs/>
                <w:sz w:val="16"/>
                <w:szCs w:val="16"/>
                <w:vertAlign w:val="subscript"/>
                <w:lang w:val="fr-FR"/>
              </w:rPr>
              <w:t>50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 xml:space="preserve"> (en ml/m</w:t>
            </w:r>
            <w:r w:rsidRPr="001B125D">
              <w:rPr>
                <w:b/>
                <w:bCs/>
                <w:sz w:val="16"/>
                <w:szCs w:val="16"/>
                <w:vertAlign w:val="superscript"/>
                <w:lang w:val="fr-FR"/>
              </w:rPr>
              <w:t>3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535" w:type="dxa"/>
            <w:textDirection w:val="btLr"/>
            <w:vAlign w:val="center"/>
          </w:tcPr>
          <w:p w14:paraId="2E8DF504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Bouteilles</w:t>
            </w:r>
          </w:p>
        </w:tc>
        <w:tc>
          <w:tcPr>
            <w:tcW w:w="534" w:type="dxa"/>
            <w:textDirection w:val="btLr"/>
            <w:vAlign w:val="center"/>
          </w:tcPr>
          <w:p w14:paraId="16FD6CBA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Tubes</w:t>
            </w:r>
          </w:p>
        </w:tc>
        <w:tc>
          <w:tcPr>
            <w:tcW w:w="535" w:type="dxa"/>
            <w:textDirection w:val="btLr"/>
            <w:vAlign w:val="center"/>
          </w:tcPr>
          <w:p w14:paraId="1340DFFC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Fûts à pression</w:t>
            </w:r>
          </w:p>
        </w:tc>
        <w:tc>
          <w:tcPr>
            <w:tcW w:w="535" w:type="dxa"/>
            <w:textDirection w:val="btLr"/>
            <w:vAlign w:val="center"/>
          </w:tcPr>
          <w:p w14:paraId="3ADD73CE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Cadres de bouteilles</w:t>
            </w:r>
          </w:p>
        </w:tc>
        <w:tc>
          <w:tcPr>
            <w:tcW w:w="415" w:type="dxa"/>
            <w:textDirection w:val="btLr"/>
            <w:vAlign w:val="center"/>
          </w:tcPr>
          <w:p w14:paraId="5CB07496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CGEM</w:t>
            </w:r>
          </w:p>
        </w:tc>
        <w:tc>
          <w:tcPr>
            <w:tcW w:w="565" w:type="dxa"/>
            <w:textDirection w:val="btLr"/>
            <w:vAlign w:val="center"/>
          </w:tcPr>
          <w:p w14:paraId="787574A8" w14:textId="77777777" w:rsidR="001B125D" w:rsidRPr="001B125D" w:rsidRDefault="001B125D" w:rsidP="001B125D">
            <w:pPr>
              <w:keepNext/>
              <w:spacing w:line="160" w:lineRule="atLeast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Périodicité des épreuves (en années)</w:t>
            </w:r>
          </w:p>
        </w:tc>
        <w:tc>
          <w:tcPr>
            <w:tcW w:w="564" w:type="dxa"/>
            <w:textDirection w:val="btLr"/>
            <w:vAlign w:val="center"/>
          </w:tcPr>
          <w:p w14:paraId="4D094CE3" w14:textId="0145ED48" w:rsidR="001B125D" w:rsidRPr="001B125D" w:rsidRDefault="001B125D" w:rsidP="001B125D">
            <w:pPr>
              <w:keepNext/>
              <w:spacing w:line="160" w:lineRule="atLeast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 xml:space="preserve">Pression d’épreuve </w:t>
            </w:r>
            <w:r>
              <w:rPr>
                <w:b/>
                <w:bCs/>
                <w:sz w:val="16"/>
                <w:szCs w:val="16"/>
                <w:lang w:val="fr-FR"/>
              </w:rPr>
              <w:br/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(en bar)</w:t>
            </w:r>
          </w:p>
        </w:tc>
        <w:tc>
          <w:tcPr>
            <w:tcW w:w="565" w:type="dxa"/>
            <w:textDirection w:val="btLr"/>
            <w:vAlign w:val="center"/>
          </w:tcPr>
          <w:p w14:paraId="78D7840B" w14:textId="77777777" w:rsidR="001B125D" w:rsidRPr="001B125D" w:rsidRDefault="001B125D" w:rsidP="008D5ACA">
            <w:pPr>
              <w:keepNext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Taux de remplissage</w:t>
            </w:r>
          </w:p>
        </w:tc>
        <w:tc>
          <w:tcPr>
            <w:tcW w:w="565" w:type="dxa"/>
            <w:textDirection w:val="btLr"/>
            <w:vAlign w:val="center"/>
          </w:tcPr>
          <w:p w14:paraId="7EF18331" w14:textId="77777777" w:rsidR="001B125D" w:rsidRPr="001B125D" w:rsidRDefault="001B125D" w:rsidP="001B125D">
            <w:pPr>
              <w:keepNext/>
              <w:spacing w:line="160" w:lineRule="exact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Dispositions spéciales d’emballage</w:t>
            </w:r>
          </w:p>
        </w:tc>
      </w:tr>
      <w:tr w:rsidR="001B125D" w:rsidRPr="001B125D" w14:paraId="0D1F0031" w14:textId="77777777" w:rsidTr="001B125D">
        <w:trPr>
          <w:trHeight w:val="283"/>
        </w:trPr>
        <w:tc>
          <w:tcPr>
            <w:tcW w:w="709" w:type="dxa"/>
          </w:tcPr>
          <w:p w14:paraId="2CFA498F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XXXX</w:t>
            </w:r>
          </w:p>
        </w:tc>
        <w:tc>
          <w:tcPr>
            <w:tcW w:w="2511" w:type="dxa"/>
          </w:tcPr>
          <w:p w14:paraId="18E4C838" w14:textId="77777777" w:rsidR="001B125D" w:rsidRPr="001B125D" w:rsidRDefault="001B125D" w:rsidP="008D5ACA">
            <w:pPr>
              <w:keepNext/>
              <w:spacing w:before="40" w:after="40"/>
              <w:ind w:left="141" w:firstLine="4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ÉTHER MÉTHYLIQUE ET HYDROCARBURES GAZEUX EN MÉLANGE LIQUÉFIÉ, N.S.A.</w:t>
            </w:r>
          </w:p>
        </w:tc>
        <w:tc>
          <w:tcPr>
            <w:tcW w:w="534" w:type="dxa"/>
          </w:tcPr>
          <w:p w14:paraId="1BE1DAF2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2,1</w:t>
            </w:r>
          </w:p>
        </w:tc>
        <w:tc>
          <w:tcPr>
            <w:tcW w:w="535" w:type="dxa"/>
          </w:tcPr>
          <w:p w14:paraId="42993E25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34" w:type="dxa"/>
          </w:tcPr>
          <w:p w14:paraId="0BF1EF2E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35" w:type="dxa"/>
          </w:tcPr>
          <w:p w14:paraId="5B71741A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</w:t>
            </w:r>
          </w:p>
        </w:tc>
        <w:tc>
          <w:tcPr>
            <w:tcW w:w="534" w:type="dxa"/>
          </w:tcPr>
          <w:p w14:paraId="2A7FF2B9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</w:t>
            </w:r>
          </w:p>
        </w:tc>
        <w:tc>
          <w:tcPr>
            <w:tcW w:w="535" w:type="dxa"/>
          </w:tcPr>
          <w:p w14:paraId="098F5E8E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</w:t>
            </w:r>
          </w:p>
        </w:tc>
        <w:tc>
          <w:tcPr>
            <w:tcW w:w="535" w:type="dxa"/>
          </w:tcPr>
          <w:p w14:paraId="5C2B1BAA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</w:t>
            </w:r>
          </w:p>
        </w:tc>
        <w:tc>
          <w:tcPr>
            <w:tcW w:w="415" w:type="dxa"/>
          </w:tcPr>
          <w:p w14:paraId="7CD13DCB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</w:t>
            </w:r>
          </w:p>
        </w:tc>
        <w:tc>
          <w:tcPr>
            <w:tcW w:w="565" w:type="dxa"/>
          </w:tcPr>
          <w:p w14:paraId="023C8A50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564" w:type="dxa"/>
          </w:tcPr>
          <w:p w14:paraId="6792D263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5" w:type="dxa"/>
          </w:tcPr>
          <w:p w14:paraId="069E0A12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5" w:type="dxa"/>
          </w:tcPr>
          <w:p w14:paraId="77F50072" w14:textId="77777777" w:rsidR="001B125D" w:rsidRPr="001B125D" w:rsidRDefault="001B125D" w:rsidP="008D5ACA">
            <w:pPr>
              <w:keepNext/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v, z</w:t>
            </w:r>
          </w:p>
        </w:tc>
      </w:tr>
    </w:tbl>
    <w:p w14:paraId="79570521" w14:textId="77777777" w:rsidR="001B125D" w:rsidRPr="00D07A49" w:rsidRDefault="001B125D" w:rsidP="001B125D">
      <w:pPr>
        <w:pStyle w:val="SingleTxtG"/>
        <w:spacing w:before="120"/>
        <w:rPr>
          <w:lang w:val="fr-FR"/>
        </w:rPr>
      </w:pPr>
      <w:r w:rsidRPr="00D07A49">
        <w:rPr>
          <w:lang w:val="fr-FR"/>
        </w:rPr>
        <w:t>6.</w:t>
      </w:r>
      <w:r w:rsidRPr="00D07A49">
        <w:rPr>
          <w:lang w:val="fr-FR"/>
        </w:rPr>
        <w:tab/>
        <w:t>Au 4.2.5.2.6, instruction de transport en citernes mobiles T50, ajouter une nouvelle rubrique</w:t>
      </w:r>
      <w:r>
        <w:rPr>
          <w:lang w:val="fr-FR"/>
        </w:rPr>
        <w:t>,</w:t>
      </w:r>
      <w:r w:rsidRPr="00D07A49">
        <w:rPr>
          <w:lang w:val="fr-FR"/>
        </w:rPr>
        <w:t xml:space="preserve"> comme suit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5"/>
        <w:gridCol w:w="2694"/>
        <w:gridCol w:w="2409"/>
        <w:gridCol w:w="1159"/>
        <w:gridCol w:w="1408"/>
        <w:gridCol w:w="1113"/>
      </w:tblGrid>
      <w:tr w:rsidR="001B125D" w:rsidRPr="001B125D" w14:paraId="7096BD98" w14:textId="77777777" w:rsidTr="008D5ACA">
        <w:tc>
          <w:tcPr>
            <w:tcW w:w="439" w:type="pct"/>
            <w:vAlign w:val="center"/>
          </w:tcPr>
          <w:p w14:paraId="1A6CBF12" w14:textId="77777777" w:rsidR="001B125D" w:rsidRPr="001B125D" w:rsidRDefault="001B125D" w:rsidP="008D5ACA">
            <w:pPr>
              <w:keepNext/>
              <w:keepLines/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No ONU</w:t>
            </w:r>
          </w:p>
        </w:tc>
        <w:tc>
          <w:tcPr>
            <w:tcW w:w="1399" w:type="pct"/>
            <w:vAlign w:val="center"/>
          </w:tcPr>
          <w:p w14:paraId="58EAE796" w14:textId="77777777" w:rsidR="001B125D" w:rsidRPr="001B125D" w:rsidRDefault="001B125D" w:rsidP="008D5ACA">
            <w:pPr>
              <w:keepNext/>
              <w:keepLines/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Gaz liquéfiés non réfrigérés</w:t>
            </w:r>
          </w:p>
        </w:tc>
        <w:tc>
          <w:tcPr>
            <w:tcW w:w="1251" w:type="pct"/>
            <w:vAlign w:val="center"/>
          </w:tcPr>
          <w:p w14:paraId="22099F8A" w14:textId="1F47900D" w:rsidR="001B125D" w:rsidRPr="001B125D" w:rsidRDefault="001B125D" w:rsidP="001B125D">
            <w:pPr>
              <w:keepNext/>
              <w:keepLines/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Pression de service maximale autorisée (bar)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fr-FR"/>
              </w:rPr>
              <w:br/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Petite citerne</w:t>
            </w:r>
            <w:r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;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Citerne nue</w:t>
            </w:r>
            <w:r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;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Citerne avec pare-soleil ;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Citerne avec isolation thermique ;</w:t>
            </w:r>
            <w:r w:rsidRPr="001B125D">
              <w:rPr>
                <w:sz w:val="16"/>
                <w:szCs w:val="16"/>
                <w:lang w:val="fr-FR"/>
              </w:rPr>
              <w:t xml:space="preserve"> 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respectivement</w:t>
            </w:r>
            <w:r w:rsidRPr="001B125D">
              <w:rPr>
                <w:b/>
                <w:bCs/>
                <w:sz w:val="16"/>
                <w:szCs w:val="16"/>
                <w:vertAlign w:val="superscript"/>
                <w:lang w:val="fr-FR"/>
              </w:rPr>
              <w:t>a</w:t>
            </w:r>
          </w:p>
        </w:tc>
        <w:tc>
          <w:tcPr>
            <w:tcW w:w="602" w:type="pct"/>
            <w:vAlign w:val="center"/>
          </w:tcPr>
          <w:p w14:paraId="663A28A7" w14:textId="64106E11" w:rsidR="001B125D" w:rsidRPr="001B125D" w:rsidRDefault="001B125D" w:rsidP="008D5ACA">
            <w:pPr>
              <w:keepNext/>
              <w:keepLines/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Orifices au</w:t>
            </w:r>
            <w:r>
              <w:rPr>
                <w:b/>
                <w:bCs/>
                <w:sz w:val="16"/>
                <w:szCs w:val="16"/>
                <w:lang w:val="fr-FR"/>
              </w:rPr>
              <w:noBreakHyphen/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dessous du</w:t>
            </w:r>
            <w:r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niveau du</w:t>
            </w:r>
            <w:r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1B125D">
              <w:rPr>
                <w:b/>
                <w:bCs/>
                <w:sz w:val="16"/>
                <w:szCs w:val="16"/>
                <w:lang w:val="fr-FR"/>
              </w:rPr>
              <w:t>liquide</w:t>
            </w:r>
          </w:p>
        </w:tc>
        <w:tc>
          <w:tcPr>
            <w:tcW w:w="731" w:type="pct"/>
            <w:vAlign w:val="center"/>
          </w:tcPr>
          <w:p w14:paraId="60367F5C" w14:textId="77777777" w:rsidR="001B125D" w:rsidRPr="001B125D" w:rsidRDefault="001B125D" w:rsidP="008D5ACA">
            <w:pPr>
              <w:keepNext/>
              <w:keepLines/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Dispositifs de décompression (voir 6.7.3.7)</w:t>
            </w:r>
            <w:r w:rsidRPr="001B125D">
              <w:rPr>
                <w:b/>
                <w:bCs/>
                <w:sz w:val="16"/>
                <w:szCs w:val="16"/>
                <w:vertAlign w:val="superscript"/>
                <w:lang w:val="fr-FR"/>
              </w:rPr>
              <w:t>b</w:t>
            </w:r>
          </w:p>
        </w:tc>
        <w:tc>
          <w:tcPr>
            <w:tcW w:w="578" w:type="pct"/>
            <w:vAlign w:val="center"/>
          </w:tcPr>
          <w:p w14:paraId="25C0CD75" w14:textId="77777777" w:rsidR="001B125D" w:rsidRPr="001B125D" w:rsidRDefault="001B125D" w:rsidP="008D5ACA">
            <w:pPr>
              <w:keepNext/>
              <w:keepLines/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1B125D">
              <w:rPr>
                <w:b/>
                <w:bCs/>
                <w:sz w:val="16"/>
                <w:szCs w:val="16"/>
                <w:lang w:val="fr-FR"/>
              </w:rPr>
              <w:t>Taux de remplissage maximal</w:t>
            </w:r>
          </w:p>
        </w:tc>
      </w:tr>
      <w:tr w:rsidR="001B125D" w:rsidRPr="001B125D" w14:paraId="49176C0F" w14:textId="77777777" w:rsidTr="008D5ACA">
        <w:tc>
          <w:tcPr>
            <w:tcW w:w="439" w:type="pct"/>
          </w:tcPr>
          <w:p w14:paraId="61F463FB" w14:textId="77777777" w:rsidR="001B125D" w:rsidRPr="001B125D" w:rsidRDefault="001B125D" w:rsidP="008D5ACA">
            <w:pPr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XXXX</w:t>
            </w:r>
          </w:p>
        </w:tc>
        <w:tc>
          <w:tcPr>
            <w:tcW w:w="1399" w:type="pct"/>
          </w:tcPr>
          <w:p w14:paraId="77AC8672" w14:textId="77777777" w:rsidR="001B125D" w:rsidRPr="001B125D" w:rsidRDefault="001B125D" w:rsidP="008D5ACA">
            <w:pPr>
              <w:pStyle w:val="Style1"/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/>
              <w:jc w:val="left"/>
              <w:rPr>
                <w:sz w:val="16"/>
                <w:szCs w:val="16"/>
              </w:rPr>
            </w:pPr>
            <w:r w:rsidRPr="001B125D">
              <w:rPr>
                <w:sz w:val="16"/>
                <w:szCs w:val="16"/>
              </w:rPr>
              <w:t>Éther méthylique et hydrocarbures gazeux en mélange liquéfié, n.s.a.</w:t>
            </w:r>
          </w:p>
        </w:tc>
        <w:tc>
          <w:tcPr>
            <w:tcW w:w="1251" w:type="pct"/>
          </w:tcPr>
          <w:p w14:paraId="30AEC3B1" w14:textId="58393C1D" w:rsidR="001B125D" w:rsidRPr="001B125D" w:rsidRDefault="001B125D" w:rsidP="008D5ACA">
            <w:pPr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Voir définition de PSMA au</w:t>
            </w:r>
            <w:r>
              <w:rPr>
                <w:sz w:val="16"/>
                <w:szCs w:val="16"/>
                <w:lang w:val="fr-FR"/>
              </w:rPr>
              <w:t> </w:t>
            </w:r>
            <w:r w:rsidRPr="001B125D">
              <w:rPr>
                <w:sz w:val="16"/>
                <w:szCs w:val="16"/>
                <w:lang w:val="fr-FR"/>
              </w:rPr>
              <w:t>6.7.3.1</w:t>
            </w:r>
          </w:p>
        </w:tc>
        <w:tc>
          <w:tcPr>
            <w:tcW w:w="602" w:type="pct"/>
          </w:tcPr>
          <w:p w14:paraId="3B9635F1" w14:textId="77777777" w:rsidR="001B125D" w:rsidRPr="001B125D" w:rsidRDefault="001B125D" w:rsidP="008D5ACA">
            <w:pPr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Autorisés</w:t>
            </w:r>
          </w:p>
        </w:tc>
        <w:tc>
          <w:tcPr>
            <w:tcW w:w="731" w:type="pct"/>
          </w:tcPr>
          <w:p w14:paraId="0CA033D3" w14:textId="77777777" w:rsidR="001B125D" w:rsidRPr="001B125D" w:rsidRDefault="001B125D" w:rsidP="008D5ACA">
            <w:pPr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Normaux</w:t>
            </w:r>
          </w:p>
        </w:tc>
        <w:tc>
          <w:tcPr>
            <w:tcW w:w="578" w:type="pct"/>
          </w:tcPr>
          <w:p w14:paraId="78F0CDE3" w14:textId="77777777" w:rsidR="001B125D" w:rsidRPr="001B125D" w:rsidRDefault="001B125D" w:rsidP="008D5ACA">
            <w:pPr>
              <w:tabs>
                <w:tab w:val="left" w:pos="-22"/>
                <w:tab w:val="left" w:pos="1076"/>
                <w:tab w:val="left" w:pos="1700"/>
                <w:tab w:val="left" w:pos="2244"/>
                <w:tab w:val="left" w:pos="2834"/>
                <w:tab w:val="left" w:pos="3378"/>
                <w:tab w:val="left" w:pos="3945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1B125D">
              <w:rPr>
                <w:sz w:val="16"/>
                <w:szCs w:val="16"/>
                <w:lang w:val="fr-FR"/>
              </w:rPr>
              <w:t>Voir 4.2.2.7</w:t>
            </w:r>
          </w:p>
        </w:tc>
      </w:tr>
    </w:tbl>
    <w:p w14:paraId="22995930" w14:textId="77777777" w:rsidR="001B125D" w:rsidRPr="00D07A49" w:rsidRDefault="001B125D" w:rsidP="001B125D">
      <w:pPr>
        <w:pStyle w:val="HChG"/>
        <w:rPr>
          <w:lang w:val="fr-FR"/>
        </w:rPr>
      </w:pPr>
      <w:r w:rsidRPr="00D07A49">
        <w:rPr>
          <w:bCs/>
          <w:lang w:val="fr-FR"/>
        </w:rPr>
        <w:lastRenderedPageBreak/>
        <w:tab/>
        <w:t>III.</w:t>
      </w:r>
      <w:r w:rsidRPr="00D07A49">
        <w:rPr>
          <w:lang w:val="fr-FR"/>
        </w:rPr>
        <w:tab/>
      </w:r>
      <w:r w:rsidRPr="00D07A49">
        <w:rPr>
          <w:bCs/>
          <w:lang w:val="fr-FR"/>
        </w:rPr>
        <w:t>Incidences sur la sécurité</w:t>
      </w:r>
    </w:p>
    <w:p w14:paraId="4F6A2CCD" w14:textId="6746F8C6" w:rsidR="00446FE5" w:rsidRDefault="001B125D" w:rsidP="001B125D">
      <w:pPr>
        <w:pStyle w:val="SingleTxtG"/>
        <w:keepNext/>
        <w:keepLines/>
        <w:rPr>
          <w:lang w:val="fr-FR"/>
        </w:rPr>
      </w:pPr>
      <w:r w:rsidRPr="00D07A49">
        <w:rPr>
          <w:lang w:val="fr-FR"/>
        </w:rPr>
        <w:t>7.</w:t>
      </w:r>
      <w:r w:rsidRPr="00D07A49">
        <w:rPr>
          <w:lang w:val="fr-FR"/>
        </w:rPr>
        <w:tab/>
        <w:t>Aucune incidence négative sur la sécurité n</w:t>
      </w:r>
      <w:r>
        <w:rPr>
          <w:lang w:val="fr-FR"/>
        </w:rPr>
        <w:t>’</w:t>
      </w:r>
      <w:r w:rsidRPr="00D07A49">
        <w:rPr>
          <w:lang w:val="fr-FR"/>
        </w:rPr>
        <w:t>est prévue dans le cadre de la proposition. Le fait de disposer d</w:t>
      </w:r>
      <w:r>
        <w:rPr>
          <w:lang w:val="fr-FR"/>
        </w:rPr>
        <w:t>’</w:t>
      </w:r>
      <w:r w:rsidRPr="00D07A49">
        <w:rPr>
          <w:lang w:val="fr-FR"/>
        </w:rPr>
        <w:t>un numéro ONU dédié au produit en question permettra aux services d</w:t>
      </w:r>
      <w:r>
        <w:rPr>
          <w:lang w:val="fr-FR"/>
        </w:rPr>
        <w:t>’</w:t>
      </w:r>
      <w:r w:rsidRPr="00D07A49">
        <w:rPr>
          <w:lang w:val="fr-FR"/>
        </w:rPr>
        <w:t>urgence d</w:t>
      </w:r>
      <w:r>
        <w:rPr>
          <w:lang w:val="fr-FR"/>
        </w:rPr>
        <w:t>’</w:t>
      </w:r>
      <w:r w:rsidRPr="00D07A49">
        <w:rPr>
          <w:lang w:val="fr-FR"/>
        </w:rPr>
        <w:t>identifier facilement ce produit sans avoir à vérifier les documents de transport, ce qui ne peut avoir qu</w:t>
      </w:r>
      <w:r>
        <w:rPr>
          <w:lang w:val="fr-FR"/>
        </w:rPr>
        <w:t>’</w:t>
      </w:r>
      <w:r w:rsidRPr="00D07A49">
        <w:rPr>
          <w:lang w:val="fr-FR"/>
        </w:rPr>
        <w:t>une incidence positive.</w:t>
      </w:r>
    </w:p>
    <w:p w14:paraId="28C2BE4A" w14:textId="03A81DC8" w:rsidR="001B125D" w:rsidRPr="001B125D" w:rsidRDefault="001B125D" w:rsidP="001B12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125D" w:rsidRPr="001B125D" w:rsidSect="001B12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66D7" w14:textId="77777777" w:rsidR="006B45D9" w:rsidRDefault="006B45D9" w:rsidP="00F95C08">
      <w:pPr>
        <w:spacing w:line="240" w:lineRule="auto"/>
      </w:pPr>
    </w:p>
  </w:endnote>
  <w:endnote w:type="continuationSeparator" w:id="0">
    <w:p w14:paraId="61E342BF" w14:textId="77777777" w:rsidR="006B45D9" w:rsidRPr="00AC3823" w:rsidRDefault="006B45D9" w:rsidP="00AC3823">
      <w:pPr>
        <w:pStyle w:val="Pieddepage"/>
      </w:pPr>
    </w:p>
  </w:endnote>
  <w:endnote w:type="continuationNotice" w:id="1">
    <w:p w14:paraId="0250C93B" w14:textId="77777777" w:rsidR="006B45D9" w:rsidRDefault="006B45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4456" w14:textId="3B98F218" w:rsidR="001B125D" w:rsidRPr="001B125D" w:rsidRDefault="001B125D" w:rsidP="001B125D">
    <w:pPr>
      <w:pStyle w:val="Pieddepage"/>
      <w:tabs>
        <w:tab w:val="right" w:pos="9638"/>
      </w:tabs>
    </w:pPr>
    <w:r w:rsidRPr="001B125D">
      <w:rPr>
        <w:b/>
        <w:sz w:val="18"/>
      </w:rPr>
      <w:fldChar w:fldCharType="begin"/>
    </w:r>
    <w:r w:rsidRPr="001B125D">
      <w:rPr>
        <w:b/>
        <w:sz w:val="18"/>
      </w:rPr>
      <w:instrText xml:space="preserve"> PAGE  \* MERGEFORMAT </w:instrText>
    </w:r>
    <w:r w:rsidRPr="001B125D">
      <w:rPr>
        <w:b/>
        <w:sz w:val="18"/>
      </w:rPr>
      <w:fldChar w:fldCharType="separate"/>
    </w:r>
    <w:r w:rsidRPr="001B125D">
      <w:rPr>
        <w:b/>
        <w:noProof/>
        <w:sz w:val="18"/>
      </w:rPr>
      <w:t>2</w:t>
    </w:r>
    <w:r w:rsidRPr="001B125D">
      <w:rPr>
        <w:b/>
        <w:sz w:val="18"/>
      </w:rPr>
      <w:fldChar w:fldCharType="end"/>
    </w:r>
    <w:r>
      <w:rPr>
        <w:b/>
        <w:sz w:val="18"/>
      </w:rPr>
      <w:tab/>
    </w:r>
    <w:r>
      <w:t>GE.23-07605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13E8" w14:textId="7129AE3B" w:rsidR="001B125D" w:rsidRPr="001B125D" w:rsidRDefault="001B125D" w:rsidP="001B125D">
    <w:pPr>
      <w:pStyle w:val="Pieddepage"/>
      <w:tabs>
        <w:tab w:val="right" w:pos="9638"/>
      </w:tabs>
      <w:rPr>
        <w:b/>
        <w:sz w:val="18"/>
      </w:rPr>
    </w:pPr>
    <w:r>
      <w:t>GE.23-07605</w:t>
    </w:r>
    <w:r>
      <w:tab/>
    </w:r>
    <w:r w:rsidRPr="001B125D">
      <w:rPr>
        <w:b/>
        <w:sz w:val="18"/>
      </w:rPr>
      <w:fldChar w:fldCharType="begin"/>
    </w:r>
    <w:r w:rsidRPr="001B125D">
      <w:rPr>
        <w:b/>
        <w:sz w:val="18"/>
      </w:rPr>
      <w:instrText xml:space="preserve"> PAGE  \* MERGEFORMAT </w:instrText>
    </w:r>
    <w:r w:rsidRPr="001B125D">
      <w:rPr>
        <w:b/>
        <w:sz w:val="18"/>
      </w:rPr>
      <w:fldChar w:fldCharType="separate"/>
    </w:r>
    <w:r w:rsidRPr="001B125D">
      <w:rPr>
        <w:b/>
        <w:noProof/>
        <w:sz w:val="18"/>
      </w:rPr>
      <w:t>3</w:t>
    </w:r>
    <w:r w:rsidRPr="001B12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0C8D" w14:textId="720C6C4B" w:rsidR="0068456F" w:rsidRPr="001B125D" w:rsidRDefault="001B125D" w:rsidP="001B125D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8DCFD9" wp14:editId="0C7D6A1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23-07605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5E245B" wp14:editId="4C68938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180523    190523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B28A" w14:textId="77777777" w:rsidR="006B45D9" w:rsidRPr="00AC3823" w:rsidRDefault="006B45D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D09908" w14:textId="77777777" w:rsidR="006B45D9" w:rsidRPr="00AC3823" w:rsidRDefault="006B45D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983BC4" w14:textId="77777777" w:rsidR="006B45D9" w:rsidRPr="00AC3823" w:rsidRDefault="006B45D9">
      <w:pPr>
        <w:spacing w:line="240" w:lineRule="auto"/>
        <w:rPr>
          <w:sz w:val="2"/>
          <w:szCs w:val="2"/>
        </w:rPr>
      </w:pPr>
    </w:p>
  </w:footnote>
  <w:footnote w:id="2">
    <w:p w14:paraId="60D75395" w14:textId="7EB2862A" w:rsidR="001B125D" w:rsidRPr="001B125D" w:rsidRDefault="001B125D">
      <w:pPr>
        <w:pStyle w:val="Notedebasdepage"/>
      </w:pPr>
      <w:r>
        <w:rPr>
          <w:rStyle w:val="Appelnotedebasdep"/>
        </w:rPr>
        <w:tab/>
      </w:r>
      <w:r w:rsidRPr="001B125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>20.6.</w:t>
      </w:r>
    </w:p>
  </w:footnote>
  <w:footnote w:id="3">
    <w:p w14:paraId="7BB892C4" w14:textId="78024085" w:rsidR="001B125D" w:rsidRPr="001B125D" w:rsidRDefault="001B125D">
      <w:pPr>
        <w:pStyle w:val="Notedebasdepage"/>
      </w:pPr>
      <w:r>
        <w:rPr>
          <w:rStyle w:val="Appelnotedebasdep"/>
        </w:rPr>
        <w:tab/>
      </w:r>
      <w:r w:rsidRPr="001B125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7D6F" w14:textId="145D3623" w:rsidR="001B125D" w:rsidRPr="001B125D" w:rsidRDefault="001B125D">
    <w:pPr>
      <w:pStyle w:val="En-tte"/>
    </w:pPr>
    <w:fldSimple w:instr=" TITLE  \* MERGEFORMAT ">
      <w:r>
        <w:t>ST/SG/AC.10/C.3/2023/30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E0C" w14:textId="31C09A6F" w:rsidR="001B125D" w:rsidRPr="001B125D" w:rsidRDefault="001B125D" w:rsidP="001B125D">
    <w:pPr>
      <w:pStyle w:val="En-tte"/>
      <w:jc w:val="right"/>
    </w:pPr>
    <w:fldSimple w:instr=" TITLE  \* MERGEFORMAT ">
      <w:r>
        <w:t>ST/SG/AC.10/C.3/2023/30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9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B125D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B45D9"/>
    <w:rsid w:val="0071601D"/>
    <w:rsid w:val="007A62E6"/>
    <w:rsid w:val="0080684C"/>
    <w:rsid w:val="008123E0"/>
    <w:rsid w:val="00871C75"/>
    <w:rsid w:val="008776DC"/>
    <w:rsid w:val="008865A9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BB3830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AB915"/>
  <w15:docId w15:val="{15048477-7C09-4241-8443-B5599DB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1B125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1B125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tyle1">
    <w:name w:val="Style1"/>
    <w:basedOn w:val="Normal"/>
    <w:rsid w:val="001B125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kinsoku/>
      <w:overflowPunct/>
      <w:autoSpaceDE/>
      <w:autoSpaceDN/>
      <w:adjustRightInd/>
      <w:snapToGrid/>
      <w:spacing w:line="240" w:lineRule="auto"/>
      <w:jc w:val="both"/>
    </w:pPr>
    <w:rPr>
      <w:rFonts w:eastAsia="Times New Roma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3</Pages>
  <Words>699</Words>
  <Characters>3964</Characters>
  <Application>Microsoft Office Word</Application>
  <DocSecurity>0</DocSecurity>
  <Lines>158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ST/SG/AC.10/C.3/2023/30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2023-05-19T10:23:00Z</dcterms:created>
  <dcterms:modified xsi:type="dcterms:W3CDTF">2023-05-19T10:23:00Z</dcterms:modified>
</cp:coreProperties>
</file>