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FD7FBA" w14:paraId="395DF049" w14:textId="77777777" w:rsidTr="006476E1">
        <w:trPr>
          <w:trHeight w:val="851"/>
        </w:trPr>
        <w:tc>
          <w:tcPr>
            <w:tcW w:w="1259" w:type="dxa"/>
            <w:tcBorders>
              <w:top w:val="nil"/>
              <w:left w:val="nil"/>
              <w:bottom w:val="single" w:sz="4" w:space="0" w:color="auto"/>
              <w:right w:val="nil"/>
            </w:tcBorders>
          </w:tcPr>
          <w:p w14:paraId="0BEAD849" w14:textId="77777777" w:rsidR="00E52109" w:rsidRPr="00FD7FBA" w:rsidRDefault="00E52109" w:rsidP="004858F5"/>
        </w:tc>
        <w:tc>
          <w:tcPr>
            <w:tcW w:w="2236" w:type="dxa"/>
            <w:tcBorders>
              <w:top w:val="nil"/>
              <w:left w:val="nil"/>
              <w:bottom w:val="single" w:sz="4" w:space="0" w:color="auto"/>
              <w:right w:val="nil"/>
            </w:tcBorders>
            <w:vAlign w:val="bottom"/>
          </w:tcPr>
          <w:p w14:paraId="4B7828E2" w14:textId="77777777" w:rsidR="00E52109" w:rsidRPr="00FD7FBA" w:rsidRDefault="00E52109" w:rsidP="006476E1">
            <w:pPr>
              <w:spacing w:after="80" w:line="300" w:lineRule="exact"/>
              <w:rPr>
                <w:sz w:val="28"/>
                <w:szCs w:val="28"/>
              </w:rPr>
            </w:pPr>
            <w:r w:rsidRPr="00FD7FBA">
              <w:rPr>
                <w:sz w:val="28"/>
                <w:szCs w:val="28"/>
              </w:rPr>
              <w:t>United Nations</w:t>
            </w:r>
          </w:p>
        </w:tc>
        <w:tc>
          <w:tcPr>
            <w:tcW w:w="6144" w:type="dxa"/>
            <w:gridSpan w:val="2"/>
            <w:tcBorders>
              <w:top w:val="nil"/>
              <w:left w:val="nil"/>
              <w:bottom w:val="single" w:sz="4" w:space="0" w:color="auto"/>
              <w:right w:val="nil"/>
            </w:tcBorders>
            <w:vAlign w:val="bottom"/>
          </w:tcPr>
          <w:p w14:paraId="5BC54110" w14:textId="53A2D318" w:rsidR="00E52109" w:rsidRPr="00FD7FBA" w:rsidRDefault="000256BB" w:rsidP="000256BB">
            <w:pPr>
              <w:suppressAutoHyphens w:val="0"/>
              <w:jc w:val="right"/>
            </w:pPr>
            <w:r w:rsidRPr="00FD7FBA">
              <w:rPr>
                <w:sz w:val="40"/>
              </w:rPr>
              <w:t>ST</w:t>
            </w:r>
            <w:r w:rsidRPr="00FD7FBA">
              <w:t>/SG/AC.10/C.3/2023/30</w:t>
            </w:r>
          </w:p>
        </w:tc>
      </w:tr>
      <w:tr w:rsidR="00E52109" w:rsidRPr="00FD7FBA" w14:paraId="12B90EDE" w14:textId="77777777" w:rsidTr="006476E1">
        <w:trPr>
          <w:trHeight w:val="2835"/>
        </w:trPr>
        <w:tc>
          <w:tcPr>
            <w:tcW w:w="1259" w:type="dxa"/>
            <w:tcBorders>
              <w:top w:val="single" w:sz="4" w:space="0" w:color="auto"/>
              <w:left w:val="nil"/>
              <w:bottom w:val="single" w:sz="12" w:space="0" w:color="auto"/>
              <w:right w:val="nil"/>
            </w:tcBorders>
          </w:tcPr>
          <w:p w14:paraId="63D7E274" w14:textId="77777777" w:rsidR="00E52109" w:rsidRPr="00FD7FBA" w:rsidRDefault="00E52109" w:rsidP="006476E1">
            <w:pPr>
              <w:spacing w:before="120"/>
              <w:jc w:val="center"/>
            </w:pPr>
            <w:r w:rsidRPr="00FD7FBA">
              <w:rPr>
                <w:noProof/>
                <w:lang w:eastAsia="fr-CH"/>
              </w:rPr>
              <w:drawing>
                <wp:inline distT="0" distB="0" distL="0" distR="0" wp14:anchorId="13D1C0CE" wp14:editId="70DE6A5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C177659" w14:textId="77777777" w:rsidR="00E52109" w:rsidRPr="00FD7FBA" w:rsidRDefault="00D94B05" w:rsidP="006476E1">
            <w:pPr>
              <w:spacing w:before="120" w:line="420" w:lineRule="exact"/>
              <w:rPr>
                <w:b/>
                <w:sz w:val="40"/>
                <w:szCs w:val="40"/>
              </w:rPr>
            </w:pPr>
            <w:r w:rsidRPr="00FD7FBA">
              <w:rPr>
                <w:b/>
                <w:sz w:val="40"/>
                <w:szCs w:val="40"/>
              </w:rPr>
              <w:t>Secretariat</w:t>
            </w:r>
          </w:p>
        </w:tc>
        <w:tc>
          <w:tcPr>
            <w:tcW w:w="2930" w:type="dxa"/>
            <w:tcBorders>
              <w:top w:val="single" w:sz="4" w:space="0" w:color="auto"/>
              <w:left w:val="nil"/>
              <w:bottom w:val="single" w:sz="12" w:space="0" w:color="auto"/>
              <w:right w:val="nil"/>
            </w:tcBorders>
          </w:tcPr>
          <w:p w14:paraId="5BFC58AF" w14:textId="77777777" w:rsidR="00D94B05" w:rsidRPr="00FD7FBA" w:rsidRDefault="000256BB" w:rsidP="000256BB">
            <w:pPr>
              <w:suppressAutoHyphens w:val="0"/>
              <w:spacing w:before="240" w:line="240" w:lineRule="exact"/>
            </w:pPr>
            <w:r w:rsidRPr="00FD7FBA">
              <w:t>Distr.: General</w:t>
            </w:r>
          </w:p>
          <w:p w14:paraId="2B0EF152" w14:textId="4332B554" w:rsidR="000256BB" w:rsidRPr="00FD7FBA" w:rsidRDefault="0016212A" w:rsidP="000256BB">
            <w:pPr>
              <w:suppressAutoHyphens w:val="0"/>
              <w:spacing w:line="240" w:lineRule="exact"/>
            </w:pPr>
            <w:r>
              <w:t>21</w:t>
            </w:r>
            <w:r w:rsidR="000256BB" w:rsidRPr="00FD7FBA">
              <w:t xml:space="preserve"> April 2023</w:t>
            </w:r>
          </w:p>
          <w:p w14:paraId="5249775E" w14:textId="77777777" w:rsidR="000256BB" w:rsidRPr="00FD7FBA" w:rsidRDefault="000256BB" w:rsidP="000256BB">
            <w:pPr>
              <w:suppressAutoHyphens w:val="0"/>
              <w:spacing w:line="240" w:lineRule="exact"/>
            </w:pPr>
          </w:p>
          <w:p w14:paraId="5B2417FC" w14:textId="6775425D" w:rsidR="000256BB" w:rsidRPr="00FD7FBA" w:rsidRDefault="000256BB" w:rsidP="000256BB">
            <w:pPr>
              <w:suppressAutoHyphens w:val="0"/>
              <w:spacing w:line="240" w:lineRule="exact"/>
            </w:pPr>
            <w:r w:rsidRPr="00FD7FBA">
              <w:t>Original: English</w:t>
            </w:r>
          </w:p>
        </w:tc>
      </w:tr>
    </w:tbl>
    <w:p w14:paraId="51B49FCD" w14:textId="77777777" w:rsidR="000256BB" w:rsidRPr="00FD7FBA" w:rsidRDefault="000256BB" w:rsidP="000256BB">
      <w:pPr>
        <w:spacing w:before="120"/>
        <w:rPr>
          <w:b/>
          <w:sz w:val="24"/>
          <w:szCs w:val="24"/>
        </w:rPr>
      </w:pPr>
      <w:r w:rsidRPr="00FD7FBA">
        <w:rPr>
          <w:b/>
          <w:sz w:val="24"/>
          <w:szCs w:val="24"/>
        </w:rPr>
        <w:t>Committee of Experts on the Transport of Dangerous Goods</w:t>
      </w:r>
      <w:r w:rsidRPr="00FD7FBA">
        <w:rPr>
          <w:b/>
          <w:sz w:val="24"/>
          <w:szCs w:val="24"/>
        </w:rPr>
        <w:br/>
        <w:t>and on the Globally Harmonized System of Classification</w:t>
      </w:r>
      <w:r w:rsidRPr="00FD7FBA">
        <w:rPr>
          <w:b/>
          <w:sz w:val="24"/>
          <w:szCs w:val="24"/>
        </w:rPr>
        <w:br/>
        <w:t>and Labelling of Chemicals</w:t>
      </w:r>
    </w:p>
    <w:p w14:paraId="19634C2C" w14:textId="77777777" w:rsidR="000256BB" w:rsidRPr="00FD7FBA" w:rsidRDefault="000256BB" w:rsidP="000256BB">
      <w:pPr>
        <w:spacing w:before="120"/>
        <w:rPr>
          <w:rFonts w:ascii="Helv" w:hAnsi="Helv" w:cs="Helv"/>
          <w:b/>
          <w:color w:val="000000"/>
        </w:rPr>
      </w:pPr>
      <w:r w:rsidRPr="00FD7FBA">
        <w:rPr>
          <w:b/>
        </w:rPr>
        <w:t>Sub-Committee of Experts on the Transport of Dangerous Goods</w:t>
      </w:r>
    </w:p>
    <w:p w14:paraId="116DFF84" w14:textId="548C5904" w:rsidR="000256BB" w:rsidRPr="00FD7FBA" w:rsidRDefault="00A86A35" w:rsidP="000256BB">
      <w:pPr>
        <w:spacing w:before="120"/>
        <w:rPr>
          <w:b/>
        </w:rPr>
      </w:pPr>
      <w:r>
        <w:rPr>
          <w:b/>
        </w:rPr>
        <w:t>Sixty-second</w:t>
      </w:r>
      <w:r w:rsidR="000256BB" w:rsidRPr="00FD7FBA">
        <w:rPr>
          <w:b/>
        </w:rPr>
        <w:t xml:space="preserve"> session</w:t>
      </w:r>
    </w:p>
    <w:p w14:paraId="43F02207" w14:textId="27A0DACF" w:rsidR="000256BB" w:rsidRPr="00FD7FBA" w:rsidRDefault="000256BB" w:rsidP="000256BB">
      <w:r w:rsidRPr="00FD7FBA">
        <w:t>Geneva, 3-7 July</w:t>
      </w:r>
      <w:r w:rsidR="0016212A">
        <w:t xml:space="preserve"> 2023</w:t>
      </w:r>
    </w:p>
    <w:p w14:paraId="6E562D6C" w14:textId="693F82D0" w:rsidR="000256BB" w:rsidRPr="00FD7FBA" w:rsidRDefault="000256BB" w:rsidP="000256BB">
      <w:r w:rsidRPr="00FD7FBA">
        <w:t xml:space="preserve">Item </w:t>
      </w:r>
      <w:r w:rsidR="00362AED">
        <w:t>3</w:t>
      </w:r>
      <w:r w:rsidRPr="00FD7FBA">
        <w:t xml:space="preserve"> of the provisional agenda</w:t>
      </w:r>
    </w:p>
    <w:p w14:paraId="7B1981FD" w14:textId="6831F950" w:rsidR="000256BB" w:rsidRPr="00FD7FBA" w:rsidRDefault="00362AED" w:rsidP="000256BB">
      <w:pPr>
        <w:rPr>
          <w:b/>
          <w:bCs/>
        </w:rPr>
      </w:pPr>
      <w:r w:rsidRPr="00362AED">
        <w:rPr>
          <w:b/>
          <w:bCs/>
        </w:rPr>
        <w:t>Listing, classification and packing</w:t>
      </w:r>
    </w:p>
    <w:p w14:paraId="1C9CCD8F" w14:textId="5C7D586B" w:rsidR="000256BB" w:rsidRPr="00FD7FBA" w:rsidRDefault="000256BB" w:rsidP="000256BB">
      <w:pPr>
        <w:pStyle w:val="HChG"/>
        <w:rPr>
          <w:color w:val="000000" w:themeColor="text1"/>
        </w:rPr>
      </w:pPr>
      <w:r w:rsidRPr="00FD7FBA">
        <w:tab/>
      </w:r>
      <w:r w:rsidRPr="00FD7FBA">
        <w:tab/>
        <w:t xml:space="preserve">Present and future products in the </w:t>
      </w:r>
      <w:r w:rsidR="0093704E" w:rsidRPr="00FD7FBA">
        <w:t xml:space="preserve">liquid petroleum gas </w:t>
      </w:r>
      <w:r w:rsidRPr="00FD7FBA">
        <w:t>industry</w:t>
      </w:r>
      <w:r w:rsidR="00C03C8B">
        <w:t xml:space="preserve"> -</w:t>
      </w:r>
      <w:r w:rsidRPr="00FD7FBA">
        <w:t xml:space="preserve"> proposal for a new UN number</w:t>
      </w:r>
    </w:p>
    <w:p w14:paraId="4686AA29" w14:textId="46AFF603" w:rsidR="000256BB" w:rsidRPr="00FD7FBA" w:rsidRDefault="000256BB" w:rsidP="000256BB">
      <w:pPr>
        <w:pStyle w:val="H1G"/>
        <w:rPr>
          <w:rFonts w:asciiTheme="majorBidi" w:hAnsiTheme="majorBidi" w:cstheme="majorBidi"/>
          <w:color w:val="000000" w:themeColor="text1"/>
        </w:rPr>
      </w:pPr>
      <w:r w:rsidRPr="00FD7FBA">
        <w:rPr>
          <w:rFonts w:asciiTheme="majorBidi" w:hAnsiTheme="majorBidi" w:cstheme="majorBidi"/>
        </w:rPr>
        <w:tab/>
      </w:r>
      <w:r w:rsidRPr="00FD7FBA">
        <w:rPr>
          <w:rFonts w:asciiTheme="majorBidi" w:hAnsiTheme="majorBidi" w:cstheme="majorBidi"/>
        </w:rPr>
        <w:tab/>
      </w:r>
      <w:r w:rsidRPr="00FD7FBA">
        <w:rPr>
          <w:rFonts w:eastAsia="Arial Unicode MS"/>
        </w:rPr>
        <w:t xml:space="preserve">Transmitted by </w:t>
      </w:r>
      <w:r w:rsidR="004474BD" w:rsidRPr="00FD7FBA">
        <w:t>the World LPG Association</w:t>
      </w:r>
      <w:r w:rsidR="00894B66" w:rsidRPr="00FD7FBA">
        <w:rPr>
          <w:rStyle w:val="FootnoteReference"/>
          <w:sz w:val="20"/>
          <w:vertAlign w:val="baseline"/>
        </w:rPr>
        <w:footnoteReference w:customMarkFollows="1" w:id="2"/>
        <w:t>*</w:t>
      </w:r>
      <w:r w:rsidR="00EB37C8" w:rsidRPr="00EB37C8">
        <w:rPr>
          <w:sz w:val="20"/>
          <w:vertAlign w:val="superscript"/>
        </w:rPr>
        <w:t>,</w:t>
      </w:r>
      <w:r w:rsidR="00EB37C8">
        <w:rPr>
          <w:sz w:val="20"/>
        </w:rPr>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0256BB" w:rsidRPr="00FD7FBA" w14:paraId="5AE2A917" w14:textId="77777777" w:rsidTr="00E17A8E">
        <w:trPr>
          <w:jc w:val="center"/>
        </w:trPr>
        <w:tc>
          <w:tcPr>
            <w:tcW w:w="9082" w:type="dxa"/>
            <w:shd w:val="clear" w:color="auto" w:fill="auto"/>
          </w:tcPr>
          <w:p w14:paraId="32F778D1" w14:textId="1844E71A" w:rsidR="000256BB" w:rsidRPr="008B2CBA" w:rsidRDefault="000256BB" w:rsidP="008B2CBA"/>
        </w:tc>
      </w:tr>
      <w:tr w:rsidR="000256BB" w:rsidRPr="00FD7FBA" w14:paraId="25B8B4B1" w14:textId="77777777" w:rsidTr="00E17A8E">
        <w:trPr>
          <w:jc w:val="center"/>
        </w:trPr>
        <w:tc>
          <w:tcPr>
            <w:tcW w:w="9082" w:type="dxa"/>
            <w:shd w:val="clear" w:color="auto" w:fill="auto"/>
          </w:tcPr>
          <w:p w14:paraId="447DB5EA" w14:textId="06ED51B3" w:rsidR="000256BB" w:rsidRPr="00FD7FBA" w:rsidRDefault="000256BB" w:rsidP="001D4E66">
            <w:pPr>
              <w:spacing w:after="120"/>
              <w:ind w:left="2826" w:right="860" w:hanging="1984"/>
              <w:jc w:val="both"/>
            </w:pPr>
            <w:r w:rsidRPr="00FD7FBA">
              <w:rPr>
                <w:b/>
              </w:rPr>
              <w:t>Executive summary:</w:t>
            </w:r>
            <w:r w:rsidRPr="00FD7FBA">
              <w:tab/>
              <w:t xml:space="preserve">Traditional </w:t>
            </w:r>
            <w:r w:rsidR="0093704E" w:rsidRPr="00FD7FBA">
              <w:t>liquid petroleum gas (</w:t>
            </w:r>
            <w:r w:rsidRPr="00FD7FBA">
              <w:t>LPG</w:t>
            </w:r>
            <w:r w:rsidR="0093704E" w:rsidRPr="00FD7FBA">
              <w:t>)</w:t>
            </w:r>
            <w:r w:rsidRPr="00FD7FBA">
              <w:t xml:space="preserve"> (primarily propane-butane), for the purpose of lowering the carbon footprint of the product, can be partly replaced in the future by blends of renewable/recycled </w:t>
            </w:r>
            <w:r w:rsidR="00556343" w:rsidRPr="00FD7FBA">
              <w:t>dimethyl ether (</w:t>
            </w:r>
            <w:r w:rsidRPr="00FD7FBA">
              <w:t>DME</w:t>
            </w:r>
            <w:r w:rsidR="00556343" w:rsidRPr="00FD7FBA">
              <w:t>)</w:t>
            </w:r>
            <w:r w:rsidRPr="00FD7FBA">
              <w:t xml:space="preserve"> and LPG at any ratio. These blends, according to the current regulations, would normally be assigned to UN 3161 Liquified </w:t>
            </w:r>
            <w:r w:rsidR="009B1829" w:rsidRPr="00FD7FBA">
              <w:t xml:space="preserve">gas, flammable, </w:t>
            </w:r>
            <w:proofErr w:type="spellStart"/>
            <w:r w:rsidR="009B1829" w:rsidRPr="00FD7FBA">
              <w:t>n.o.s</w:t>
            </w:r>
            <w:proofErr w:type="spellEnd"/>
            <w:r w:rsidRPr="00FD7FBA">
              <w:t xml:space="preserve">. </w:t>
            </w:r>
            <w:r w:rsidR="00954073">
              <w:t xml:space="preserve">However, </w:t>
            </w:r>
            <w:r w:rsidR="00933253">
              <w:t>to</w:t>
            </w:r>
            <w:r w:rsidRPr="00FD7FBA">
              <w:t xml:space="preserve"> </w:t>
            </w:r>
            <w:r w:rsidR="00954073">
              <w:t>ease the</w:t>
            </w:r>
            <w:r w:rsidRPr="00FD7FBA">
              <w:t xml:space="preserve"> identification of the product being transported in the case of an emergency, </w:t>
            </w:r>
            <w:r w:rsidR="00447426">
              <w:t>we</w:t>
            </w:r>
            <w:r w:rsidRPr="00FD7FBA">
              <w:t xml:space="preserve"> propose </w:t>
            </w:r>
            <w:r w:rsidR="00447426">
              <w:t>to create</w:t>
            </w:r>
            <w:r w:rsidRPr="00FD7FBA">
              <w:t xml:space="preserve"> a new UN </w:t>
            </w:r>
            <w:r w:rsidR="00584439" w:rsidRPr="00FD7FBA">
              <w:t>n</w:t>
            </w:r>
            <w:r w:rsidRPr="00FD7FBA">
              <w:t xml:space="preserve">umber for “Dimethyl </w:t>
            </w:r>
            <w:r w:rsidR="00195A3D" w:rsidRPr="00FD7FBA">
              <w:t xml:space="preserve">ether and hydrocarbon gas mixtures, liquefied, </w:t>
            </w:r>
            <w:proofErr w:type="spellStart"/>
            <w:r w:rsidR="00195A3D" w:rsidRPr="00FD7FBA">
              <w:t>n.o.s</w:t>
            </w:r>
            <w:proofErr w:type="spellEnd"/>
            <w:r w:rsidRPr="00FD7FBA">
              <w:t xml:space="preserve">.”. This new UN </w:t>
            </w:r>
            <w:r w:rsidR="00584439" w:rsidRPr="00FD7FBA">
              <w:t>n</w:t>
            </w:r>
            <w:r w:rsidRPr="00FD7FBA">
              <w:t>umber will also cover mixtures of DME with hydrocarbon gases that are not classed as LPG</w:t>
            </w:r>
            <w:r w:rsidR="008B2CBA">
              <w:t>.</w:t>
            </w:r>
            <w:r w:rsidRPr="00FD7FBA">
              <w:t xml:space="preserve"> </w:t>
            </w:r>
            <w:r w:rsidR="008B2CBA">
              <w:t>H</w:t>
            </w:r>
            <w:r w:rsidRPr="00FD7FBA">
              <w:t>owever</w:t>
            </w:r>
            <w:r w:rsidR="008B2CBA">
              <w:t>,</w:t>
            </w:r>
            <w:r w:rsidRPr="00FD7FBA">
              <w:t xml:space="preserve"> their emergency actions are identical.</w:t>
            </w:r>
          </w:p>
        </w:tc>
      </w:tr>
      <w:tr w:rsidR="000256BB" w:rsidRPr="00FD7FBA" w14:paraId="2E1216C4" w14:textId="77777777" w:rsidTr="00E17A8E">
        <w:trPr>
          <w:jc w:val="center"/>
        </w:trPr>
        <w:tc>
          <w:tcPr>
            <w:tcW w:w="9082" w:type="dxa"/>
            <w:shd w:val="clear" w:color="auto" w:fill="auto"/>
          </w:tcPr>
          <w:p w14:paraId="130E7E5B" w14:textId="07491F03" w:rsidR="000256BB" w:rsidRPr="00FD7FBA" w:rsidRDefault="000256BB" w:rsidP="00CF4872">
            <w:pPr>
              <w:spacing w:after="120"/>
              <w:ind w:left="2826" w:right="860" w:hanging="1984"/>
              <w:jc w:val="both"/>
            </w:pPr>
            <w:r w:rsidRPr="00FD7FBA">
              <w:rPr>
                <w:b/>
              </w:rPr>
              <w:t>Action to be taken</w:t>
            </w:r>
            <w:r w:rsidR="001D4E66">
              <w:rPr>
                <w:b/>
              </w:rPr>
              <w:t>:</w:t>
            </w:r>
            <w:r w:rsidRPr="00FD7FBA">
              <w:rPr>
                <w:b/>
              </w:rPr>
              <w:tab/>
            </w:r>
            <w:r w:rsidRPr="00FD7FBA">
              <w:rPr>
                <w:bCs/>
              </w:rPr>
              <w:t xml:space="preserve">Create a new UN </w:t>
            </w:r>
            <w:r w:rsidR="00FC05D4">
              <w:rPr>
                <w:bCs/>
              </w:rPr>
              <w:t>n</w:t>
            </w:r>
            <w:r w:rsidRPr="00FD7FBA">
              <w:rPr>
                <w:bCs/>
              </w:rPr>
              <w:t xml:space="preserve">umber for DME and LPG blends as “Dimethyl </w:t>
            </w:r>
            <w:r w:rsidR="00FC05D4" w:rsidRPr="00FD7FBA">
              <w:rPr>
                <w:bCs/>
              </w:rPr>
              <w:t xml:space="preserve">ether and hydrocarbon gas mixtures, liquefied, </w:t>
            </w:r>
            <w:proofErr w:type="spellStart"/>
            <w:r w:rsidR="00FC05D4" w:rsidRPr="00FD7FBA">
              <w:rPr>
                <w:bCs/>
              </w:rPr>
              <w:t>n.o.s</w:t>
            </w:r>
            <w:proofErr w:type="spellEnd"/>
            <w:r w:rsidRPr="00FD7FBA">
              <w:rPr>
                <w:bCs/>
              </w:rPr>
              <w:t>.”</w:t>
            </w:r>
            <w:r w:rsidR="008B2CBA">
              <w:rPr>
                <w:bCs/>
              </w:rPr>
              <w:t>.</w:t>
            </w:r>
          </w:p>
        </w:tc>
      </w:tr>
      <w:tr w:rsidR="000256BB" w:rsidRPr="00FD7FBA" w14:paraId="2D273FDC" w14:textId="77777777" w:rsidTr="00E17A8E">
        <w:trPr>
          <w:jc w:val="center"/>
        </w:trPr>
        <w:tc>
          <w:tcPr>
            <w:tcW w:w="9082" w:type="dxa"/>
            <w:shd w:val="clear" w:color="auto" w:fill="auto"/>
          </w:tcPr>
          <w:p w14:paraId="07002F67" w14:textId="385BA5B7" w:rsidR="000256BB" w:rsidRPr="00FD7FBA" w:rsidRDefault="000256BB" w:rsidP="001D4E66">
            <w:pPr>
              <w:ind w:left="2826" w:right="860" w:hanging="1984"/>
              <w:rPr>
                <w:b/>
              </w:rPr>
            </w:pPr>
            <w:r w:rsidRPr="00FD7FBA">
              <w:rPr>
                <w:b/>
              </w:rPr>
              <w:t>Related documents:</w:t>
            </w:r>
            <w:r w:rsidRPr="00FD7FBA">
              <w:rPr>
                <w:b/>
              </w:rPr>
              <w:tab/>
            </w:r>
            <w:r w:rsidR="00DC76A3" w:rsidRPr="00DC76A3">
              <w:rPr>
                <w:bCs/>
              </w:rPr>
              <w:t xml:space="preserve">Document </w:t>
            </w:r>
            <w:r w:rsidRPr="00DC76A3">
              <w:rPr>
                <w:bCs/>
              </w:rPr>
              <w:t>S</w:t>
            </w:r>
            <w:r w:rsidRPr="0095087A">
              <w:rPr>
                <w:bCs/>
              </w:rPr>
              <w:t xml:space="preserve">T/SG/AC.10/C.3/2022/53 and </w:t>
            </w:r>
            <w:r w:rsidR="0095087A" w:rsidRPr="0095087A">
              <w:rPr>
                <w:bCs/>
              </w:rPr>
              <w:t xml:space="preserve">informal document </w:t>
            </w:r>
            <w:r w:rsidRPr="0095087A">
              <w:rPr>
                <w:bCs/>
              </w:rPr>
              <w:t>INF.24</w:t>
            </w:r>
            <w:r w:rsidR="0095087A" w:rsidRPr="0095087A">
              <w:rPr>
                <w:bCs/>
              </w:rPr>
              <w:t xml:space="preserve"> from the </w:t>
            </w:r>
            <w:r w:rsidR="00DC76A3">
              <w:rPr>
                <w:bCs/>
              </w:rPr>
              <w:t>sixty-first</w:t>
            </w:r>
            <w:r w:rsidR="00CA75CF">
              <w:rPr>
                <w:bCs/>
              </w:rPr>
              <w:t xml:space="preserve"> </w:t>
            </w:r>
            <w:r w:rsidR="0095087A" w:rsidRPr="0095087A">
              <w:rPr>
                <w:bCs/>
              </w:rPr>
              <w:t>session.</w:t>
            </w:r>
          </w:p>
        </w:tc>
      </w:tr>
      <w:tr w:rsidR="000256BB" w:rsidRPr="00FD7FBA" w14:paraId="35D7F222" w14:textId="77777777" w:rsidTr="00E17A8E">
        <w:trPr>
          <w:jc w:val="center"/>
        </w:trPr>
        <w:tc>
          <w:tcPr>
            <w:tcW w:w="9082" w:type="dxa"/>
            <w:shd w:val="clear" w:color="auto" w:fill="auto"/>
          </w:tcPr>
          <w:p w14:paraId="55C9B2A9" w14:textId="77777777" w:rsidR="000256BB" w:rsidRPr="00FD7FBA" w:rsidRDefault="000256BB" w:rsidP="00E17A8E"/>
        </w:tc>
      </w:tr>
    </w:tbl>
    <w:p w14:paraId="1D1375DF" w14:textId="7D9C2564" w:rsidR="004474BD" w:rsidRPr="00FD7FBA" w:rsidRDefault="004474BD" w:rsidP="004474BD">
      <w:pPr>
        <w:pStyle w:val="HChG"/>
      </w:pPr>
      <w:r w:rsidRPr="00FD7FBA">
        <w:tab/>
        <w:t>I.</w:t>
      </w:r>
      <w:r w:rsidRPr="00FD7FBA">
        <w:tab/>
        <w:t>Background</w:t>
      </w:r>
    </w:p>
    <w:p w14:paraId="5CB655BB" w14:textId="47379400" w:rsidR="000256BB" w:rsidRPr="00FD7FBA" w:rsidRDefault="005C45B9" w:rsidP="005C45B9">
      <w:pPr>
        <w:pStyle w:val="SingleTxtG"/>
      </w:pPr>
      <w:r w:rsidRPr="00FD7FBA">
        <w:t>1.</w:t>
      </w:r>
      <w:r w:rsidRPr="00FD7FBA">
        <w:tab/>
      </w:r>
      <w:r w:rsidR="0095087A">
        <w:t>Document</w:t>
      </w:r>
      <w:r w:rsidR="000256BB" w:rsidRPr="00FD7FBA">
        <w:t xml:space="preserve"> ST/SG/AC.10/C.3/2022/53 of the </w:t>
      </w:r>
      <w:r w:rsidR="00CA75CF">
        <w:rPr>
          <w:bCs/>
        </w:rPr>
        <w:t xml:space="preserve">sixty-first </w:t>
      </w:r>
      <w:r w:rsidR="0095087A">
        <w:t>s</w:t>
      </w:r>
      <w:r w:rsidR="000256BB" w:rsidRPr="00FD7FBA">
        <w:t>ession contained the background information on the way that the LPG industry is changing and adapting to meet its renewable goals.</w:t>
      </w:r>
    </w:p>
    <w:p w14:paraId="5A03C890" w14:textId="6DD6AF97" w:rsidR="000256BB" w:rsidRPr="00FD7FBA" w:rsidRDefault="005C45B9" w:rsidP="005C45B9">
      <w:pPr>
        <w:pStyle w:val="SingleTxtG"/>
      </w:pPr>
      <w:r w:rsidRPr="00FD7FBA">
        <w:lastRenderedPageBreak/>
        <w:t>2.</w:t>
      </w:r>
      <w:r w:rsidRPr="00FD7FBA">
        <w:tab/>
      </w:r>
      <w:r w:rsidR="0067471D">
        <w:t>Informal</w:t>
      </w:r>
      <w:r w:rsidR="000256BB" w:rsidRPr="00FD7FBA">
        <w:t xml:space="preserve"> </w:t>
      </w:r>
      <w:r w:rsidR="00BF0181">
        <w:t>document</w:t>
      </w:r>
      <w:r w:rsidR="000256BB" w:rsidRPr="00FD7FBA">
        <w:t xml:space="preserve"> INF.24 </w:t>
      </w:r>
      <w:r w:rsidR="0067471D">
        <w:t xml:space="preserve">from the </w:t>
      </w:r>
      <w:r w:rsidR="00BF0181">
        <w:rPr>
          <w:bCs/>
        </w:rPr>
        <w:t xml:space="preserve">sixty-first </w:t>
      </w:r>
      <w:r w:rsidR="0067471D">
        <w:t xml:space="preserve">session </w:t>
      </w:r>
      <w:r w:rsidR="000256BB" w:rsidRPr="00FD7FBA">
        <w:t xml:space="preserve">set out the </w:t>
      </w:r>
      <w:r w:rsidR="0067471D">
        <w:t xml:space="preserve">proposals of the </w:t>
      </w:r>
      <w:r w:rsidR="000256BB" w:rsidRPr="00FD7FBA">
        <w:t>LPG industr</w:t>
      </w:r>
      <w:r w:rsidR="0067471D">
        <w:t>y</w:t>
      </w:r>
      <w:r w:rsidR="000256BB" w:rsidRPr="00FD7FBA">
        <w:t xml:space="preserve"> for discussion </w:t>
      </w:r>
      <w:r w:rsidR="000E5D28">
        <w:t>of</w:t>
      </w:r>
      <w:r w:rsidR="000256BB" w:rsidRPr="00FD7FBA">
        <w:t xml:space="preserve"> a new UN number.</w:t>
      </w:r>
    </w:p>
    <w:p w14:paraId="5E323026" w14:textId="1A764137" w:rsidR="000256BB" w:rsidRPr="00FD7FBA" w:rsidRDefault="005C45B9" w:rsidP="005C45B9">
      <w:pPr>
        <w:pStyle w:val="SingleTxtG"/>
      </w:pPr>
      <w:r w:rsidRPr="00FD7FBA">
        <w:t>3.</w:t>
      </w:r>
      <w:r w:rsidRPr="00FD7FBA">
        <w:tab/>
      </w:r>
      <w:r w:rsidR="000256BB" w:rsidRPr="00FD7FBA">
        <w:t xml:space="preserve">The Sub-Committee in its </w:t>
      </w:r>
      <w:r w:rsidR="000E5D28">
        <w:rPr>
          <w:bCs/>
        </w:rPr>
        <w:t>sixty-first</w:t>
      </w:r>
      <w:r w:rsidR="00960017">
        <w:t xml:space="preserve"> s</w:t>
      </w:r>
      <w:r w:rsidR="000256BB" w:rsidRPr="00FD7FBA">
        <w:t xml:space="preserve">ession welcomed the initiative of the liquefied petroleum gas industry to offer, in the context of </w:t>
      </w:r>
      <w:r w:rsidR="00BA5D5F">
        <w:t xml:space="preserve">the </w:t>
      </w:r>
      <w:r w:rsidR="000256BB" w:rsidRPr="00FD7FBA">
        <w:t>circular economy and the sustainable use of natural resources, solutions to reduce the overall carbon footprint. On the specific proposal of informal document INF.24 to introduce a new UN number for blends with much higher percentage of DME, the experts who spoke raised general caution and expressed the need to extend views across sectors other than the transport sector</w:t>
      </w:r>
      <w:r w:rsidR="0063749B">
        <w:t>,</w:t>
      </w:r>
      <w:r w:rsidR="000256BB" w:rsidRPr="00FD7FBA">
        <w:t xml:space="preserve"> </w:t>
      </w:r>
      <w:r w:rsidR="0063749B" w:rsidRPr="00FD7FBA">
        <w:t>e.g.,</w:t>
      </w:r>
      <w:r w:rsidR="000256BB" w:rsidRPr="00FD7FBA">
        <w:t xml:space="preserve"> the implications in the non-road mobile machinery sector and agreed to resume consideration of this subject at its next session.</w:t>
      </w:r>
    </w:p>
    <w:p w14:paraId="466E1AF7" w14:textId="67F4C732" w:rsidR="000256BB" w:rsidRPr="00FD7FBA" w:rsidRDefault="009C66B3" w:rsidP="009C66B3">
      <w:pPr>
        <w:pStyle w:val="HChG"/>
        <w:rPr>
          <w:b w:val="0"/>
          <w:bCs/>
          <w:sz w:val="24"/>
          <w:szCs w:val="24"/>
        </w:rPr>
      </w:pPr>
      <w:r w:rsidRPr="00FD7FBA">
        <w:tab/>
        <w:t>II.</w:t>
      </w:r>
      <w:r w:rsidRPr="00FD7FBA">
        <w:tab/>
      </w:r>
      <w:r w:rsidR="000256BB" w:rsidRPr="00FD7FBA">
        <w:t>Proposal</w:t>
      </w:r>
    </w:p>
    <w:p w14:paraId="5D0BD8B8" w14:textId="030096C4" w:rsidR="000256BB" w:rsidRDefault="004F5855" w:rsidP="004F5855">
      <w:pPr>
        <w:pStyle w:val="SingleTxtG"/>
      </w:pPr>
      <w:r w:rsidRPr="00FD7FBA">
        <w:t>4.</w:t>
      </w:r>
      <w:r w:rsidRPr="00FD7FBA">
        <w:tab/>
      </w:r>
      <w:r w:rsidR="002419C8" w:rsidRPr="00FD7FBA">
        <w:t>Add a new entry to the Dangerous Goods List in 3.2.2 as follows: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1"/>
        <w:gridCol w:w="3403"/>
        <w:gridCol w:w="566"/>
        <w:gridCol w:w="566"/>
        <w:gridCol w:w="568"/>
        <w:gridCol w:w="566"/>
        <w:gridCol w:w="566"/>
        <w:gridCol w:w="568"/>
        <w:gridCol w:w="711"/>
        <w:gridCol w:w="566"/>
        <w:gridCol w:w="426"/>
        <w:gridCol w:w="412"/>
      </w:tblGrid>
      <w:tr w:rsidR="00594737" w:rsidRPr="00EA521E" w14:paraId="337CC647" w14:textId="77777777" w:rsidTr="00E17A8E">
        <w:trPr>
          <w:trHeight w:val="360"/>
        </w:trPr>
        <w:tc>
          <w:tcPr>
            <w:tcW w:w="369" w:type="pct"/>
            <w:shd w:val="clear" w:color="auto" w:fill="auto"/>
            <w:vAlign w:val="center"/>
          </w:tcPr>
          <w:p w14:paraId="0338C553" w14:textId="77777777" w:rsidR="00594737" w:rsidRPr="00EA521E" w:rsidRDefault="00594737" w:rsidP="00E17A8E">
            <w:pPr>
              <w:pStyle w:val="SingleTxtG"/>
              <w:tabs>
                <w:tab w:val="left" w:pos="1269"/>
              </w:tabs>
              <w:ind w:left="0" w:right="0"/>
              <w:jc w:val="center"/>
              <w:rPr>
                <w:rFonts w:asciiTheme="majorBidi" w:hAnsiTheme="majorBidi" w:cstheme="majorBidi"/>
                <w:sz w:val="16"/>
                <w:szCs w:val="16"/>
                <w:lang w:eastAsia="ja-JP"/>
              </w:rPr>
            </w:pPr>
            <w:r w:rsidRPr="00EA521E">
              <w:rPr>
                <w:rFonts w:eastAsia="Times New Roman"/>
                <w:b/>
                <w:bCs/>
                <w:sz w:val="16"/>
                <w:szCs w:val="16"/>
              </w:rPr>
              <w:t>(1)</w:t>
            </w:r>
          </w:p>
        </w:tc>
        <w:tc>
          <w:tcPr>
            <w:tcW w:w="1767" w:type="pct"/>
            <w:shd w:val="clear" w:color="auto" w:fill="auto"/>
            <w:vAlign w:val="center"/>
          </w:tcPr>
          <w:p w14:paraId="33F6B36E" w14:textId="77777777" w:rsidR="00594737" w:rsidRPr="00EA521E" w:rsidRDefault="00594737" w:rsidP="00E17A8E">
            <w:pPr>
              <w:pStyle w:val="SingleTxtG"/>
              <w:ind w:left="0" w:right="7"/>
              <w:jc w:val="center"/>
              <w:rPr>
                <w:rFonts w:asciiTheme="majorBidi" w:hAnsiTheme="majorBidi" w:cstheme="majorBidi"/>
                <w:sz w:val="16"/>
                <w:szCs w:val="16"/>
              </w:rPr>
            </w:pPr>
            <w:r w:rsidRPr="00EA521E">
              <w:rPr>
                <w:rFonts w:eastAsia="Times New Roman"/>
                <w:b/>
                <w:bCs/>
                <w:sz w:val="16"/>
                <w:szCs w:val="16"/>
              </w:rPr>
              <w:t>(2)</w:t>
            </w:r>
          </w:p>
        </w:tc>
        <w:tc>
          <w:tcPr>
            <w:tcW w:w="294" w:type="pct"/>
            <w:vAlign w:val="center"/>
          </w:tcPr>
          <w:p w14:paraId="1A4E583C" w14:textId="77777777" w:rsidR="00594737" w:rsidRPr="00EA521E" w:rsidRDefault="00594737" w:rsidP="00E17A8E">
            <w:pPr>
              <w:pStyle w:val="SingleTxtG"/>
              <w:ind w:left="0" w:right="7"/>
              <w:jc w:val="center"/>
              <w:rPr>
                <w:rFonts w:asciiTheme="majorBidi" w:hAnsiTheme="majorBidi" w:cstheme="majorBidi"/>
                <w:sz w:val="16"/>
                <w:szCs w:val="16"/>
              </w:rPr>
            </w:pPr>
            <w:r w:rsidRPr="00EA521E">
              <w:rPr>
                <w:rFonts w:eastAsia="Times New Roman"/>
                <w:b/>
                <w:bCs/>
                <w:sz w:val="16"/>
                <w:szCs w:val="16"/>
              </w:rPr>
              <w:t>(3)</w:t>
            </w:r>
          </w:p>
        </w:tc>
        <w:tc>
          <w:tcPr>
            <w:tcW w:w="294" w:type="pct"/>
            <w:shd w:val="clear" w:color="auto" w:fill="auto"/>
            <w:vAlign w:val="center"/>
          </w:tcPr>
          <w:p w14:paraId="4A9BB509" w14:textId="77777777" w:rsidR="00594737" w:rsidRPr="00EA521E" w:rsidRDefault="00594737" w:rsidP="00E17A8E">
            <w:pPr>
              <w:pStyle w:val="SingleTxtG"/>
              <w:ind w:left="0" w:right="7"/>
              <w:jc w:val="center"/>
              <w:rPr>
                <w:rFonts w:asciiTheme="majorBidi" w:hAnsiTheme="majorBidi" w:cstheme="majorBidi"/>
                <w:sz w:val="16"/>
                <w:szCs w:val="16"/>
              </w:rPr>
            </w:pPr>
            <w:r w:rsidRPr="00EA521E">
              <w:rPr>
                <w:rFonts w:eastAsia="Times New Roman"/>
                <w:b/>
                <w:bCs/>
                <w:sz w:val="16"/>
                <w:szCs w:val="16"/>
              </w:rPr>
              <w:t>(4)</w:t>
            </w:r>
          </w:p>
        </w:tc>
        <w:tc>
          <w:tcPr>
            <w:tcW w:w="295" w:type="pct"/>
            <w:shd w:val="clear" w:color="auto" w:fill="auto"/>
            <w:vAlign w:val="center"/>
          </w:tcPr>
          <w:p w14:paraId="527CFFCC" w14:textId="77777777" w:rsidR="00594737" w:rsidRPr="00EA521E" w:rsidRDefault="00594737" w:rsidP="00E17A8E">
            <w:pPr>
              <w:pStyle w:val="SingleTxtG"/>
              <w:ind w:left="0" w:right="7"/>
              <w:jc w:val="center"/>
              <w:rPr>
                <w:rFonts w:asciiTheme="majorBidi" w:hAnsiTheme="majorBidi" w:cstheme="majorBidi"/>
                <w:sz w:val="16"/>
                <w:szCs w:val="16"/>
              </w:rPr>
            </w:pPr>
            <w:r w:rsidRPr="00EA521E">
              <w:rPr>
                <w:rFonts w:eastAsia="Times New Roman"/>
                <w:b/>
                <w:bCs/>
                <w:sz w:val="16"/>
                <w:szCs w:val="16"/>
              </w:rPr>
              <w:t>(5)</w:t>
            </w:r>
          </w:p>
        </w:tc>
        <w:tc>
          <w:tcPr>
            <w:tcW w:w="294" w:type="pct"/>
            <w:shd w:val="clear" w:color="auto" w:fill="auto"/>
            <w:vAlign w:val="center"/>
          </w:tcPr>
          <w:p w14:paraId="206E13AC" w14:textId="77777777" w:rsidR="00594737" w:rsidRPr="00EA521E" w:rsidRDefault="00594737" w:rsidP="00E17A8E">
            <w:pPr>
              <w:pStyle w:val="SingleTxtG"/>
              <w:ind w:left="0" w:right="7"/>
              <w:jc w:val="center"/>
              <w:rPr>
                <w:rFonts w:asciiTheme="majorBidi" w:hAnsiTheme="majorBidi" w:cstheme="majorBidi"/>
                <w:sz w:val="16"/>
                <w:szCs w:val="16"/>
              </w:rPr>
            </w:pPr>
            <w:r w:rsidRPr="00EA521E">
              <w:rPr>
                <w:rFonts w:eastAsia="Times New Roman"/>
                <w:b/>
                <w:bCs/>
                <w:sz w:val="16"/>
                <w:szCs w:val="16"/>
              </w:rPr>
              <w:t>(6)</w:t>
            </w:r>
          </w:p>
        </w:tc>
        <w:tc>
          <w:tcPr>
            <w:tcW w:w="294" w:type="pct"/>
            <w:shd w:val="clear" w:color="auto" w:fill="auto"/>
            <w:vAlign w:val="center"/>
          </w:tcPr>
          <w:p w14:paraId="39F569CD" w14:textId="77777777" w:rsidR="00594737" w:rsidRPr="00EA521E" w:rsidRDefault="00594737" w:rsidP="00E17A8E">
            <w:pPr>
              <w:pStyle w:val="SingleTxtG"/>
              <w:ind w:left="0" w:right="7"/>
              <w:jc w:val="center"/>
              <w:rPr>
                <w:rFonts w:asciiTheme="majorBidi" w:hAnsiTheme="majorBidi" w:cstheme="majorBidi"/>
                <w:sz w:val="16"/>
                <w:szCs w:val="16"/>
              </w:rPr>
            </w:pPr>
            <w:r w:rsidRPr="00EA521E">
              <w:rPr>
                <w:rFonts w:eastAsia="Times New Roman"/>
                <w:b/>
                <w:bCs/>
                <w:spacing w:val="-5"/>
                <w:sz w:val="16"/>
                <w:szCs w:val="16"/>
              </w:rPr>
              <w:t>(7a)</w:t>
            </w:r>
          </w:p>
        </w:tc>
        <w:tc>
          <w:tcPr>
            <w:tcW w:w="295" w:type="pct"/>
            <w:vAlign w:val="center"/>
          </w:tcPr>
          <w:p w14:paraId="16E8BFC8" w14:textId="77777777" w:rsidR="00594737" w:rsidRPr="00EA521E" w:rsidRDefault="00594737" w:rsidP="00E17A8E">
            <w:pPr>
              <w:pStyle w:val="SingleTxtG"/>
              <w:ind w:left="0" w:right="7"/>
              <w:jc w:val="center"/>
              <w:rPr>
                <w:rFonts w:asciiTheme="majorBidi" w:hAnsiTheme="majorBidi" w:cstheme="majorBidi"/>
                <w:sz w:val="16"/>
                <w:szCs w:val="16"/>
              </w:rPr>
            </w:pPr>
            <w:r w:rsidRPr="00EA521E">
              <w:rPr>
                <w:rFonts w:eastAsia="Times New Roman"/>
                <w:b/>
                <w:bCs/>
                <w:sz w:val="16"/>
                <w:szCs w:val="16"/>
              </w:rPr>
              <w:t>(7b)</w:t>
            </w:r>
          </w:p>
        </w:tc>
        <w:tc>
          <w:tcPr>
            <w:tcW w:w="369" w:type="pct"/>
            <w:vAlign w:val="center"/>
          </w:tcPr>
          <w:p w14:paraId="7A121B1E" w14:textId="77777777" w:rsidR="00594737" w:rsidRPr="004E4D11" w:rsidRDefault="00594737" w:rsidP="00E17A8E">
            <w:pPr>
              <w:pStyle w:val="SingleTxtG"/>
              <w:ind w:left="0" w:right="7"/>
              <w:jc w:val="center"/>
              <w:rPr>
                <w:rFonts w:eastAsia="Times New Roman"/>
                <w:b/>
                <w:bCs/>
                <w:sz w:val="16"/>
                <w:szCs w:val="16"/>
              </w:rPr>
            </w:pPr>
            <w:r w:rsidRPr="00EA521E">
              <w:rPr>
                <w:rFonts w:eastAsia="Times New Roman"/>
                <w:b/>
                <w:bCs/>
                <w:sz w:val="16"/>
                <w:szCs w:val="16"/>
              </w:rPr>
              <w:t>(8)</w:t>
            </w:r>
          </w:p>
        </w:tc>
        <w:tc>
          <w:tcPr>
            <w:tcW w:w="294" w:type="pct"/>
            <w:vAlign w:val="center"/>
          </w:tcPr>
          <w:p w14:paraId="23A74855" w14:textId="77777777" w:rsidR="00594737" w:rsidRPr="00EA521E" w:rsidRDefault="00594737" w:rsidP="00E17A8E">
            <w:pPr>
              <w:pStyle w:val="SingleTxtG"/>
              <w:ind w:left="0" w:right="7"/>
              <w:jc w:val="center"/>
              <w:rPr>
                <w:rFonts w:asciiTheme="majorBidi" w:hAnsiTheme="majorBidi" w:cstheme="majorBidi"/>
                <w:sz w:val="16"/>
                <w:szCs w:val="16"/>
              </w:rPr>
            </w:pPr>
            <w:r w:rsidRPr="00EA521E">
              <w:rPr>
                <w:rFonts w:eastAsia="Times New Roman"/>
                <w:b/>
                <w:bCs/>
                <w:sz w:val="16"/>
                <w:szCs w:val="16"/>
              </w:rPr>
              <w:t>(9)</w:t>
            </w:r>
          </w:p>
        </w:tc>
        <w:tc>
          <w:tcPr>
            <w:tcW w:w="221" w:type="pct"/>
            <w:vAlign w:val="center"/>
          </w:tcPr>
          <w:p w14:paraId="638EB739" w14:textId="77777777" w:rsidR="00594737" w:rsidRPr="00EA521E" w:rsidRDefault="00594737" w:rsidP="00E17A8E">
            <w:pPr>
              <w:pStyle w:val="SingleTxtG"/>
              <w:ind w:left="0" w:right="7"/>
              <w:jc w:val="center"/>
              <w:rPr>
                <w:rFonts w:asciiTheme="majorBidi" w:hAnsiTheme="majorBidi" w:cstheme="majorBidi"/>
                <w:sz w:val="16"/>
                <w:szCs w:val="16"/>
              </w:rPr>
            </w:pPr>
            <w:r w:rsidRPr="00EA521E">
              <w:rPr>
                <w:rFonts w:eastAsia="Times New Roman"/>
                <w:b/>
                <w:bCs/>
                <w:sz w:val="16"/>
                <w:szCs w:val="16"/>
              </w:rPr>
              <w:t>(10)</w:t>
            </w:r>
          </w:p>
        </w:tc>
        <w:tc>
          <w:tcPr>
            <w:tcW w:w="214" w:type="pct"/>
            <w:shd w:val="clear" w:color="auto" w:fill="auto"/>
            <w:vAlign w:val="center"/>
          </w:tcPr>
          <w:p w14:paraId="7517F772" w14:textId="77777777" w:rsidR="00594737" w:rsidRPr="00EA521E" w:rsidRDefault="00594737" w:rsidP="00E17A8E">
            <w:pPr>
              <w:pStyle w:val="SingleTxtG"/>
              <w:ind w:left="0" w:right="7"/>
              <w:jc w:val="center"/>
              <w:rPr>
                <w:rFonts w:asciiTheme="majorBidi" w:hAnsiTheme="majorBidi" w:cstheme="majorBidi"/>
                <w:sz w:val="16"/>
                <w:szCs w:val="16"/>
              </w:rPr>
            </w:pPr>
            <w:r w:rsidRPr="00EA521E">
              <w:rPr>
                <w:rFonts w:eastAsia="Times New Roman"/>
                <w:b/>
                <w:bCs/>
                <w:sz w:val="16"/>
                <w:szCs w:val="16"/>
              </w:rPr>
              <w:t>(11)</w:t>
            </w:r>
          </w:p>
        </w:tc>
      </w:tr>
      <w:tr w:rsidR="00594737" w:rsidRPr="00EA521E" w14:paraId="33BBFCCC" w14:textId="77777777" w:rsidTr="00E17A8E">
        <w:trPr>
          <w:trHeight w:val="360"/>
        </w:trPr>
        <w:tc>
          <w:tcPr>
            <w:tcW w:w="369" w:type="pct"/>
            <w:shd w:val="clear" w:color="auto" w:fill="auto"/>
          </w:tcPr>
          <w:p w14:paraId="54CF60FE" w14:textId="0C8E6270" w:rsidR="00594737" w:rsidRPr="00EA521E" w:rsidRDefault="00594737" w:rsidP="00F646AB">
            <w:pPr>
              <w:pStyle w:val="SingleTxtG"/>
              <w:tabs>
                <w:tab w:val="left" w:pos="1269"/>
              </w:tabs>
              <w:spacing w:before="40" w:after="40" w:line="240" w:lineRule="auto"/>
              <w:ind w:left="0" w:right="0"/>
              <w:jc w:val="center"/>
              <w:rPr>
                <w:rFonts w:asciiTheme="majorBidi" w:hAnsiTheme="majorBidi" w:cstheme="majorBidi"/>
                <w:sz w:val="16"/>
                <w:szCs w:val="16"/>
                <w:lang w:eastAsia="ja-JP"/>
              </w:rPr>
            </w:pPr>
            <w:r>
              <w:rPr>
                <w:sz w:val="16"/>
                <w:szCs w:val="16"/>
              </w:rPr>
              <w:t>XXXX</w:t>
            </w:r>
          </w:p>
        </w:tc>
        <w:tc>
          <w:tcPr>
            <w:tcW w:w="1767" w:type="pct"/>
            <w:shd w:val="clear" w:color="auto" w:fill="auto"/>
          </w:tcPr>
          <w:p w14:paraId="32C8C9E4" w14:textId="507447A6" w:rsidR="00594737" w:rsidRPr="00EA521E" w:rsidRDefault="00594737" w:rsidP="00F646AB">
            <w:pPr>
              <w:pStyle w:val="SingleTxtG"/>
              <w:spacing w:before="40" w:after="40" w:line="240" w:lineRule="auto"/>
              <w:ind w:left="0" w:right="6"/>
              <w:jc w:val="left"/>
              <w:rPr>
                <w:rFonts w:asciiTheme="majorBidi" w:hAnsiTheme="majorBidi" w:cstheme="majorBidi"/>
                <w:sz w:val="16"/>
                <w:szCs w:val="16"/>
              </w:rPr>
            </w:pPr>
            <w:r w:rsidRPr="00594737">
              <w:rPr>
                <w:rFonts w:asciiTheme="majorBidi" w:hAnsiTheme="majorBidi" w:cstheme="majorBidi"/>
                <w:sz w:val="16"/>
                <w:szCs w:val="16"/>
              </w:rPr>
              <w:t>DIMETHYL ETHER AND HYDROCARBON GAS MIXTURES, LIQUEFIED, N.O.S.</w:t>
            </w:r>
          </w:p>
        </w:tc>
        <w:tc>
          <w:tcPr>
            <w:tcW w:w="294" w:type="pct"/>
          </w:tcPr>
          <w:p w14:paraId="5BF5EC98" w14:textId="253BD260" w:rsidR="00594737" w:rsidRPr="00EA521E" w:rsidRDefault="00594737" w:rsidP="00F646AB">
            <w:pPr>
              <w:pStyle w:val="SingleTxtG"/>
              <w:spacing w:before="40" w:after="40" w:line="240" w:lineRule="auto"/>
              <w:ind w:left="0" w:right="7"/>
              <w:jc w:val="center"/>
              <w:rPr>
                <w:rFonts w:asciiTheme="majorBidi" w:hAnsiTheme="majorBidi" w:cstheme="majorBidi"/>
                <w:sz w:val="16"/>
                <w:szCs w:val="16"/>
              </w:rPr>
            </w:pPr>
            <w:r>
              <w:rPr>
                <w:sz w:val="16"/>
                <w:szCs w:val="16"/>
              </w:rPr>
              <w:t>2.1</w:t>
            </w:r>
          </w:p>
        </w:tc>
        <w:tc>
          <w:tcPr>
            <w:tcW w:w="294" w:type="pct"/>
            <w:shd w:val="clear" w:color="auto" w:fill="auto"/>
          </w:tcPr>
          <w:p w14:paraId="048268FA" w14:textId="77777777" w:rsidR="00594737" w:rsidRPr="00EA521E" w:rsidRDefault="00594737" w:rsidP="00F646AB">
            <w:pPr>
              <w:pStyle w:val="SingleTxtG"/>
              <w:spacing w:before="40" w:after="40" w:line="240" w:lineRule="auto"/>
              <w:ind w:left="0" w:right="7"/>
              <w:jc w:val="center"/>
              <w:rPr>
                <w:rFonts w:asciiTheme="majorBidi" w:hAnsiTheme="majorBidi" w:cstheme="majorBidi"/>
                <w:sz w:val="16"/>
                <w:szCs w:val="16"/>
              </w:rPr>
            </w:pPr>
          </w:p>
        </w:tc>
        <w:tc>
          <w:tcPr>
            <w:tcW w:w="295" w:type="pct"/>
            <w:shd w:val="clear" w:color="auto" w:fill="auto"/>
          </w:tcPr>
          <w:p w14:paraId="1A01E590" w14:textId="77777777" w:rsidR="00594737" w:rsidRPr="00EA521E" w:rsidRDefault="00594737" w:rsidP="00F646AB">
            <w:pPr>
              <w:pStyle w:val="SingleTxtG"/>
              <w:spacing w:before="40" w:after="40" w:line="240" w:lineRule="auto"/>
              <w:ind w:left="0" w:right="7"/>
              <w:jc w:val="center"/>
              <w:rPr>
                <w:rFonts w:asciiTheme="majorBidi" w:hAnsiTheme="majorBidi" w:cstheme="majorBidi"/>
                <w:sz w:val="16"/>
                <w:szCs w:val="16"/>
              </w:rPr>
            </w:pPr>
          </w:p>
        </w:tc>
        <w:tc>
          <w:tcPr>
            <w:tcW w:w="294" w:type="pct"/>
            <w:shd w:val="clear" w:color="auto" w:fill="auto"/>
          </w:tcPr>
          <w:p w14:paraId="55D07544" w14:textId="6B3E1FD8" w:rsidR="00594737" w:rsidRPr="00EA521E" w:rsidRDefault="00594737" w:rsidP="00F646AB">
            <w:pPr>
              <w:keepNext/>
              <w:suppressAutoHyphens w:val="0"/>
              <w:spacing w:before="40" w:after="40" w:line="240" w:lineRule="auto"/>
              <w:jc w:val="center"/>
              <w:rPr>
                <w:rFonts w:asciiTheme="majorBidi" w:hAnsiTheme="majorBidi" w:cstheme="majorBidi"/>
                <w:sz w:val="16"/>
                <w:szCs w:val="16"/>
              </w:rPr>
            </w:pPr>
            <w:r>
              <w:rPr>
                <w:sz w:val="16"/>
                <w:szCs w:val="16"/>
              </w:rPr>
              <w:t>274</w:t>
            </w:r>
            <w:r>
              <w:rPr>
                <w:sz w:val="16"/>
                <w:szCs w:val="16"/>
              </w:rPr>
              <w:br/>
            </w:r>
            <w:r>
              <w:rPr>
                <w:rFonts w:asciiTheme="majorBidi" w:hAnsiTheme="majorBidi" w:cstheme="majorBidi"/>
                <w:sz w:val="16"/>
                <w:szCs w:val="16"/>
              </w:rPr>
              <w:t>392</w:t>
            </w:r>
          </w:p>
        </w:tc>
        <w:tc>
          <w:tcPr>
            <w:tcW w:w="294" w:type="pct"/>
            <w:shd w:val="clear" w:color="auto" w:fill="auto"/>
          </w:tcPr>
          <w:p w14:paraId="392F9522" w14:textId="77777777" w:rsidR="00594737" w:rsidRPr="00EA521E" w:rsidRDefault="00594737" w:rsidP="00F646AB">
            <w:pPr>
              <w:pStyle w:val="SingleTxtG"/>
              <w:spacing w:before="40" w:after="40" w:line="240" w:lineRule="auto"/>
              <w:ind w:left="0" w:right="7"/>
              <w:jc w:val="center"/>
              <w:rPr>
                <w:rFonts w:asciiTheme="majorBidi" w:hAnsiTheme="majorBidi" w:cstheme="majorBidi"/>
                <w:sz w:val="16"/>
                <w:szCs w:val="16"/>
              </w:rPr>
            </w:pPr>
            <w:r w:rsidRPr="00850D04">
              <w:rPr>
                <w:sz w:val="16"/>
                <w:szCs w:val="16"/>
              </w:rPr>
              <w:t>0</w:t>
            </w:r>
          </w:p>
        </w:tc>
        <w:tc>
          <w:tcPr>
            <w:tcW w:w="295" w:type="pct"/>
          </w:tcPr>
          <w:p w14:paraId="7179149D" w14:textId="77777777" w:rsidR="00594737" w:rsidRPr="00EA521E" w:rsidRDefault="00594737" w:rsidP="00F646AB">
            <w:pPr>
              <w:pStyle w:val="SingleTxtG"/>
              <w:spacing w:before="40" w:after="40" w:line="240" w:lineRule="auto"/>
              <w:ind w:left="0" w:right="7"/>
              <w:jc w:val="center"/>
              <w:rPr>
                <w:rFonts w:asciiTheme="majorBidi" w:hAnsiTheme="majorBidi" w:cstheme="majorBidi"/>
                <w:sz w:val="16"/>
                <w:szCs w:val="16"/>
              </w:rPr>
            </w:pPr>
            <w:r>
              <w:rPr>
                <w:sz w:val="16"/>
                <w:szCs w:val="16"/>
              </w:rPr>
              <w:t>E0</w:t>
            </w:r>
          </w:p>
        </w:tc>
        <w:tc>
          <w:tcPr>
            <w:tcW w:w="369" w:type="pct"/>
          </w:tcPr>
          <w:p w14:paraId="4D18AE04" w14:textId="584C841C" w:rsidR="00594737" w:rsidRPr="00EA521E" w:rsidRDefault="00594737" w:rsidP="00F646AB">
            <w:pPr>
              <w:suppressAutoHyphens w:val="0"/>
              <w:spacing w:before="40" w:after="40" w:line="240" w:lineRule="auto"/>
              <w:jc w:val="center"/>
              <w:rPr>
                <w:rFonts w:asciiTheme="majorBidi" w:hAnsiTheme="majorBidi" w:cstheme="majorBidi"/>
                <w:sz w:val="16"/>
                <w:szCs w:val="16"/>
              </w:rPr>
            </w:pPr>
            <w:r>
              <w:rPr>
                <w:sz w:val="16"/>
                <w:szCs w:val="16"/>
              </w:rPr>
              <w:t>P200</w:t>
            </w:r>
          </w:p>
        </w:tc>
        <w:tc>
          <w:tcPr>
            <w:tcW w:w="294" w:type="pct"/>
          </w:tcPr>
          <w:p w14:paraId="46D8A758" w14:textId="77777777" w:rsidR="00594737" w:rsidRPr="00EA521E" w:rsidRDefault="00594737" w:rsidP="00F646AB">
            <w:pPr>
              <w:pStyle w:val="SingleTxtG"/>
              <w:spacing w:before="40" w:after="40" w:line="240" w:lineRule="auto"/>
              <w:ind w:left="0" w:right="7"/>
              <w:jc w:val="center"/>
              <w:rPr>
                <w:rFonts w:asciiTheme="majorBidi" w:hAnsiTheme="majorBidi" w:cstheme="majorBidi"/>
                <w:sz w:val="16"/>
                <w:szCs w:val="16"/>
              </w:rPr>
            </w:pPr>
          </w:p>
        </w:tc>
        <w:tc>
          <w:tcPr>
            <w:tcW w:w="221" w:type="pct"/>
          </w:tcPr>
          <w:p w14:paraId="0098B749" w14:textId="07EFAEFB" w:rsidR="00594737" w:rsidRPr="00EA521E" w:rsidRDefault="00594737" w:rsidP="00F646AB">
            <w:pPr>
              <w:pStyle w:val="SingleTxtG"/>
              <w:spacing w:before="40" w:after="40" w:line="240" w:lineRule="auto"/>
              <w:ind w:left="0" w:right="7"/>
              <w:jc w:val="center"/>
              <w:rPr>
                <w:rFonts w:asciiTheme="majorBidi" w:hAnsiTheme="majorBidi" w:cstheme="majorBidi"/>
                <w:sz w:val="16"/>
                <w:szCs w:val="16"/>
              </w:rPr>
            </w:pPr>
            <w:r>
              <w:rPr>
                <w:rFonts w:asciiTheme="majorBidi" w:hAnsiTheme="majorBidi" w:cstheme="majorBidi"/>
                <w:sz w:val="16"/>
                <w:szCs w:val="16"/>
              </w:rPr>
              <w:t>T50</w:t>
            </w:r>
          </w:p>
        </w:tc>
        <w:tc>
          <w:tcPr>
            <w:tcW w:w="214" w:type="pct"/>
            <w:shd w:val="clear" w:color="auto" w:fill="auto"/>
          </w:tcPr>
          <w:p w14:paraId="7DBC169A" w14:textId="77777777" w:rsidR="00594737" w:rsidRPr="00EA521E" w:rsidRDefault="00594737" w:rsidP="00F646AB">
            <w:pPr>
              <w:pStyle w:val="SingleTxtG"/>
              <w:spacing w:before="40" w:after="40" w:line="240" w:lineRule="auto"/>
              <w:ind w:left="0" w:right="7"/>
              <w:jc w:val="center"/>
              <w:rPr>
                <w:rFonts w:asciiTheme="majorBidi" w:hAnsiTheme="majorBidi" w:cstheme="majorBidi"/>
                <w:sz w:val="16"/>
                <w:szCs w:val="16"/>
              </w:rPr>
            </w:pPr>
          </w:p>
        </w:tc>
      </w:tr>
    </w:tbl>
    <w:p w14:paraId="28F1BC6F" w14:textId="763B9194" w:rsidR="000256BB" w:rsidRDefault="0031316C" w:rsidP="009C5934">
      <w:pPr>
        <w:pStyle w:val="SingleTxtG"/>
        <w:spacing w:before="120"/>
      </w:pPr>
      <w:r>
        <w:t>5</w:t>
      </w:r>
      <w:r w:rsidR="00A34551" w:rsidRPr="00FD7FBA">
        <w:t>.</w:t>
      </w:r>
      <w:r w:rsidR="00A34551" w:rsidRPr="00FD7FBA">
        <w:tab/>
      </w:r>
      <w:r w:rsidR="00594737">
        <w:t>In</w:t>
      </w:r>
      <w:r w:rsidR="000256BB" w:rsidRPr="00FD7FBA">
        <w:t xml:space="preserve"> 4.1.4.1</w:t>
      </w:r>
      <w:r w:rsidR="00594737">
        <w:t xml:space="preserve">, </w:t>
      </w:r>
      <w:r w:rsidR="009C6A38" w:rsidRPr="00FD7FBA">
        <w:t>p</w:t>
      </w:r>
      <w:r w:rsidR="000256BB" w:rsidRPr="00FD7FBA">
        <w:t xml:space="preserve">acking </w:t>
      </w:r>
      <w:r w:rsidR="009C6A38" w:rsidRPr="00FD7FBA">
        <w:t>i</w:t>
      </w:r>
      <w:r w:rsidR="000256BB" w:rsidRPr="00FD7FBA">
        <w:t>nstruction P200</w:t>
      </w:r>
      <w:r w:rsidR="00594737">
        <w:t>,</w:t>
      </w:r>
      <w:r w:rsidR="000256BB" w:rsidRPr="00FD7FBA">
        <w:t xml:space="preserve"> Table 2</w:t>
      </w:r>
      <w:r w:rsidR="00594737">
        <w:t>, add a new entry</w:t>
      </w:r>
      <w:r w:rsidR="000256BB" w:rsidRPr="00FD7FBA">
        <w:t xml:space="preserve"> as follows:</w:t>
      </w:r>
    </w:p>
    <w:tbl>
      <w:tblPr>
        <w:tblStyle w:val="TableGrid"/>
        <w:tblW w:w="9640" w:type="dxa"/>
        <w:tblInd w:w="-5" w:type="dxa"/>
        <w:tblLayout w:type="fixed"/>
        <w:tblLook w:val="04A0" w:firstRow="1" w:lastRow="0" w:firstColumn="1" w:lastColumn="0" w:noHBand="0" w:noVBand="1"/>
      </w:tblPr>
      <w:tblGrid>
        <w:gridCol w:w="709"/>
        <w:gridCol w:w="2552"/>
        <w:gridCol w:w="531"/>
        <w:gridCol w:w="532"/>
        <w:gridCol w:w="531"/>
        <w:gridCol w:w="532"/>
        <w:gridCol w:w="531"/>
        <w:gridCol w:w="532"/>
        <w:gridCol w:w="532"/>
        <w:gridCol w:w="531"/>
        <w:gridCol w:w="532"/>
        <w:gridCol w:w="531"/>
        <w:gridCol w:w="532"/>
        <w:gridCol w:w="532"/>
      </w:tblGrid>
      <w:tr w:rsidR="001B2E7F" w:rsidRPr="00BD487C" w14:paraId="0D1C8D82" w14:textId="77777777" w:rsidTr="00B744FD">
        <w:trPr>
          <w:trHeight w:val="1713"/>
        </w:trPr>
        <w:tc>
          <w:tcPr>
            <w:tcW w:w="709" w:type="dxa"/>
            <w:vAlign w:val="center"/>
          </w:tcPr>
          <w:p w14:paraId="158F5E26" w14:textId="77777777" w:rsidR="001B2E7F" w:rsidRPr="00BD487C" w:rsidRDefault="001B2E7F" w:rsidP="00E17A8E">
            <w:pPr>
              <w:keepNext/>
              <w:jc w:val="center"/>
              <w:rPr>
                <w:sz w:val="16"/>
                <w:szCs w:val="16"/>
              </w:rPr>
            </w:pPr>
            <w:r w:rsidRPr="00BD487C">
              <w:rPr>
                <w:b/>
                <w:sz w:val="16"/>
                <w:szCs w:val="16"/>
                <w:lang w:val="en-GB"/>
              </w:rPr>
              <w:t>UN No.</w:t>
            </w:r>
          </w:p>
        </w:tc>
        <w:tc>
          <w:tcPr>
            <w:tcW w:w="2552" w:type="dxa"/>
            <w:vAlign w:val="center"/>
          </w:tcPr>
          <w:p w14:paraId="381B8968" w14:textId="77777777" w:rsidR="001B2E7F" w:rsidRPr="00BD487C" w:rsidRDefault="001B2E7F" w:rsidP="00E17A8E">
            <w:pPr>
              <w:keepNext/>
              <w:jc w:val="center"/>
              <w:rPr>
                <w:sz w:val="16"/>
                <w:szCs w:val="16"/>
              </w:rPr>
            </w:pPr>
            <w:r w:rsidRPr="00BD487C">
              <w:rPr>
                <w:b/>
                <w:sz w:val="16"/>
                <w:szCs w:val="16"/>
                <w:lang w:val="en-GB"/>
              </w:rPr>
              <w:t>Name and description</w:t>
            </w:r>
          </w:p>
        </w:tc>
        <w:tc>
          <w:tcPr>
            <w:tcW w:w="531" w:type="dxa"/>
            <w:textDirection w:val="btLr"/>
            <w:vAlign w:val="center"/>
          </w:tcPr>
          <w:p w14:paraId="13733E10" w14:textId="77777777" w:rsidR="001B2E7F" w:rsidRPr="00BD487C" w:rsidRDefault="001B2E7F" w:rsidP="00E17A8E">
            <w:pPr>
              <w:keepNext/>
              <w:jc w:val="center"/>
              <w:rPr>
                <w:sz w:val="16"/>
                <w:szCs w:val="16"/>
              </w:rPr>
            </w:pPr>
            <w:r w:rsidRPr="00BD487C">
              <w:rPr>
                <w:b/>
                <w:sz w:val="16"/>
                <w:szCs w:val="16"/>
                <w:lang w:val="en-GB"/>
              </w:rPr>
              <w:t>Class or Division</w:t>
            </w:r>
          </w:p>
        </w:tc>
        <w:tc>
          <w:tcPr>
            <w:tcW w:w="532" w:type="dxa"/>
            <w:textDirection w:val="btLr"/>
            <w:vAlign w:val="center"/>
          </w:tcPr>
          <w:p w14:paraId="4720B923" w14:textId="2F67E253" w:rsidR="001B2E7F" w:rsidRPr="00BD487C" w:rsidRDefault="001B2E7F" w:rsidP="00E17A8E">
            <w:pPr>
              <w:keepNext/>
              <w:jc w:val="center"/>
              <w:rPr>
                <w:sz w:val="16"/>
                <w:szCs w:val="16"/>
              </w:rPr>
            </w:pPr>
            <w:r w:rsidRPr="00BD487C">
              <w:rPr>
                <w:b/>
                <w:sz w:val="16"/>
                <w:szCs w:val="16"/>
                <w:lang w:val="en-GB"/>
              </w:rPr>
              <w:t>Subsidiary hazard</w:t>
            </w:r>
            <w:r w:rsidR="00B744FD" w:rsidRPr="00BD487C">
              <w:rPr>
                <w:b/>
                <w:sz w:val="16"/>
                <w:szCs w:val="16"/>
                <w:lang w:val="en-GB"/>
              </w:rPr>
              <w:t>s</w:t>
            </w:r>
          </w:p>
        </w:tc>
        <w:tc>
          <w:tcPr>
            <w:tcW w:w="531" w:type="dxa"/>
            <w:textDirection w:val="btLr"/>
            <w:vAlign w:val="center"/>
          </w:tcPr>
          <w:p w14:paraId="4D6B5EF0" w14:textId="77777777" w:rsidR="001B2E7F" w:rsidRPr="00BD487C" w:rsidRDefault="001B2E7F" w:rsidP="00E17A8E">
            <w:pPr>
              <w:keepNext/>
              <w:jc w:val="center"/>
              <w:rPr>
                <w:sz w:val="16"/>
                <w:szCs w:val="16"/>
              </w:rPr>
            </w:pPr>
            <w:r w:rsidRPr="00BD487C">
              <w:rPr>
                <w:b/>
                <w:sz w:val="16"/>
                <w:szCs w:val="16"/>
                <w:lang w:val="en-GB"/>
              </w:rPr>
              <w:t>LC</w:t>
            </w:r>
            <w:r w:rsidRPr="00BD487C">
              <w:rPr>
                <w:b/>
                <w:sz w:val="16"/>
                <w:szCs w:val="16"/>
                <w:vertAlign w:val="subscript"/>
                <w:lang w:val="en-GB"/>
              </w:rPr>
              <w:t>50</w:t>
            </w:r>
            <w:r w:rsidRPr="00BD487C">
              <w:rPr>
                <w:b/>
                <w:sz w:val="16"/>
                <w:szCs w:val="16"/>
                <w:lang w:val="en-GB"/>
              </w:rPr>
              <w:t xml:space="preserve"> (ml/m³)</w:t>
            </w:r>
          </w:p>
        </w:tc>
        <w:tc>
          <w:tcPr>
            <w:tcW w:w="532" w:type="dxa"/>
            <w:textDirection w:val="btLr"/>
            <w:vAlign w:val="center"/>
          </w:tcPr>
          <w:p w14:paraId="2B25F441" w14:textId="77777777" w:rsidR="001B2E7F" w:rsidRPr="00BD487C" w:rsidRDefault="001B2E7F" w:rsidP="00E17A8E">
            <w:pPr>
              <w:keepNext/>
              <w:jc w:val="center"/>
              <w:rPr>
                <w:sz w:val="16"/>
                <w:szCs w:val="16"/>
              </w:rPr>
            </w:pPr>
            <w:r w:rsidRPr="00BD487C">
              <w:rPr>
                <w:b/>
                <w:sz w:val="16"/>
                <w:szCs w:val="16"/>
                <w:lang w:val="en-GB"/>
              </w:rPr>
              <w:t>Cylinders</w:t>
            </w:r>
          </w:p>
        </w:tc>
        <w:tc>
          <w:tcPr>
            <w:tcW w:w="531" w:type="dxa"/>
            <w:textDirection w:val="btLr"/>
            <w:vAlign w:val="center"/>
          </w:tcPr>
          <w:p w14:paraId="6A183DFF" w14:textId="77777777" w:rsidR="001B2E7F" w:rsidRPr="00BD487C" w:rsidRDefault="001B2E7F" w:rsidP="00E17A8E">
            <w:pPr>
              <w:keepNext/>
              <w:jc w:val="center"/>
              <w:rPr>
                <w:sz w:val="16"/>
                <w:szCs w:val="16"/>
              </w:rPr>
            </w:pPr>
            <w:r w:rsidRPr="00BD487C">
              <w:rPr>
                <w:b/>
                <w:sz w:val="16"/>
                <w:szCs w:val="16"/>
                <w:lang w:val="en-GB"/>
              </w:rPr>
              <w:t>Tubes</w:t>
            </w:r>
          </w:p>
        </w:tc>
        <w:tc>
          <w:tcPr>
            <w:tcW w:w="532" w:type="dxa"/>
            <w:textDirection w:val="btLr"/>
            <w:vAlign w:val="center"/>
          </w:tcPr>
          <w:p w14:paraId="3F0F5E6A" w14:textId="77777777" w:rsidR="001B2E7F" w:rsidRPr="00BD487C" w:rsidRDefault="001B2E7F" w:rsidP="00E17A8E">
            <w:pPr>
              <w:keepNext/>
              <w:jc w:val="center"/>
              <w:rPr>
                <w:sz w:val="16"/>
                <w:szCs w:val="16"/>
              </w:rPr>
            </w:pPr>
            <w:r w:rsidRPr="00BD487C">
              <w:rPr>
                <w:b/>
                <w:sz w:val="16"/>
                <w:szCs w:val="16"/>
                <w:lang w:val="en-GB"/>
              </w:rPr>
              <w:t>Pressure drums</w:t>
            </w:r>
          </w:p>
        </w:tc>
        <w:tc>
          <w:tcPr>
            <w:tcW w:w="532" w:type="dxa"/>
            <w:textDirection w:val="btLr"/>
            <w:vAlign w:val="center"/>
          </w:tcPr>
          <w:p w14:paraId="4BA5EF3C" w14:textId="77777777" w:rsidR="001B2E7F" w:rsidRPr="00BD487C" w:rsidRDefault="001B2E7F" w:rsidP="00E17A8E">
            <w:pPr>
              <w:keepNext/>
              <w:jc w:val="center"/>
              <w:rPr>
                <w:sz w:val="16"/>
                <w:szCs w:val="16"/>
              </w:rPr>
            </w:pPr>
            <w:r w:rsidRPr="00BD487C">
              <w:rPr>
                <w:b/>
                <w:sz w:val="16"/>
                <w:szCs w:val="16"/>
                <w:lang w:val="en-GB"/>
              </w:rPr>
              <w:t>Bundles of cylinders</w:t>
            </w:r>
          </w:p>
        </w:tc>
        <w:tc>
          <w:tcPr>
            <w:tcW w:w="531" w:type="dxa"/>
            <w:textDirection w:val="btLr"/>
            <w:vAlign w:val="center"/>
          </w:tcPr>
          <w:p w14:paraId="37D7ABC3" w14:textId="77777777" w:rsidR="001B2E7F" w:rsidRPr="00BD487C" w:rsidRDefault="001B2E7F" w:rsidP="00E17A8E">
            <w:pPr>
              <w:keepNext/>
              <w:jc w:val="center"/>
              <w:rPr>
                <w:sz w:val="16"/>
                <w:szCs w:val="16"/>
              </w:rPr>
            </w:pPr>
            <w:r w:rsidRPr="00BD487C">
              <w:rPr>
                <w:b/>
                <w:sz w:val="16"/>
                <w:szCs w:val="16"/>
                <w:lang w:val="en-GB"/>
              </w:rPr>
              <w:t>MEGCs</w:t>
            </w:r>
          </w:p>
        </w:tc>
        <w:tc>
          <w:tcPr>
            <w:tcW w:w="532" w:type="dxa"/>
            <w:textDirection w:val="btLr"/>
            <w:vAlign w:val="center"/>
          </w:tcPr>
          <w:p w14:paraId="67E51EF2" w14:textId="77777777" w:rsidR="001B2E7F" w:rsidRPr="00BD487C" w:rsidRDefault="001B2E7F" w:rsidP="00E17A8E">
            <w:pPr>
              <w:keepNext/>
              <w:jc w:val="center"/>
              <w:rPr>
                <w:sz w:val="16"/>
                <w:szCs w:val="16"/>
              </w:rPr>
            </w:pPr>
            <w:r w:rsidRPr="00BD487C">
              <w:rPr>
                <w:b/>
                <w:sz w:val="16"/>
                <w:szCs w:val="16"/>
                <w:lang w:val="en-GB"/>
              </w:rPr>
              <w:t>Test period (years)</w:t>
            </w:r>
          </w:p>
        </w:tc>
        <w:tc>
          <w:tcPr>
            <w:tcW w:w="531" w:type="dxa"/>
            <w:textDirection w:val="btLr"/>
            <w:vAlign w:val="center"/>
          </w:tcPr>
          <w:p w14:paraId="5BE11236" w14:textId="77777777" w:rsidR="001B2E7F" w:rsidRPr="00BD487C" w:rsidRDefault="001B2E7F" w:rsidP="00E17A8E">
            <w:pPr>
              <w:keepNext/>
              <w:jc w:val="center"/>
              <w:rPr>
                <w:sz w:val="16"/>
                <w:szCs w:val="16"/>
              </w:rPr>
            </w:pPr>
            <w:r w:rsidRPr="00BD487C">
              <w:rPr>
                <w:b/>
                <w:sz w:val="16"/>
                <w:szCs w:val="16"/>
                <w:lang w:val="en-GB"/>
              </w:rPr>
              <w:t>Test pressure (bar)</w:t>
            </w:r>
          </w:p>
        </w:tc>
        <w:tc>
          <w:tcPr>
            <w:tcW w:w="532" w:type="dxa"/>
            <w:textDirection w:val="btLr"/>
            <w:vAlign w:val="center"/>
          </w:tcPr>
          <w:p w14:paraId="64849BD3" w14:textId="77777777" w:rsidR="001B2E7F" w:rsidRPr="00BD487C" w:rsidRDefault="001B2E7F" w:rsidP="00E17A8E">
            <w:pPr>
              <w:keepNext/>
              <w:jc w:val="center"/>
              <w:rPr>
                <w:sz w:val="16"/>
                <w:szCs w:val="16"/>
              </w:rPr>
            </w:pPr>
            <w:r w:rsidRPr="00BD487C">
              <w:rPr>
                <w:b/>
                <w:sz w:val="16"/>
                <w:szCs w:val="16"/>
                <w:lang w:val="en-GB"/>
              </w:rPr>
              <w:t>Filling ratio</w:t>
            </w:r>
          </w:p>
        </w:tc>
        <w:tc>
          <w:tcPr>
            <w:tcW w:w="532" w:type="dxa"/>
            <w:textDirection w:val="btLr"/>
            <w:vAlign w:val="center"/>
          </w:tcPr>
          <w:p w14:paraId="4E5AD14E" w14:textId="77777777" w:rsidR="001B2E7F" w:rsidRPr="00BD487C" w:rsidRDefault="001B2E7F" w:rsidP="00E17A8E">
            <w:pPr>
              <w:keepNext/>
              <w:spacing w:line="240" w:lineRule="auto"/>
              <w:jc w:val="center"/>
              <w:rPr>
                <w:sz w:val="16"/>
                <w:szCs w:val="16"/>
              </w:rPr>
            </w:pPr>
            <w:r w:rsidRPr="00BD487C">
              <w:rPr>
                <w:b/>
                <w:sz w:val="16"/>
                <w:szCs w:val="16"/>
                <w:lang w:val="en-GB"/>
              </w:rPr>
              <w:t>Special packing provisions</w:t>
            </w:r>
          </w:p>
        </w:tc>
      </w:tr>
      <w:tr w:rsidR="001B2E7F" w:rsidRPr="00BD487C" w14:paraId="4F409C64" w14:textId="77777777" w:rsidTr="00B744FD">
        <w:trPr>
          <w:trHeight w:val="283"/>
        </w:trPr>
        <w:tc>
          <w:tcPr>
            <w:tcW w:w="709" w:type="dxa"/>
          </w:tcPr>
          <w:p w14:paraId="1B6D647C" w14:textId="312DC40E" w:rsidR="001B2E7F" w:rsidRPr="00BD487C" w:rsidRDefault="001B2E7F" w:rsidP="00F646AB">
            <w:pPr>
              <w:keepNext/>
              <w:spacing w:before="40" w:after="40"/>
              <w:jc w:val="center"/>
              <w:rPr>
                <w:sz w:val="16"/>
                <w:szCs w:val="16"/>
                <w:lang w:val="en-GB"/>
              </w:rPr>
            </w:pPr>
            <w:r w:rsidRPr="00BD487C">
              <w:rPr>
                <w:sz w:val="16"/>
                <w:szCs w:val="16"/>
                <w:lang w:val="en-GB"/>
              </w:rPr>
              <w:t>XXXX</w:t>
            </w:r>
          </w:p>
        </w:tc>
        <w:tc>
          <w:tcPr>
            <w:tcW w:w="2552" w:type="dxa"/>
          </w:tcPr>
          <w:p w14:paraId="4EB49B9F" w14:textId="5AFCC3A1" w:rsidR="001B2E7F" w:rsidRPr="00BD487C" w:rsidRDefault="008A2447" w:rsidP="00F646AB">
            <w:pPr>
              <w:keepNext/>
              <w:spacing w:before="40" w:after="40"/>
              <w:ind w:left="141" w:firstLine="4"/>
              <w:rPr>
                <w:sz w:val="16"/>
                <w:szCs w:val="16"/>
                <w:lang w:val="en-GB"/>
              </w:rPr>
            </w:pPr>
            <w:r w:rsidRPr="00BD487C">
              <w:rPr>
                <w:sz w:val="16"/>
                <w:szCs w:val="16"/>
                <w:lang w:val="en-GB"/>
              </w:rPr>
              <w:t>DIMETHYL ETHER AND HYDROCARBON GAS MIXTURES, LIQUEFIED, N.O.S.</w:t>
            </w:r>
          </w:p>
        </w:tc>
        <w:tc>
          <w:tcPr>
            <w:tcW w:w="531" w:type="dxa"/>
          </w:tcPr>
          <w:p w14:paraId="01C313E8" w14:textId="77777777" w:rsidR="001B2E7F" w:rsidRPr="00BD487C" w:rsidRDefault="001B2E7F" w:rsidP="00F646AB">
            <w:pPr>
              <w:keepNext/>
              <w:spacing w:before="40" w:after="40"/>
              <w:jc w:val="center"/>
              <w:rPr>
                <w:sz w:val="16"/>
                <w:szCs w:val="16"/>
                <w:lang w:val="en-GB"/>
              </w:rPr>
            </w:pPr>
            <w:r w:rsidRPr="00BD487C">
              <w:rPr>
                <w:sz w:val="16"/>
                <w:szCs w:val="16"/>
                <w:lang w:val="en-GB"/>
              </w:rPr>
              <w:t>2.1</w:t>
            </w:r>
          </w:p>
        </w:tc>
        <w:tc>
          <w:tcPr>
            <w:tcW w:w="532" w:type="dxa"/>
          </w:tcPr>
          <w:p w14:paraId="33DF6966" w14:textId="77777777" w:rsidR="001B2E7F" w:rsidRPr="00BD487C" w:rsidRDefault="001B2E7F" w:rsidP="00F646AB">
            <w:pPr>
              <w:keepNext/>
              <w:spacing w:before="40" w:after="40"/>
              <w:jc w:val="center"/>
              <w:rPr>
                <w:sz w:val="16"/>
                <w:szCs w:val="16"/>
                <w:lang w:val="en-GB"/>
              </w:rPr>
            </w:pPr>
          </w:p>
        </w:tc>
        <w:tc>
          <w:tcPr>
            <w:tcW w:w="531" w:type="dxa"/>
          </w:tcPr>
          <w:p w14:paraId="1CDB37CA" w14:textId="77777777" w:rsidR="001B2E7F" w:rsidRPr="00BD487C" w:rsidRDefault="001B2E7F" w:rsidP="00F646AB">
            <w:pPr>
              <w:keepNext/>
              <w:spacing w:before="40" w:after="40"/>
              <w:jc w:val="center"/>
              <w:rPr>
                <w:sz w:val="16"/>
                <w:szCs w:val="16"/>
                <w:lang w:val="en-GB"/>
              </w:rPr>
            </w:pPr>
          </w:p>
        </w:tc>
        <w:tc>
          <w:tcPr>
            <w:tcW w:w="532" w:type="dxa"/>
          </w:tcPr>
          <w:p w14:paraId="20F800AC" w14:textId="77777777" w:rsidR="001B2E7F" w:rsidRPr="00BD487C" w:rsidRDefault="001B2E7F" w:rsidP="00F646AB">
            <w:pPr>
              <w:keepNext/>
              <w:spacing w:before="40" w:after="40"/>
              <w:jc w:val="center"/>
              <w:rPr>
                <w:sz w:val="16"/>
                <w:szCs w:val="16"/>
                <w:lang w:val="en-GB"/>
              </w:rPr>
            </w:pPr>
            <w:r w:rsidRPr="00BD487C">
              <w:rPr>
                <w:sz w:val="16"/>
                <w:szCs w:val="16"/>
                <w:lang w:val="en-GB"/>
              </w:rPr>
              <w:t>X</w:t>
            </w:r>
          </w:p>
        </w:tc>
        <w:tc>
          <w:tcPr>
            <w:tcW w:w="531" w:type="dxa"/>
          </w:tcPr>
          <w:p w14:paraId="653E9A7A" w14:textId="77777777" w:rsidR="001B2E7F" w:rsidRPr="00BD487C" w:rsidRDefault="001B2E7F" w:rsidP="00F646AB">
            <w:pPr>
              <w:keepNext/>
              <w:spacing w:before="40" w:after="40"/>
              <w:jc w:val="center"/>
              <w:rPr>
                <w:sz w:val="16"/>
                <w:szCs w:val="16"/>
                <w:lang w:val="en-GB"/>
              </w:rPr>
            </w:pPr>
            <w:r w:rsidRPr="00BD487C">
              <w:rPr>
                <w:sz w:val="16"/>
                <w:szCs w:val="16"/>
                <w:lang w:val="en-GB"/>
              </w:rPr>
              <w:t>X</w:t>
            </w:r>
          </w:p>
        </w:tc>
        <w:tc>
          <w:tcPr>
            <w:tcW w:w="532" w:type="dxa"/>
          </w:tcPr>
          <w:p w14:paraId="2DB92BEA" w14:textId="77777777" w:rsidR="001B2E7F" w:rsidRPr="00BD487C" w:rsidRDefault="001B2E7F" w:rsidP="00F646AB">
            <w:pPr>
              <w:keepNext/>
              <w:spacing w:before="40" w:after="40"/>
              <w:jc w:val="center"/>
              <w:rPr>
                <w:sz w:val="16"/>
                <w:szCs w:val="16"/>
                <w:lang w:val="en-GB"/>
              </w:rPr>
            </w:pPr>
            <w:r w:rsidRPr="00BD487C">
              <w:rPr>
                <w:sz w:val="16"/>
                <w:szCs w:val="16"/>
                <w:lang w:val="en-GB"/>
              </w:rPr>
              <w:t>X</w:t>
            </w:r>
          </w:p>
        </w:tc>
        <w:tc>
          <w:tcPr>
            <w:tcW w:w="532" w:type="dxa"/>
          </w:tcPr>
          <w:p w14:paraId="33D67192" w14:textId="77777777" w:rsidR="001B2E7F" w:rsidRPr="00BD487C" w:rsidRDefault="001B2E7F" w:rsidP="00F646AB">
            <w:pPr>
              <w:keepNext/>
              <w:spacing w:before="40" w:after="40"/>
              <w:jc w:val="center"/>
              <w:rPr>
                <w:sz w:val="16"/>
                <w:szCs w:val="16"/>
                <w:lang w:val="en-GB"/>
              </w:rPr>
            </w:pPr>
            <w:r w:rsidRPr="00BD487C">
              <w:rPr>
                <w:sz w:val="16"/>
                <w:szCs w:val="16"/>
                <w:lang w:val="en-GB"/>
              </w:rPr>
              <w:t>X</w:t>
            </w:r>
          </w:p>
        </w:tc>
        <w:tc>
          <w:tcPr>
            <w:tcW w:w="531" w:type="dxa"/>
          </w:tcPr>
          <w:p w14:paraId="44CFC568" w14:textId="3D2B9FB7" w:rsidR="001B2E7F" w:rsidRPr="00BD487C" w:rsidRDefault="0031316C" w:rsidP="00F646AB">
            <w:pPr>
              <w:keepNext/>
              <w:spacing w:before="40" w:after="40"/>
              <w:jc w:val="center"/>
              <w:rPr>
                <w:sz w:val="16"/>
                <w:szCs w:val="16"/>
                <w:lang w:val="en-GB"/>
              </w:rPr>
            </w:pPr>
            <w:r w:rsidRPr="00BD487C">
              <w:rPr>
                <w:sz w:val="16"/>
                <w:szCs w:val="16"/>
                <w:lang w:val="en-GB"/>
              </w:rPr>
              <w:t>X</w:t>
            </w:r>
          </w:p>
        </w:tc>
        <w:tc>
          <w:tcPr>
            <w:tcW w:w="532" w:type="dxa"/>
          </w:tcPr>
          <w:p w14:paraId="71D4F8AD" w14:textId="77777777" w:rsidR="001B2E7F" w:rsidRPr="00BD487C" w:rsidRDefault="001B2E7F" w:rsidP="00F646AB">
            <w:pPr>
              <w:keepNext/>
              <w:spacing w:before="40" w:after="40"/>
              <w:jc w:val="center"/>
              <w:rPr>
                <w:sz w:val="16"/>
                <w:szCs w:val="16"/>
                <w:lang w:val="en-GB"/>
              </w:rPr>
            </w:pPr>
            <w:r w:rsidRPr="00BD487C">
              <w:rPr>
                <w:sz w:val="16"/>
                <w:szCs w:val="16"/>
                <w:lang w:val="en-GB"/>
              </w:rPr>
              <w:t>10</w:t>
            </w:r>
          </w:p>
        </w:tc>
        <w:tc>
          <w:tcPr>
            <w:tcW w:w="531" w:type="dxa"/>
          </w:tcPr>
          <w:p w14:paraId="1254F325" w14:textId="4CC4C2DC" w:rsidR="001B2E7F" w:rsidRPr="00BD487C" w:rsidRDefault="001B2E7F" w:rsidP="00F646AB">
            <w:pPr>
              <w:keepNext/>
              <w:spacing w:before="40" w:after="40"/>
              <w:jc w:val="center"/>
              <w:rPr>
                <w:sz w:val="16"/>
                <w:szCs w:val="16"/>
                <w:lang w:val="en-GB"/>
              </w:rPr>
            </w:pPr>
          </w:p>
        </w:tc>
        <w:tc>
          <w:tcPr>
            <w:tcW w:w="532" w:type="dxa"/>
          </w:tcPr>
          <w:p w14:paraId="6000944D" w14:textId="4D9AF563" w:rsidR="001B2E7F" w:rsidRPr="00BD487C" w:rsidRDefault="001B2E7F" w:rsidP="00F646AB">
            <w:pPr>
              <w:keepNext/>
              <w:spacing w:before="40" w:after="40"/>
              <w:jc w:val="center"/>
              <w:rPr>
                <w:sz w:val="16"/>
                <w:szCs w:val="16"/>
                <w:lang w:val="en-GB"/>
              </w:rPr>
            </w:pPr>
          </w:p>
        </w:tc>
        <w:tc>
          <w:tcPr>
            <w:tcW w:w="532" w:type="dxa"/>
          </w:tcPr>
          <w:p w14:paraId="11464137" w14:textId="0393E82C" w:rsidR="001B2E7F" w:rsidRPr="00BD487C" w:rsidRDefault="0031316C" w:rsidP="00F646AB">
            <w:pPr>
              <w:keepNext/>
              <w:spacing w:before="40" w:after="40"/>
              <w:jc w:val="center"/>
              <w:rPr>
                <w:sz w:val="16"/>
                <w:szCs w:val="16"/>
                <w:lang w:val="en-GB"/>
              </w:rPr>
            </w:pPr>
            <w:r w:rsidRPr="00BD487C">
              <w:rPr>
                <w:sz w:val="16"/>
                <w:szCs w:val="16"/>
                <w:lang w:val="en-GB"/>
              </w:rPr>
              <w:t>v, z</w:t>
            </w:r>
          </w:p>
        </w:tc>
      </w:tr>
    </w:tbl>
    <w:p w14:paraId="04814923" w14:textId="38EF1887" w:rsidR="000256BB" w:rsidRDefault="0031316C" w:rsidP="009C5934">
      <w:pPr>
        <w:pStyle w:val="SingleTxtG"/>
        <w:spacing w:before="120"/>
      </w:pPr>
      <w:r>
        <w:t>6.</w:t>
      </w:r>
      <w:r>
        <w:tab/>
      </w:r>
      <w:r w:rsidR="009341DF">
        <w:t>In</w:t>
      </w:r>
      <w:r w:rsidR="000256BB" w:rsidRPr="00FD7FBA">
        <w:t xml:space="preserve"> 4.2.5.2.6</w:t>
      </w:r>
      <w:r w:rsidR="009341DF">
        <w:t>, p</w:t>
      </w:r>
      <w:r w:rsidR="000256BB" w:rsidRPr="00FD7FBA">
        <w:t>ortable tank instruction T50</w:t>
      </w:r>
      <w:r w:rsidR="009341DF">
        <w:t>, add a new entry</w:t>
      </w:r>
      <w:r w:rsidR="000256BB" w:rsidRPr="00FD7FBA">
        <w:t xml:space="preserv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705"/>
        <w:gridCol w:w="3168"/>
        <w:gridCol w:w="2255"/>
        <w:gridCol w:w="980"/>
        <w:gridCol w:w="1408"/>
        <w:gridCol w:w="1113"/>
      </w:tblGrid>
      <w:tr w:rsidR="006D266D" w:rsidRPr="00BD487C" w14:paraId="62B2247D" w14:textId="77777777" w:rsidTr="006D266D">
        <w:tc>
          <w:tcPr>
            <w:tcW w:w="366" w:type="pct"/>
            <w:vAlign w:val="center"/>
          </w:tcPr>
          <w:p w14:paraId="281C8FA1" w14:textId="77777777" w:rsidR="008A2447" w:rsidRPr="00BD487C" w:rsidRDefault="008A2447" w:rsidP="00F646AB">
            <w:pPr>
              <w:keepNext/>
              <w:keepLines/>
              <w:tabs>
                <w:tab w:val="left" w:pos="-22"/>
                <w:tab w:val="left" w:pos="1076"/>
                <w:tab w:val="left" w:pos="1700"/>
                <w:tab w:val="left" w:pos="2244"/>
                <w:tab w:val="left" w:pos="2834"/>
                <w:tab w:val="left" w:pos="3378"/>
                <w:tab w:val="left" w:pos="3945"/>
                <w:tab w:val="left" w:pos="4536"/>
                <w:tab w:val="left" w:pos="5040"/>
                <w:tab w:val="left" w:pos="5544"/>
                <w:tab w:val="left" w:pos="6048"/>
                <w:tab w:val="left" w:pos="6552"/>
                <w:tab w:val="left" w:pos="7056"/>
                <w:tab w:val="left" w:pos="7560"/>
                <w:tab w:val="left" w:pos="8064"/>
                <w:tab w:val="left" w:pos="8568"/>
                <w:tab w:val="left" w:pos="9072"/>
                <w:tab w:val="left" w:pos="9576"/>
              </w:tabs>
              <w:spacing w:before="40" w:after="40" w:line="240" w:lineRule="auto"/>
              <w:jc w:val="center"/>
              <w:rPr>
                <w:b/>
                <w:sz w:val="16"/>
                <w:szCs w:val="16"/>
              </w:rPr>
            </w:pPr>
            <w:r w:rsidRPr="00BD487C">
              <w:rPr>
                <w:b/>
                <w:sz w:val="16"/>
                <w:szCs w:val="16"/>
              </w:rPr>
              <w:t>UN</w:t>
            </w:r>
            <w:r w:rsidRPr="00BD487C">
              <w:rPr>
                <w:b/>
                <w:sz w:val="16"/>
                <w:szCs w:val="16"/>
              </w:rPr>
              <w:br/>
              <w:t>No</w:t>
            </w:r>
          </w:p>
        </w:tc>
        <w:tc>
          <w:tcPr>
            <w:tcW w:w="1645" w:type="pct"/>
            <w:vAlign w:val="center"/>
          </w:tcPr>
          <w:p w14:paraId="6ABEED8D" w14:textId="77777777" w:rsidR="008A2447" w:rsidRPr="00BD487C" w:rsidRDefault="008A2447" w:rsidP="00F646AB">
            <w:pPr>
              <w:keepNext/>
              <w:keepLines/>
              <w:tabs>
                <w:tab w:val="left" w:pos="-22"/>
                <w:tab w:val="left" w:pos="1076"/>
                <w:tab w:val="left" w:pos="1700"/>
                <w:tab w:val="left" w:pos="2244"/>
                <w:tab w:val="left" w:pos="2834"/>
                <w:tab w:val="left" w:pos="3378"/>
                <w:tab w:val="left" w:pos="3945"/>
                <w:tab w:val="left" w:pos="4536"/>
                <w:tab w:val="left" w:pos="5040"/>
                <w:tab w:val="left" w:pos="5544"/>
                <w:tab w:val="left" w:pos="6048"/>
                <w:tab w:val="left" w:pos="6552"/>
                <w:tab w:val="left" w:pos="7056"/>
                <w:tab w:val="left" w:pos="7560"/>
                <w:tab w:val="left" w:pos="8064"/>
                <w:tab w:val="left" w:pos="8568"/>
                <w:tab w:val="left" w:pos="9072"/>
                <w:tab w:val="left" w:pos="9576"/>
              </w:tabs>
              <w:spacing w:before="40" w:after="40" w:line="240" w:lineRule="auto"/>
              <w:jc w:val="center"/>
              <w:rPr>
                <w:b/>
                <w:sz w:val="16"/>
                <w:szCs w:val="16"/>
              </w:rPr>
            </w:pPr>
            <w:r w:rsidRPr="00BD487C">
              <w:rPr>
                <w:b/>
                <w:sz w:val="16"/>
                <w:szCs w:val="16"/>
              </w:rPr>
              <w:t>Non-refrigerated liquefied gases</w:t>
            </w:r>
          </w:p>
        </w:tc>
        <w:tc>
          <w:tcPr>
            <w:tcW w:w="1171" w:type="pct"/>
            <w:vAlign w:val="center"/>
          </w:tcPr>
          <w:p w14:paraId="39AC20CD" w14:textId="77777777" w:rsidR="008A2447" w:rsidRPr="00BD487C" w:rsidRDefault="008A2447" w:rsidP="00F646AB">
            <w:pPr>
              <w:keepNext/>
              <w:keepLines/>
              <w:tabs>
                <w:tab w:val="left" w:pos="-22"/>
                <w:tab w:val="left" w:pos="1076"/>
                <w:tab w:val="left" w:pos="1700"/>
                <w:tab w:val="left" w:pos="2244"/>
                <w:tab w:val="left" w:pos="2834"/>
                <w:tab w:val="left" w:pos="3378"/>
                <w:tab w:val="left" w:pos="3945"/>
                <w:tab w:val="left" w:pos="4536"/>
                <w:tab w:val="left" w:pos="5040"/>
                <w:tab w:val="left" w:pos="5544"/>
                <w:tab w:val="left" w:pos="6048"/>
                <w:tab w:val="left" w:pos="6552"/>
                <w:tab w:val="left" w:pos="7056"/>
                <w:tab w:val="left" w:pos="7560"/>
                <w:tab w:val="left" w:pos="8064"/>
                <w:tab w:val="left" w:pos="8568"/>
                <w:tab w:val="left" w:pos="9072"/>
                <w:tab w:val="left" w:pos="9576"/>
              </w:tabs>
              <w:spacing w:before="40" w:after="40" w:line="240" w:lineRule="auto"/>
              <w:jc w:val="center"/>
              <w:rPr>
                <w:b/>
                <w:sz w:val="16"/>
                <w:szCs w:val="16"/>
                <w:vertAlign w:val="superscript"/>
              </w:rPr>
            </w:pPr>
            <w:r w:rsidRPr="00BD487C">
              <w:rPr>
                <w:b/>
                <w:sz w:val="16"/>
                <w:szCs w:val="16"/>
              </w:rPr>
              <w:t xml:space="preserve">Max. allowable working pressure (bar) </w:t>
            </w:r>
            <w:r w:rsidRPr="00BD487C">
              <w:rPr>
                <w:b/>
                <w:sz w:val="16"/>
                <w:szCs w:val="16"/>
              </w:rPr>
              <w:br/>
              <w:t xml:space="preserve">Small; Bare; Sunshield; Insulated; </w:t>
            </w:r>
            <w:proofErr w:type="spellStart"/>
            <w:r w:rsidRPr="00BD487C">
              <w:rPr>
                <w:b/>
                <w:sz w:val="16"/>
                <w:szCs w:val="16"/>
              </w:rPr>
              <w:t>respectively</w:t>
            </w:r>
            <w:r w:rsidRPr="00BD487C">
              <w:rPr>
                <w:b/>
                <w:sz w:val="16"/>
                <w:szCs w:val="16"/>
                <w:vertAlign w:val="superscript"/>
              </w:rPr>
              <w:t>a</w:t>
            </w:r>
            <w:proofErr w:type="spellEnd"/>
          </w:p>
        </w:tc>
        <w:tc>
          <w:tcPr>
            <w:tcW w:w="509" w:type="pct"/>
            <w:vAlign w:val="center"/>
          </w:tcPr>
          <w:p w14:paraId="1B732580" w14:textId="77777777" w:rsidR="008A2447" w:rsidRPr="00BD487C" w:rsidRDefault="008A2447" w:rsidP="00F646AB">
            <w:pPr>
              <w:keepNext/>
              <w:keepLines/>
              <w:tabs>
                <w:tab w:val="left" w:pos="-22"/>
                <w:tab w:val="left" w:pos="1076"/>
                <w:tab w:val="left" w:pos="1700"/>
                <w:tab w:val="left" w:pos="2244"/>
                <w:tab w:val="left" w:pos="2834"/>
                <w:tab w:val="left" w:pos="3378"/>
                <w:tab w:val="left" w:pos="3945"/>
                <w:tab w:val="left" w:pos="4536"/>
                <w:tab w:val="left" w:pos="5040"/>
                <w:tab w:val="left" w:pos="5544"/>
                <w:tab w:val="left" w:pos="6048"/>
                <w:tab w:val="left" w:pos="6552"/>
                <w:tab w:val="left" w:pos="7056"/>
                <w:tab w:val="left" w:pos="7560"/>
                <w:tab w:val="left" w:pos="8064"/>
                <w:tab w:val="left" w:pos="8568"/>
                <w:tab w:val="left" w:pos="9072"/>
                <w:tab w:val="left" w:pos="9576"/>
              </w:tabs>
              <w:spacing w:before="40" w:after="40" w:line="240" w:lineRule="auto"/>
              <w:jc w:val="center"/>
              <w:rPr>
                <w:b/>
                <w:sz w:val="16"/>
                <w:szCs w:val="16"/>
              </w:rPr>
            </w:pPr>
            <w:r w:rsidRPr="00BD487C">
              <w:rPr>
                <w:b/>
                <w:sz w:val="16"/>
                <w:szCs w:val="16"/>
              </w:rPr>
              <w:t>Openings below liquid level</w:t>
            </w:r>
          </w:p>
        </w:tc>
        <w:tc>
          <w:tcPr>
            <w:tcW w:w="731" w:type="pct"/>
            <w:vAlign w:val="center"/>
          </w:tcPr>
          <w:p w14:paraId="2B726EDA" w14:textId="77777777" w:rsidR="008A2447" w:rsidRPr="00BD487C" w:rsidRDefault="008A2447" w:rsidP="00F646AB">
            <w:pPr>
              <w:keepNext/>
              <w:keepLines/>
              <w:tabs>
                <w:tab w:val="left" w:pos="-22"/>
                <w:tab w:val="left" w:pos="1076"/>
                <w:tab w:val="left" w:pos="1700"/>
                <w:tab w:val="left" w:pos="2244"/>
                <w:tab w:val="left" w:pos="2834"/>
                <w:tab w:val="left" w:pos="3378"/>
                <w:tab w:val="left" w:pos="3945"/>
                <w:tab w:val="left" w:pos="4536"/>
                <w:tab w:val="left" w:pos="5040"/>
                <w:tab w:val="left" w:pos="5544"/>
                <w:tab w:val="left" w:pos="6048"/>
                <w:tab w:val="left" w:pos="6552"/>
                <w:tab w:val="left" w:pos="7056"/>
                <w:tab w:val="left" w:pos="7560"/>
                <w:tab w:val="left" w:pos="8064"/>
                <w:tab w:val="left" w:pos="8568"/>
                <w:tab w:val="left" w:pos="9072"/>
                <w:tab w:val="left" w:pos="9576"/>
              </w:tabs>
              <w:spacing w:before="40" w:after="40" w:line="240" w:lineRule="auto"/>
              <w:jc w:val="center"/>
              <w:rPr>
                <w:b/>
                <w:sz w:val="16"/>
                <w:szCs w:val="16"/>
              </w:rPr>
            </w:pPr>
            <w:r w:rsidRPr="00BD487C">
              <w:rPr>
                <w:b/>
                <w:sz w:val="16"/>
                <w:szCs w:val="16"/>
              </w:rPr>
              <w:t>Pressure-relief</w:t>
            </w:r>
            <w:r w:rsidRPr="00BD487C">
              <w:rPr>
                <w:b/>
                <w:sz w:val="16"/>
                <w:szCs w:val="16"/>
              </w:rPr>
              <w:br/>
            </w:r>
            <w:proofErr w:type="spellStart"/>
            <w:r w:rsidRPr="00BD487C">
              <w:rPr>
                <w:b/>
                <w:sz w:val="16"/>
                <w:szCs w:val="16"/>
              </w:rPr>
              <w:t>requirements</w:t>
            </w:r>
            <w:r w:rsidRPr="00BD487C">
              <w:rPr>
                <w:b/>
                <w:sz w:val="16"/>
                <w:szCs w:val="16"/>
                <w:vertAlign w:val="superscript"/>
              </w:rPr>
              <w:t>b</w:t>
            </w:r>
            <w:proofErr w:type="spellEnd"/>
            <w:r w:rsidRPr="00BD487C">
              <w:rPr>
                <w:b/>
                <w:sz w:val="16"/>
                <w:szCs w:val="16"/>
              </w:rPr>
              <w:t xml:space="preserve"> (see 6.7.3.7)</w:t>
            </w:r>
          </w:p>
        </w:tc>
        <w:tc>
          <w:tcPr>
            <w:tcW w:w="579" w:type="pct"/>
            <w:vAlign w:val="center"/>
          </w:tcPr>
          <w:p w14:paraId="60136262" w14:textId="77777777" w:rsidR="008A2447" w:rsidRPr="00BD487C" w:rsidRDefault="008A2447" w:rsidP="00F646AB">
            <w:pPr>
              <w:keepNext/>
              <w:keepLines/>
              <w:tabs>
                <w:tab w:val="left" w:pos="-22"/>
                <w:tab w:val="left" w:pos="1076"/>
                <w:tab w:val="left" w:pos="1700"/>
                <w:tab w:val="left" w:pos="2244"/>
                <w:tab w:val="left" w:pos="2834"/>
                <w:tab w:val="left" w:pos="3378"/>
                <w:tab w:val="left" w:pos="3945"/>
                <w:tab w:val="left" w:pos="4536"/>
                <w:tab w:val="left" w:pos="5040"/>
                <w:tab w:val="left" w:pos="5544"/>
                <w:tab w:val="left" w:pos="6048"/>
                <w:tab w:val="left" w:pos="6552"/>
                <w:tab w:val="left" w:pos="7056"/>
                <w:tab w:val="left" w:pos="7560"/>
                <w:tab w:val="left" w:pos="8064"/>
                <w:tab w:val="left" w:pos="8568"/>
                <w:tab w:val="left" w:pos="9072"/>
                <w:tab w:val="left" w:pos="9576"/>
              </w:tabs>
              <w:spacing w:before="40" w:after="40" w:line="240" w:lineRule="auto"/>
              <w:jc w:val="center"/>
              <w:rPr>
                <w:b/>
                <w:sz w:val="16"/>
                <w:szCs w:val="16"/>
              </w:rPr>
            </w:pPr>
            <w:r w:rsidRPr="00BD487C">
              <w:rPr>
                <w:b/>
                <w:sz w:val="16"/>
                <w:szCs w:val="16"/>
              </w:rPr>
              <w:t>Maximum filling ratio</w:t>
            </w:r>
          </w:p>
        </w:tc>
      </w:tr>
      <w:tr w:rsidR="006D266D" w:rsidRPr="00BD487C" w14:paraId="57D86999" w14:textId="77777777" w:rsidTr="006D266D">
        <w:tc>
          <w:tcPr>
            <w:tcW w:w="366" w:type="pct"/>
          </w:tcPr>
          <w:p w14:paraId="672EB5E9" w14:textId="64EDB398" w:rsidR="008A2447" w:rsidRPr="00BD487C" w:rsidRDefault="008A2447" w:rsidP="00F646AB">
            <w:pPr>
              <w:tabs>
                <w:tab w:val="left" w:pos="-22"/>
                <w:tab w:val="left" w:pos="1076"/>
                <w:tab w:val="left" w:pos="1700"/>
                <w:tab w:val="left" w:pos="2244"/>
                <w:tab w:val="left" w:pos="2834"/>
                <w:tab w:val="left" w:pos="3378"/>
                <w:tab w:val="left" w:pos="3945"/>
                <w:tab w:val="left" w:pos="4536"/>
                <w:tab w:val="left" w:pos="5040"/>
                <w:tab w:val="left" w:pos="5544"/>
                <w:tab w:val="left" w:pos="6048"/>
                <w:tab w:val="left" w:pos="6552"/>
                <w:tab w:val="left" w:pos="7056"/>
                <w:tab w:val="left" w:pos="7560"/>
                <w:tab w:val="left" w:pos="8064"/>
                <w:tab w:val="left" w:pos="8568"/>
                <w:tab w:val="left" w:pos="9072"/>
                <w:tab w:val="left" w:pos="9576"/>
              </w:tabs>
              <w:spacing w:before="40" w:after="40"/>
              <w:jc w:val="center"/>
              <w:rPr>
                <w:sz w:val="16"/>
                <w:szCs w:val="16"/>
              </w:rPr>
            </w:pPr>
            <w:r w:rsidRPr="00BD487C">
              <w:rPr>
                <w:sz w:val="16"/>
                <w:szCs w:val="16"/>
              </w:rPr>
              <w:t>XXX</w:t>
            </w:r>
            <w:r w:rsidR="006D266D">
              <w:rPr>
                <w:sz w:val="16"/>
                <w:szCs w:val="16"/>
              </w:rPr>
              <w:t>X</w:t>
            </w:r>
          </w:p>
        </w:tc>
        <w:tc>
          <w:tcPr>
            <w:tcW w:w="1645" w:type="pct"/>
          </w:tcPr>
          <w:p w14:paraId="06059812" w14:textId="0A4EA4AC" w:rsidR="008A2447" w:rsidRPr="00BD487C" w:rsidRDefault="0088401D" w:rsidP="00F646AB">
            <w:pPr>
              <w:pStyle w:val="Style1"/>
              <w:tabs>
                <w:tab w:val="left" w:pos="-22"/>
                <w:tab w:val="left" w:pos="1076"/>
                <w:tab w:val="left" w:pos="1700"/>
                <w:tab w:val="left" w:pos="2244"/>
                <w:tab w:val="left" w:pos="2834"/>
                <w:tab w:val="left" w:pos="3378"/>
                <w:tab w:val="left" w:pos="3945"/>
                <w:tab w:val="left" w:pos="4536"/>
                <w:tab w:val="left" w:pos="5040"/>
                <w:tab w:val="left" w:pos="5544"/>
                <w:tab w:val="left" w:pos="6048"/>
                <w:tab w:val="left" w:pos="6552"/>
                <w:tab w:val="left" w:pos="7056"/>
                <w:tab w:val="left" w:pos="7560"/>
                <w:tab w:val="left" w:pos="8064"/>
                <w:tab w:val="left" w:pos="8568"/>
                <w:tab w:val="left" w:pos="9072"/>
                <w:tab w:val="left" w:pos="9576"/>
              </w:tabs>
              <w:spacing w:before="40" w:after="40"/>
              <w:jc w:val="left"/>
              <w:rPr>
                <w:sz w:val="16"/>
                <w:szCs w:val="16"/>
                <w:lang w:val="en-GB"/>
              </w:rPr>
            </w:pPr>
            <w:r w:rsidRPr="0088401D">
              <w:rPr>
                <w:sz w:val="16"/>
                <w:szCs w:val="16"/>
                <w:lang w:val="en-GB"/>
              </w:rPr>
              <w:t xml:space="preserve">Dimethyl ether and hydrocarbon gas mixtures, liquefied, </w:t>
            </w:r>
            <w:proofErr w:type="spellStart"/>
            <w:r w:rsidRPr="0088401D">
              <w:rPr>
                <w:sz w:val="16"/>
                <w:szCs w:val="16"/>
                <w:lang w:val="en-GB"/>
              </w:rPr>
              <w:t>n.o.s</w:t>
            </w:r>
            <w:proofErr w:type="spellEnd"/>
            <w:r w:rsidRPr="0088401D">
              <w:rPr>
                <w:sz w:val="16"/>
                <w:szCs w:val="16"/>
                <w:lang w:val="en-GB"/>
              </w:rPr>
              <w:t>.</w:t>
            </w:r>
          </w:p>
        </w:tc>
        <w:tc>
          <w:tcPr>
            <w:tcW w:w="1171" w:type="pct"/>
          </w:tcPr>
          <w:p w14:paraId="1FA797A6" w14:textId="44FABA06" w:rsidR="008A2447" w:rsidRPr="00BD487C" w:rsidRDefault="00D8732D" w:rsidP="00F646AB">
            <w:pPr>
              <w:tabs>
                <w:tab w:val="left" w:pos="-22"/>
                <w:tab w:val="left" w:pos="1076"/>
                <w:tab w:val="left" w:pos="1700"/>
                <w:tab w:val="left" w:pos="2244"/>
                <w:tab w:val="left" w:pos="2834"/>
                <w:tab w:val="left" w:pos="3378"/>
                <w:tab w:val="left" w:pos="3945"/>
                <w:tab w:val="left" w:pos="4536"/>
                <w:tab w:val="left" w:pos="5040"/>
                <w:tab w:val="left" w:pos="5544"/>
                <w:tab w:val="left" w:pos="6048"/>
                <w:tab w:val="left" w:pos="6552"/>
                <w:tab w:val="left" w:pos="7056"/>
                <w:tab w:val="left" w:pos="7560"/>
                <w:tab w:val="left" w:pos="8064"/>
                <w:tab w:val="left" w:pos="8568"/>
                <w:tab w:val="left" w:pos="9072"/>
                <w:tab w:val="left" w:pos="9576"/>
              </w:tabs>
              <w:spacing w:before="40" w:after="40"/>
              <w:jc w:val="center"/>
              <w:rPr>
                <w:sz w:val="16"/>
                <w:szCs w:val="16"/>
              </w:rPr>
            </w:pPr>
            <w:r w:rsidRPr="00D8732D">
              <w:rPr>
                <w:sz w:val="16"/>
                <w:szCs w:val="16"/>
              </w:rPr>
              <w:t>See MAWP definition in 6.7.3.1</w:t>
            </w:r>
          </w:p>
        </w:tc>
        <w:tc>
          <w:tcPr>
            <w:tcW w:w="509" w:type="pct"/>
          </w:tcPr>
          <w:p w14:paraId="7B717C1D" w14:textId="77777777" w:rsidR="008A2447" w:rsidRPr="00BD487C" w:rsidRDefault="008A2447" w:rsidP="00F646AB">
            <w:pPr>
              <w:tabs>
                <w:tab w:val="left" w:pos="-22"/>
                <w:tab w:val="left" w:pos="1076"/>
                <w:tab w:val="left" w:pos="1700"/>
                <w:tab w:val="left" w:pos="2244"/>
                <w:tab w:val="left" w:pos="2834"/>
                <w:tab w:val="left" w:pos="3378"/>
                <w:tab w:val="left" w:pos="3945"/>
                <w:tab w:val="left" w:pos="4536"/>
                <w:tab w:val="left" w:pos="5040"/>
                <w:tab w:val="left" w:pos="5544"/>
                <w:tab w:val="left" w:pos="6048"/>
                <w:tab w:val="left" w:pos="6552"/>
                <w:tab w:val="left" w:pos="7056"/>
                <w:tab w:val="left" w:pos="7560"/>
                <w:tab w:val="left" w:pos="8064"/>
                <w:tab w:val="left" w:pos="8568"/>
                <w:tab w:val="left" w:pos="9072"/>
                <w:tab w:val="left" w:pos="9576"/>
              </w:tabs>
              <w:spacing w:before="40" w:after="40"/>
              <w:jc w:val="center"/>
              <w:rPr>
                <w:sz w:val="16"/>
                <w:szCs w:val="16"/>
              </w:rPr>
            </w:pPr>
            <w:r w:rsidRPr="00BD487C">
              <w:rPr>
                <w:sz w:val="16"/>
                <w:szCs w:val="16"/>
              </w:rPr>
              <w:t>Allowed</w:t>
            </w:r>
          </w:p>
        </w:tc>
        <w:tc>
          <w:tcPr>
            <w:tcW w:w="731" w:type="pct"/>
          </w:tcPr>
          <w:p w14:paraId="4BB3694F" w14:textId="4DFB2E13" w:rsidR="008A2447" w:rsidRPr="00BD487C" w:rsidRDefault="00D8732D" w:rsidP="00F646AB">
            <w:pPr>
              <w:tabs>
                <w:tab w:val="left" w:pos="-22"/>
                <w:tab w:val="left" w:pos="1076"/>
                <w:tab w:val="left" w:pos="1700"/>
                <w:tab w:val="left" w:pos="2244"/>
                <w:tab w:val="left" w:pos="2834"/>
                <w:tab w:val="left" w:pos="3378"/>
                <w:tab w:val="left" w:pos="3945"/>
                <w:tab w:val="left" w:pos="4536"/>
                <w:tab w:val="left" w:pos="5040"/>
                <w:tab w:val="left" w:pos="5544"/>
                <w:tab w:val="left" w:pos="6048"/>
                <w:tab w:val="left" w:pos="6552"/>
                <w:tab w:val="left" w:pos="7056"/>
                <w:tab w:val="left" w:pos="7560"/>
                <w:tab w:val="left" w:pos="8064"/>
                <w:tab w:val="left" w:pos="8568"/>
                <w:tab w:val="left" w:pos="9072"/>
                <w:tab w:val="left" w:pos="9576"/>
              </w:tabs>
              <w:spacing w:before="40" w:after="40"/>
              <w:jc w:val="center"/>
              <w:rPr>
                <w:sz w:val="16"/>
                <w:szCs w:val="16"/>
              </w:rPr>
            </w:pPr>
            <w:r w:rsidRPr="00D8732D">
              <w:rPr>
                <w:sz w:val="16"/>
                <w:szCs w:val="16"/>
              </w:rPr>
              <w:t>Normal</w:t>
            </w:r>
          </w:p>
        </w:tc>
        <w:tc>
          <w:tcPr>
            <w:tcW w:w="579" w:type="pct"/>
          </w:tcPr>
          <w:p w14:paraId="3CDBD072" w14:textId="49F7C1B8" w:rsidR="008A2447" w:rsidRPr="00BD487C" w:rsidRDefault="00D8732D" w:rsidP="00F646AB">
            <w:pPr>
              <w:tabs>
                <w:tab w:val="left" w:pos="-22"/>
                <w:tab w:val="left" w:pos="1076"/>
                <w:tab w:val="left" w:pos="1700"/>
                <w:tab w:val="left" w:pos="2244"/>
                <w:tab w:val="left" w:pos="2834"/>
                <w:tab w:val="left" w:pos="3378"/>
                <w:tab w:val="left" w:pos="3945"/>
                <w:tab w:val="left" w:pos="4536"/>
                <w:tab w:val="left" w:pos="5040"/>
                <w:tab w:val="left" w:pos="5544"/>
                <w:tab w:val="left" w:pos="6048"/>
                <w:tab w:val="left" w:pos="6552"/>
                <w:tab w:val="left" w:pos="7056"/>
                <w:tab w:val="left" w:pos="7560"/>
                <w:tab w:val="left" w:pos="8064"/>
                <w:tab w:val="left" w:pos="8568"/>
                <w:tab w:val="left" w:pos="9072"/>
                <w:tab w:val="left" w:pos="9576"/>
              </w:tabs>
              <w:spacing w:before="40" w:after="40"/>
              <w:jc w:val="center"/>
              <w:rPr>
                <w:sz w:val="16"/>
                <w:szCs w:val="16"/>
              </w:rPr>
            </w:pPr>
            <w:r w:rsidRPr="00D8732D">
              <w:rPr>
                <w:sz w:val="16"/>
                <w:szCs w:val="16"/>
              </w:rPr>
              <w:t>See 4.2.2.7</w:t>
            </w:r>
          </w:p>
        </w:tc>
      </w:tr>
    </w:tbl>
    <w:p w14:paraId="6B95E72F" w14:textId="1124CD9D" w:rsidR="000256BB" w:rsidRPr="00FD7FBA" w:rsidRDefault="00195A3D" w:rsidP="00195A3D">
      <w:pPr>
        <w:pStyle w:val="HChG"/>
      </w:pPr>
      <w:r>
        <w:tab/>
        <w:t>III.</w:t>
      </w:r>
      <w:r>
        <w:tab/>
      </w:r>
      <w:r w:rsidR="000256BB" w:rsidRPr="00FD7FBA">
        <w:t>Safety implications</w:t>
      </w:r>
    </w:p>
    <w:p w14:paraId="688C701F" w14:textId="459739E1" w:rsidR="000256BB" w:rsidRPr="00FD7FBA" w:rsidRDefault="00195A3D" w:rsidP="00195A3D">
      <w:pPr>
        <w:pStyle w:val="SingleTxtG"/>
      </w:pPr>
      <w:r>
        <w:t>7.</w:t>
      </w:r>
      <w:r>
        <w:tab/>
      </w:r>
      <w:r w:rsidR="000256BB" w:rsidRPr="00FD7FBA">
        <w:t>No negative safety implications are foreseen from the proposal. Having a dedicated UN number for this product, will enable easy identification by the emergency services without the need of checking the transport documentation and this can only have a positive impact.</w:t>
      </w:r>
    </w:p>
    <w:p w14:paraId="2FD34219" w14:textId="7B1C51C9" w:rsidR="00AF5DE1" w:rsidRPr="0004491C" w:rsidRDefault="0004491C" w:rsidP="0004491C">
      <w:pPr>
        <w:spacing w:before="240"/>
        <w:jc w:val="center"/>
        <w:rPr>
          <w:u w:val="single"/>
        </w:rPr>
      </w:pPr>
      <w:r>
        <w:rPr>
          <w:u w:val="single"/>
        </w:rPr>
        <w:tab/>
      </w:r>
      <w:r>
        <w:rPr>
          <w:u w:val="single"/>
        </w:rPr>
        <w:tab/>
      </w:r>
      <w:r>
        <w:rPr>
          <w:u w:val="single"/>
        </w:rPr>
        <w:tab/>
      </w:r>
    </w:p>
    <w:sectPr w:rsidR="00AF5DE1" w:rsidRPr="0004491C" w:rsidSect="000256BB">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92E8F" w14:textId="77777777" w:rsidR="00476E23" w:rsidRPr="00C47B2E" w:rsidRDefault="00476E23" w:rsidP="00C47B2E">
      <w:pPr>
        <w:pStyle w:val="Footer"/>
      </w:pPr>
    </w:p>
  </w:endnote>
  <w:endnote w:type="continuationSeparator" w:id="0">
    <w:p w14:paraId="6F1E14CD" w14:textId="77777777" w:rsidR="00476E23" w:rsidRPr="00C47B2E" w:rsidRDefault="00476E23" w:rsidP="00C47B2E">
      <w:pPr>
        <w:pStyle w:val="Footer"/>
      </w:pPr>
    </w:p>
  </w:endnote>
  <w:endnote w:type="continuationNotice" w:id="1">
    <w:p w14:paraId="54AC422F" w14:textId="77777777" w:rsidR="00476E23" w:rsidRPr="00C47B2E" w:rsidRDefault="00476E2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28A1" w14:textId="7DEB03FF" w:rsidR="00D94B05" w:rsidRPr="000256BB" w:rsidRDefault="000256BB" w:rsidP="000256BB">
    <w:pPr>
      <w:pStyle w:val="Footer"/>
      <w:tabs>
        <w:tab w:val="right" w:pos="9598"/>
        <w:tab w:val="right" w:pos="9638"/>
      </w:tabs>
      <w:rPr>
        <w:sz w:val="18"/>
      </w:rPr>
    </w:pPr>
    <w:r w:rsidRPr="000256BB">
      <w:rPr>
        <w:b/>
        <w:sz w:val="18"/>
      </w:rPr>
      <w:fldChar w:fldCharType="begin"/>
    </w:r>
    <w:r w:rsidRPr="000256BB">
      <w:rPr>
        <w:b/>
        <w:sz w:val="18"/>
      </w:rPr>
      <w:instrText xml:space="preserve"> PAGE  \* MERGEFORMAT </w:instrText>
    </w:r>
    <w:r w:rsidRPr="000256BB">
      <w:rPr>
        <w:b/>
        <w:sz w:val="18"/>
      </w:rPr>
      <w:fldChar w:fldCharType="separate"/>
    </w:r>
    <w:r w:rsidRPr="000256BB">
      <w:rPr>
        <w:b/>
        <w:noProof/>
        <w:sz w:val="18"/>
      </w:rPr>
      <w:t>2</w:t>
    </w:r>
    <w:r w:rsidRPr="000256B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8251" w14:textId="6CE5351A" w:rsidR="00D94B05" w:rsidRPr="000256BB" w:rsidRDefault="000256BB" w:rsidP="000256BB">
    <w:pPr>
      <w:pStyle w:val="Footer"/>
      <w:tabs>
        <w:tab w:val="left" w:pos="5775"/>
        <w:tab w:val="right" w:pos="9598"/>
        <w:tab w:val="right" w:pos="9638"/>
      </w:tabs>
      <w:rPr>
        <w:sz w:val="18"/>
      </w:rPr>
    </w:pPr>
    <w:r>
      <w:rPr>
        <w:b/>
        <w:sz w:val="18"/>
      </w:rPr>
      <w:tab/>
    </w:r>
    <w:r w:rsidRPr="000256BB">
      <w:rPr>
        <w:sz w:val="18"/>
      </w:rPr>
      <w:fldChar w:fldCharType="begin"/>
    </w:r>
    <w:r w:rsidRPr="000256BB">
      <w:rPr>
        <w:sz w:val="18"/>
      </w:rPr>
      <w:instrText xml:space="preserve"> PAGE  \* MERGEFORMAT </w:instrText>
    </w:r>
    <w:r w:rsidRPr="000256BB">
      <w:rPr>
        <w:sz w:val="18"/>
      </w:rPr>
      <w:fldChar w:fldCharType="separate"/>
    </w:r>
    <w:r w:rsidRPr="000256BB">
      <w:rPr>
        <w:noProof/>
        <w:sz w:val="18"/>
      </w:rPr>
      <w:t>3</w:t>
    </w:r>
    <w:r w:rsidRPr="000256BB">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4F8A" w14:textId="1310BD7D" w:rsidR="00D94B05" w:rsidRDefault="00D408A0" w:rsidP="00D408A0">
    <w:pPr>
      <w:pStyle w:val="Footer"/>
      <w:rPr>
        <w:rFonts w:asciiTheme="majorBidi" w:hAnsiTheme="majorBidi" w:cstheme="majorBidi"/>
        <w:sz w:val="20"/>
      </w:rPr>
    </w:pPr>
    <w:r w:rsidRPr="00D408A0">
      <w:rPr>
        <w:rFonts w:asciiTheme="majorBidi" w:hAnsiTheme="majorBidi" w:cstheme="majorBidi"/>
        <w:noProof/>
        <w:sz w:val="20"/>
        <w:lang w:val="en-US"/>
      </w:rPr>
      <w:drawing>
        <wp:anchor distT="0" distB="0" distL="114300" distR="114300" simplePos="0" relativeHeight="251661312" behindDoc="0" locked="1" layoutInCell="1" allowOverlap="1" wp14:anchorId="471BC8F6" wp14:editId="0FF9576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0DA69DC" w14:textId="09CCA715" w:rsidR="00D408A0" w:rsidRPr="00D408A0" w:rsidRDefault="00D408A0" w:rsidP="00D408A0">
    <w:pPr>
      <w:pStyle w:val="Footer"/>
      <w:kinsoku/>
      <w:overflowPunct/>
      <w:autoSpaceDE/>
      <w:autoSpaceDN/>
      <w:adjustRightInd/>
      <w:ind w:right="1134"/>
      <w:rPr>
        <w:rFonts w:asciiTheme="majorBidi" w:hAnsiTheme="majorBidi" w:cstheme="majorBidi"/>
        <w:sz w:val="20"/>
      </w:rPr>
    </w:pPr>
    <w:r>
      <w:rPr>
        <w:rFonts w:asciiTheme="majorBidi" w:hAnsiTheme="majorBidi" w:cstheme="majorBidi"/>
        <w:sz w:val="20"/>
      </w:rPr>
      <w:t>GE.23-07605(E)</w:t>
    </w:r>
    <w:r>
      <w:rPr>
        <w:rFonts w:asciiTheme="majorBidi" w:hAnsiTheme="majorBidi" w:cstheme="majorBidi"/>
        <w:noProof/>
        <w:sz w:val="20"/>
      </w:rPr>
      <w:drawing>
        <wp:anchor distT="0" distB="0" distL="114300" distR="114300" simplePos="0" relativeHeight="251662336" behindDoc="0" locked="0" layoutInCell="1" allowOverlap="1" wp14:anchorId="4950046E" wp14:editId="0783AE90">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1A420" w14:textId="77777777" w:rsidR="00476E23" w:rsidRPr="00C47B2E" w:rsidRDefault="00476E23" w:rsidP="00C47B2E">
      <w:pPr>
        <w:tabs>
          <w:tab w:val="right" w:pos="2155"/>
        </w:tabs>
        <w:spacing w:after="80" w:line="240" w:lineRule="auto"/>
        <w:ind w:left="680"/>
      </w:pPr>
      <w:r>
        <w:rPr>
          <w:u w:val="single"/>
        </w:rPr>
        <w:tab/>
      </w:r>
    </w:p>
  </w:footnote>
  <w:footnote w:type="continuationSeparator" w:id="0">
    <w:p w14:paraId="7604F678" w14:textId="77777777" w:rsidR="00476E23" w:rsidRPr="00C47B2E" w:rsidRDefault="00476E23" w:rsidP="005E716E">
      <w:pPr>
        <w:tabs>
          <w:tab w:val="right" w:pos="2155"/>
        </w:tabs>
        <w:spacing w:after="80" w:line="240" w:lineRule="auto"/>
        <w:ind w:left="680"/>
      </w:pPr>
      <w:r>
        <w:rPr>
          <w:u w:val="single"/>
        </w:rPr>
        <w:tab/>
      </w:r>
    </w:p>
  </w:footnote>
  <w:footnote w:type="continuationNotice" w:id="1">
    <w:p w14:paraId="6C4B979D" w14:textId="77777777" w:rsidR="00476E23" w:rsidRPr="00C47B2E" w:rsidRDefault="00476E23" w:rsidP="00C47B2E">
      <w:pPr>
        <w:pStyle w:val="Footer"/>
      </w:pPr>
    </w:p>
  </w:footnote>
  <w:footnote w:id="2">
    <w:p w14:paraId="70780299" w14:textId="1D483674" w:rsidR="00894B66" w:rsidRDefault="00894B66">
      <w:pPr>
        <w:pStyle w:val="FootnoteText"/>
      </w:pPr>
      <w:r>
        <w:rPr>
          <w:rStyle w:val="FootnoteReference"/>
        </w:rPr>
        <w:tab/>
      </w:r>
      <w:r w:rsidRPr="00894B66">
        <w:rPr>
          <w:rStyle w:val="FootnoteReference"/>
          <w:sz w:val="20"/>
          <w:vertAlign w:val="baseline"/>
        </w:rPr>
        <w:t>*</w:t>
      </w:r>
      <w:r>
        <w:rPr>
          <w:rStyle w:val="FootnoteReference"/>
          <w:sz w:val="20"/>
          <w:vertAlign w:val="baseline"/>
        </w:rPr>
        <w:tab/>
      </w:r>
      <w:r w:rsidRPr="00537719">
        <w:t>A/77/6 (Sect. 20), table 20.6</w:t>
      </w:r>
    </w:p>
    <w:p w14:paraId="51866813" w14:textId="166BE4D9" w:rsidR="00984ECF" w:rsidRPr="00894B66" w:rsidRDefault="00984ECF">
      <w:pPr>
        <w:pStyle w:val="FootnoteText"/>
        <w:rPr>
          <w:lang w:val="en-US"/>
        </w:rPr>
      </w:pPr>
      <w:r>
        <w:rPr>
          <w:lang w:val="en-US"/>
        </w:rPr>
        <w:tab/>
      </w:r>
      <w:r w:rsidRPr="00984ECF">
        <w:rPr>
          <w:lang w:val="en-US"/>
        </w:rPr>
        <w:t>**</w:t>
      </w:r>
      <w:r w:rsidRPr="00984ECF">
        <w:rPr>
          <w:lang w:val="en-US"/>
        </w:rPr>
        <w:tab/>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9CAC" w14:textId="1FF0C756" w:rsidR="000256BB" w:rsidRPr="000256BB" w:rsidRDefault="00D408A0">
    <w:pPr>
      <w:pStyle w:val="Header"/>
    </w:pPr>
    <w:r>
      <w:fldChar w:fldCharType="begin"/>
    </w:r>
    <w:r>
      <w:instrText xml:space="preserve"> TITLE  \* MERGEFORMAT </w:instrText>
    </w:r>
    <w:r>
      <w:fldChar w:fldCharType="separate"/>
    </w:r>
    <w:r w:rsidR="000256BB">
      <w:t>ST/SG/AC.10/C.3/2023/30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B86E" w14:textId="4CBC1B7E" w:rsidR="00D94B05" w:rsidRPr="000256BB" w:rsidRDefault="00D408A0" w:rsidP="000256BB">
    <w:pPr>
      <w:pStyle w:val="Header"/>
      <w:jc w:val="right"/>
    </w:pPr>
    <w:r>
      <w:fldChar w:fldCharType="begin"/>
    </w:r>
    <w:r>
      <w:instrText xml:space="preserve"> TITLE  \* MERGEFORMAT </w:instrText>
    </w:r>
    <w:r>
      <w:fldChar w:fldCharType="separate"/>
    </w:r>
    <w:r w:rsidR="000256BB">
      <w:t>ST/SG/AC.10/C.3/2023/30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2036B8"/>
    <w:multiLevelType w:val="hybridMultilevel"/>
    <w:tmpl w:val="D082BA3E"/>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C512E9"/>
    <w:multiLevelType w:val="hybridMultilevel"/>
    <w:tmpl w:val="D082BA3E"/>
    <w:lvl w:ilvl="0" w:tplc="719C0CF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8419095">
    <w:abstractNumId w:val="5"/>
  </w:num>
  <w:num w:numId="2" w16cid:durableId="1952739601">
    <w:abstractNumId w:val="4"/>
  </w:num>
  <w:num w:numId="3" w16cid:durableId="201093293">
    <w:abstractNumId w:val="0"/>
  </w:num>
  <w:num w:numId="4" w16cid:durableId="1166281006">
    <w:abstractNumId w:val="7"/>
  </w:num>
  <w:num w:numId="5" w16cid:durableId="300773175">
    <w:abstractNumId w:val="8"/>
  </w:num>
  <w:num w:numId="6" w16cid:durableId="1942251352">
    <w:abstractNumId w:val="11"/>
  </w:num>
  <w:num w:numId="7" w16cid:durableId="999387219">
    <w:abstractNumId w:val="3"/>
  </w:num>
  <w:num w:numId="8" w16cid:durableId="622539926">
    <w:abstractNumId w:val="1"/>
  </w:num>
  <w:num w:numId="9" w16cid:durableId="2082748621">
    <w:abstractNumId w:val="9"/>
  </w:num>
  <w:num w:numId="10" w16cid:durableId="117185314">
    <w:abstractNumId w:val="1"/>
  </w:num>
  <w:num w:numId="11" w16cid:durableId="1844857508">
    <w:abstractNumId w:val="9"/>
  </w:num>
  <w:num w:numId="12" w16cid:durableId="1382048300">
    <w:abstractNumId w:val="2"/>
  </w:num>
  <w:num w:numId="13" w16cid:durableId="1040129484">
    <w:abstractNumId w:val="2"/>
  </w:num>
  <w:num w:numId="14" w16cid:durableId="2120761205">
    <w:abstractNumId w:val="10"/>
  </w:num>
  <w:num w:numId="15" w16cid:durableId="4667757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6BB"/>
    <w:rsid w:val="000256BB"/>
    <w:rsid w:val="0004491C"/>
    <w:rsid w:val="00046E92"/>
    <w:rsid w:val="00063C90"/>
    <w:rsid w:val="000D5A12"/>
    <w:rsid w:val="000E5D28"/>
    <w:rsid w:val="00101B98"/>
    <w:rsid w:val="001514D1"/>
    <w:rsid w:val="0016212A"/>
    <w:rsid w:val="00195A3D"/>
    <w:rsid w:val="001B2E7F"/>
    <w:rsid w:val="001D4E66"/>
    <w:rsid w:val="002419C8"/>
    <w:rsid w:val="00247E2C"/>
    <w:rsid w:val="002A32CB"/>
    <w:rsid w:val="002D5B2C"/>
    <w:rsid w:val="002D6C53"/>
    <w:rsid w:val="002F5595"/>
    <w:rsid w:val="0031316C"/>
    <w:rsid w:val="00334F6A"/>
    <w:rsid w:val="00342AC8"/>
    <w:rsid w:val="00343302"/>
    <w:rsid w:val="00362AED"/>
    <w:rsid w:val="003979DE"/>
    <w:rsid w:val="003B4550"/>
    <w:rsid w:val="003D2A18"/>
    <w:rsid w:val="004119FC"/>
    <w:rsid w:val="00413386"/>
    <w:rsid w:val="00447426"/>
    <w:rsid w:val="004474BD"/>
    <w:rsid w:val="00461253"/>
    <w:rsid w:val="00476E23"/>
    <w:rsid w:val="004858F5"/>
    <w:rsid w:val="00491307"/>
    <w:rsid w:val="004A2814"/>
    <w:rsid w:val="004C0622"/>
    <w:rsid w:val="004F5855"/>
    <w:rsid w:val="005042C2"/>
    <w:rsid w:val="005459BE"/>
    <w:rsid w:val="00556343"/>
    <w:rsid w:val="00584439"/>
    <w:rsid w:val="00594737"/>
    <w:rsid w:val="005C45B9"/>
    <w:rsid w:val="005E716E"/>
    <w:rsid w:val="0063749B"/>
    <w:rsid w:val="006476E1"/>
    <w:rsid w:val="006604DF"/>
    <w:rsid w:val="00671529"/>
    <w:rsid w:val="00673A90"/>
    <w:rsid w:val="0067471D"/>
    <w:rsid w:val="006D266D"/>
    <w:rsid w:val="0070489D"/>
    <w:rsid w:val="007268F9"/>
    <w:rsid w:val="00750282"/>
    <w:rsid w:val="00764440"/>
    <w:rsid w:val="0077101B"/>
    <w:rsid w:val="007A6A56"/>
    <w:rsid w:val="007C52B0"/>
    <w:rsid w:val="007C6033"/>
    <w:rsid w:val="008147C8"/>
    <w:rsid w:val="0081753A"/>
    <w:rsid w:val="008362E2"/>
    <w:rsid w:val="00857D23"/>
    <w:rsid w:val="0086783A"/>
    <w:rsid w:val="0088401D"/>
    <w:rsid w:val="00894B66"/>
    <w:rsid w:val="008A2447"/>
    <w:rsid w:val="008B2CBA"/>
    <w:rsid w:val="00933253"/>
    <w:rsid w:val="009341DF"/>
    <w:rsid w:val="0093704E"/>
    <w:rsid w:val="009411B4"/>
    <w:rsid w:val="00946F1D"/>
    <w:rsid w:val="0095087A"/>
    <w:rsid w:val="00954073"/>
    <w:rsid w:val="00960017"/>
    <w:rsid w:val="00984ECF"/>
    <w:rsid w:val="009B1829"/>
    <w:rsid w:val="009C5934"/>
    <w:rsid w:val="009C66B3"/>
    <w:rsid w:val="009C6A38"/>
    <w:rsid w:val="009D0139"/>
    <w:rsid w:val="009D717D"/>
    <w:rsid w:val="009F5CDC"/>
    <w:rsid w:val="009F7960"/>
    <w:rsid w:val="00A072D7"/>
    <w:rsid w:val="00A34551"/>
    <w:rsid w:val="00A775CF"/>
    <w:rsid w:val="00A86A35"/>
    <w:rsid w:val="00A9664E"/>
    <w:rsid w:val="00AD1A9C"/>
    <w:rsid w:val="00AF5DE1"/>
    <w:rsid w:val="00B06045"/>
    <w:rsid w:val="00B206DD"/>
    <w:rsid w:val="00B45C1C"/>
    <w:rsid w:val="00B52EF4"/>
    <w:rsid w:val="00B744FD"/>
    <w:rsid w:val="00B777AD"/>
    <w:rsid w:val="00BA5D5F"/>
    <w:rsid w:val="00BD487C"/>
    <w:rsid w:val="00BE1970"/>
    <w:rsid w:val="00BF0181"/>
    <w:rsid w:val="00C03015"/>
    <w:rsid w:val="00C0358D"/>
    <w:rsid w:val="00C03C8B"/>
    <w:rsid w:val="00C35A27"/>
    <w:rsid w:val="00C47B2E"/>
    <w:rsid w:val="00CA75CF"/>
    <w:rsid w:val="00CD11CD"/>
    <w:rsid w:val="00CF3E1D"/>
    <w:rsid w:val="00CF4872"/>
    <w:rsid w:val="00D22D3E"/>
    <w:rsid w:val="00D408A0"/>
    <w:rsid w:val="00D63CD2"/>
    <w:rsid w:val="00D77A98"/>
    <w:rsid w:val="00D8732D"/>
    <w:rsid w:val="00D87DC2"/>
    <w:rsid w:val="00D94B05"/>
    <w:rsid w:val="00DC76A3"/>
    <w:rsid w:val="00E02C2B"/>
    <w:rsid w:val="00E21C27"/>
    <w:rsid w:val="00E26BCF"/>
    <w:rsid w:val="00E52109"/>
    <w:rsid w:val="00E75317"/>
    <w:rsid w:val="00EB37C8"/>
    <w:rsid w:val="00EC0CE6"/>
    <w:rsid w:val="00EC7C1D"/>
    <w:rsid w:val="00ED6C48"/>
    <w:rsid w:val="00EE3045"/>
    <w:rsid w:val="00F646AB"/>
    <w:rsid w:val="00F65F5D"/>
    <w:rsid w:val="00F86A3A"/>
    <w:rsid w:val="00FC05D4"/>
    <w:rsid w:val="00FD7FB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282ED"/>
  <w15:docId w15:val="{676ACF0B-8FB0-47C9-8280-7C294B9B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3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0256BB"/>
    <w:rPr>
      <w:b/>
      <w:sz w:val="24"/>
    </w:rPr>
  </w:style>
  <w:style w:type="character" w:customStyle="1" w:styleId="HChGChar">
    <w:name w:val="_ H _Ch_G Char"/>
    <w:link w:val="HChG"/>
    <w:qFormat/>
    <w:locked/>
    <w:rsid w:val="000256BB"/>
    <w:rPr>
      <w:b/>
      <w:sz w:val="28"/>
    </w:rPr>
  </w:style>
  <w:style w:type="paragraph" w:styleId="ListParagraph">
    <w:name w:val="List Paragraph"/>
    <w:basedOn w:val="Normal"/>
    <w:uiPriority w:val="34"/>
    <w:qFormat/>
    <w:rsid w:val="000256BB"/>
    <w:pPr>
      <w:kinsoku/>
      <w:overflowPunct/>
      <w:autoSpaceDE/>
      <w:autoSpaceDN/>
      <w:adjustRightInd/>
      <w:snapToGrid/>
      <w:ind w:left="720"/>
      <w:contextualSpacing/>
    </w:pPr>
    <w:rPr>
      <w:rFonts w:eastAsia="Times New Roman"/>
      <w:lang w:val="fr-CH" w:eastAsia="en-US"/>
    </w:rPr>
  </w:style>
  <w:style w:type="paragraph" w:customStyle="1" w:styleId="Default">
    <w:name w:val="Default"/>
    <w:rsid w:val="000256BB"/>
    <w:pPr>
      <w:autoSpaceDE w:val="0"/>
      <w:autoSpaceDN w:val="0"/>
      <w:adjustRightInd w:val="0"/>
      <w:spacing w:after="0" w:line="240" w:lineRule="auto"/>
    </w:pPr>
    <w:rPr>
      <w:rFonts w:eastAsia="Times New Roman"/>
      <w:color w:val="000000"/>
      <w:sz w:val="24"/>
      <w:szCs w:val="24"/>
      <w:lang w:val="sv-SE" w:eastAsia="sv-SE"/>
    </w:rPr>
  </w:style>
  <w:style w:type="paragraph" w:customStyle="1" w:styleId="GHS1stline">
    <w:name w:val="GHS_1st line"/>
    <w:basedOn w:val="Normal"/>
    <w:qFormat/>
    <w:rsid w:val="000256BB"/>
    <w:pPr>
      <w:tabs>
        <w:tab w:val="left" w:pos="1418"/>
        <w:tab w:val="left" w:pos="1985"/>
        <w:tab w:val="left" w:pos="2552"/>
        <w:tab w:val="left" w:pos="3119"/>
        <w:tab w:val="left" w:pos="3686"/>
      </w:tabs>
      <w:suppressAutoHyphens w:val="0"/>
      <w:kinsoku/>
      <w:overflowPunct/>
      <w:snapToGrid/>
      <w:spacing w:after="240" w:line="240" w:lineRule="auto"/>
      <w:ind w:firstLine="1418"/>
      <w:jc w:val="both"/>
    </w:pPr>
    <w:rPr>
      <w:rFonts w:eastAsia="Times New Roman"/>
      <w:lang w:eastAsia="en-US"/>
    </w:rPr>
  </w:style>
  <w:style w:type="character" w:customStyle="1" w:styleId="SingleTxtGChar">
    <w:name w:val="_ Single Txt_G Char"/>
    <w:link w:val="SingleTxtG"/>
    <w:qFormat/>
    <w:locked/>
    <w:rsid w:val="005C45B9"/>
  </w:style>
  <w:style w:type="paragraph" w:customStyle="1" w:styleId="Style1">
    <w:name w:val="Style1"/>
    <w:basedOn w:val="Normal"/>
    <w:rsid w:val="008A2447"/>
    <w:pPr>
      <w:tabs>
        <w:tab w:val="left" w:pos="1418"/>
        <w:tab w:val="left" w:pos="1985"/>
        <w:tab w:val="left" w:pos="2552"/>
        <w:tab w:val="left" w:pos="3119"/>
        <w:tab w:val="left" w:pos="3686"/>
        <w:tab w:val="left" w:pos="4253"/>
        <w:tab w:val="left" w:pos="4820"/>
      </w:tabs>
      <w:suppressAutoHyphens w:val="0"/>
      <w:kinsoku/>
      <w:overflowPunct/>
      <w:autoSpaceDE/>
      <w:autoSpaceDN/>
      <w:adjustRightInd/>
      <w:snapToGrid/>
      <w:spacing w:line="240" w:lineRule="auto"/>
      <w:jc w:val="both"/>
    </w:pPr>
    <w:rPr>
      <w:rFonts w:eastAsia="Times New Roman"/>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A3973-DF8A-424E-877E-A7E63E86D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5BD66-724F-4170-BB67-79827166D454}">
  <ds:schemaRefs>
    <ds:schemaRef ds:uri="http://schemas.microsoft.com/sharepoint/v3/contenttype/forms"/>
  </ds:schemaRefs>
</ds:datastoreItem>
</file>

<file path=customXml/itemProps3.xml><?xml version="1.0" encoding="utf-8"?>
<ds:datastoreItem xmlns:ds="http://schemas.openxmlformats.org/officeDocument/2006/customXml" ds:itemID="{F9F041B4-2AA1-46FF-9161-CB77F8E766C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3265</Characters>
  <Application>Microsoft Office Word</Application>
  <DocSecurity>0</DocSecurity>
  <Lines>141</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ST/SG/AC.10/C.3/2023/30</vt: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ST/SG/AC.10/C.3/2023/30</dc:title>
  <dc:subject>2307605</dc:subject>
  <dc:creator>Una Giltsoff</dc:creator>
  <cp:keywords/>
  <dc:description/>
  <cp:lastModifiedBy>Una Giltsoff</cp:lastModifiedBy>
  <cp:revision>2</cp:revision>
  <dcterms:created xsi:type="dcterms:W3CDTF">2023-04-21T14:44:00Z</dcterms:created>
  <dcterms:modified xsi:type="dcterms:W3CDTF">2023-04-21T14:44:00Z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