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813A60" w14:paraId="49B8247B" w14:textId="77777777" w:rsidTr="00F01738">
        <w:trPr>
          <w:trHeight w:hRule="exact" w:val="851"/>
        </w:trPr>
        <w:tc>
          <w:tcPr>
            <w:tcW w:w="1276" w:type="dxa"/>
            <w:tcBorders>
              <w:bottom w:val="single" w:sz="4" w:space="0" w:color="auto"/>
            </w:tcBorders>
          </w:tcPr>
          <w:p w14:paraId="5D01ADD6" w14:textId="77777777" w:rsidR="00132EA9" w:rsidRPr="00813A60" w:rsidRDefault="00132EA9" w:rsidP="00C21409"/>
        </w:tc>
        <w:tc>
          <w:tcPr>
            <w:tcW w:w="2268" w:type="dxa"/>
            <w:tcBorders>
              <w:bottom w:val="single" w:sz="4" w:space="0" w:color="auto"/>
            </w:tcBorders>
            <w:vAlign w:val="bottom"/>
          </w:tcPr>
          <w:p w14:paraId="2476D54B" w14:textId="77777777" w:rsidR="00132EA9" w:rsidRPr="00813A60" w:rsidRDefault="00132EA9" w:rsidP="00F01738">
            <w:pPr>
              <w:spacing w:after="80" w:line="300" w:lineRule="exact"/>
              <w:rPr>
                <w:sz w:val="28"/>
              </w:rPr>
            </w:pPr>
            <w:r w:rsidRPr="00813A60">
              <w:rPr>
                <w:sz w:val="28"/>
              </w:rPr>
              <w:t>Nations Unies</w:t>
            </w:r>
          </w:p>
        </w:tc>
        <w:tc>
          <w:tcPr>
            <w:tcW w:w="6095" w:type="dxa"/>
            <w:gridSpan w:val="2"/>
            <w:tcBorders>
              <w:bottom w:val="single" w:sz="4" w:space="0" w:color="auto"/>
            </w:tcBorders>
            <w:vAlign w:val="bottom"/>
          </w:tcPr>
          <w:p w14:paraId="7DE15CF5" w14:textId="3D047064" w:rsidR="00132EA9" w:rsidRPr="00813A60" w:rsidRDefault="00C21409" w:rsidP="00C21409">
            <w:pPr>
              <w:jc w:val="right"/>
            </w:pPr>
            <w:r w:rsidRPr="00813A60">
              <w:rPr>
                <w:sz w:val="40"/>
              </w:rPr>
              <w:t>ST</w:t>
            </w:r>
            <w:r w:rsidRPr="00813A60">
              <w:t>/SG/AC.10/C.3/2023/29</w:t>
            </w:r>
          </w:p>
        </w:tc>
      </w:tr>
      <w:tr w:rsidR="00132EA9" w:rsidRPr="00813A60" w14:paraId="4FA1AD3D" w14:textId="77777777" w:rsidTr="00F01738">
        <w:trPr>
          <w:trHeight w:hRule="exact" w:val="2835"/>
        </w:trPr>
        <w:tc>
          <w:tcPr>
            <w:tcW w:w="1276" w:type="dxa"/>
            <w:tcBorders>
              <w:top w:val="single" w:sz="4" w:space="0" w:color="auto"/>
              <w:bottom w:val="single" w:sz="12" w:space="0" w:color="auto"/>
            </w:tcBorders>
          </w:tcPr>
          <w:p w14:paraId="385C57BA" w14:textId="77777777" w:rsidR="00132EA9" w:rsidRPr="00813A60" w:rsidRDefault="00132EA9" w:rsidP="00F01738">
            <w:pPr>
              <w:spacing w:before="120"/>
              <w:jc w:val="center"/>
            </w:pPr>
            <w:r w:rsidRPr="00813A60">
              <w:rPr>
                <w:noProof/>
                <w:lang w:eastAsia="fr-CH"/>
              </w:rPr>
              <w:drawing>
                <wp:inline distT="0" distB="0" distL="0" distR="0" wp14:anchorId="2E534B0C" wp14:editId="4C72E7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9E5AA1" w14:textId="77777777" w:rsidR="00132EA9" w:rsidRPr="00813A60" w:rsidRDefault="00132EA9" w:rsidP="00F01738">
            <w:pPr>
              <w:spacing w:before="120" w:line="420" w:lineRule="exact"/>
              <w:rPr>
                <w:b/>
                <w:sz w:val="40"/>
                <w:szCs w:val="40"/>
              </w:rPr>
            </w:pPr>
            <w:r w:rsidRPr="00813A60">
              <w:rPr>
                <w:b/>
                <w:sz w:val="40"/>
                <w:szCs w:val="40"/>
              </w:rPr>
              <w:t>Secrétariat</w:t>
            </w:r>
          </w:p>
        </w:tc>
        <w:tc>
          <w:tcPr>
            <w:tcW w:w="2835" w:type="dxa"/>
            <w:tcBorders>
              <w:top w:val="single" w:sz="4" w:space="0" w:color="auto"/>
              <w:bottom w:val="single" w:sz="12" w:space="0" w:color="auto"/>
            </w:tcBorders>
          </w:tcPr>
          <w:p w14:paraId="4C1B436F" w14:textId="77777777" w:rsidR="00132EA9" w:rsidRPr="00813A60" w:rsidRDefault="00C21409" w:rsidP="00F01738">
            <w:pPr>
              <w:spacing w:before="240"/>
            </w:pPr>
            <w:r w:rsidRPr="00813A60">
              <w:t>Distr. générale</w:t>
            </w:r>
          </w:p>
          <w:p w14:paraId="43D28704" w14:textId="77777777" w:rsidR="00C21409" w:rsidRPr="00813A60" w:rsidRDefault="00C21409" w:rsidP="00C21409">
            <w:pPr>
              <w:spacing w:line="240" w:lineRule="exact"/>
            </w:pPr>
            <w:r w:rsidRPr="00813A60">
              <w:t>21 avril 2023</w:t>
            </w:r>
          </w:p>
          <w:p w14:paraId="38914491" w14:textId="77777777" w:rsidR="00C21409" w:rsidRPr="00813A60" w:rsidRDefault="00C21409" w:rsidP="00C21409">
            <w:pPr>
              <w:spacing w:line="240" w:lineRule="exact"/>
            </w:pPr>
            <w:r w:rsidRPr="00813A60">
              <w:t>Français</w:t>
            </w:r>
          </w:p>
          <w:p w14:paraId="5B07A715" w14:textId="323350B8" w:rsidR="00C21409" w:rsidRPr="00813A60" w:rsidRDefault="00C21409" w:rsidP="00C21409">
            <w:pPr>
              <w:spacing w:line="240" w:lineRule="exact"/>
            </w:pPr>
            <w:r w:rsidRPr="00813A60">
              <w:t>Original</w:t>
            </w:r>
            <w:r w:rsidR="00813A60" w:rsidRPr="00813A60">
              <w:t> :</w:t>
            </w:r>
            <w:r w:rsidRPr="00813A60">
              <w:t xml:space="preserve"> anglais</w:t>
            </w:r>
          </w:p>
        </w:tc>
      </w:tr>
    </w:tbl>
    <w:p w14:paraId="49BB4833" w14:textId="77777777" w:rsidR="00813A60" w:rsidRPr="00813A60" w:rsidRDefault="00813A60" w:rsidP="00813A60">
      <w:pPr>
        <w:spacing w:before="120"/>
        <w:rPr>
          <w:b/>
          <w:sz w:val="24"/>
          <w:szCs w:val="24"/>
        </w:rPr>
      </w:pPr>
      <w:r w:rsidRPr="00813A60">
        <w:rPr>
          <w:b/>
          <w:bCs/>
          <w:sz w:val="24"/>
          <w:szCs w:val="24"/>
        </w:rPr>
        <w:t xml:space="preserve">Comité d’experts du transport des marchandises dangereuses </w:t>
      </w:r>
      <w:r w:rsidRPr="00813A60">
        <w:rPr>
          <w:b/>
          <w:bCs/>
          <w:sz w:val="24"/>
          <w:szCs w:val="24"/>
        </w:rPr>
        <w:br/>
        <w:t xml:space="preserve">et du Système général harmonisé de classification </w:t>
      </w:r>
      <w:r w:rsidRPr="00813A60">
        <w:rPr>
          <w:b/>
          <w:bCs/>
          <w:sz w:val="24"/>
          <w:szCs w:val="24"/>
        </w:rPr>
        <w:br/>
        <w:t>et d’étiquetage des produits chimiques</w:t>
      </w:r>
    </w:p>
    <w:p w14:paraId="30CDAED6" w14:textId="77777777" w:rsidR="00813A60" w:rsidRPr="00813A60" w:rsidRDefault="00813A60" w:rsidP="00813A60">
      <w:pPr>
        <w:spacing w:before="120"/>
        <w:rPr>
          <w:b/>
          <w:color w:val="000000"/>
        </w:rPr>
      </w:pPr>
      <w:r w:rsidRPr="00813A60">
        <w:rPr>
          <w:b/>
          <w:bCs/>
        </w:rPr>
        <w:t>Sous-Comité d’experts du transport des marchandises dangereuses</w:t>
      </w:r>
    </w:p>
    <w:p w14:paraId="5DB90734" w14:textId="77777777" w:rsidR="00813A60" w:rsidRPr="00813A60" w:rsidRDefault="00813A60" w:rsidP="00813A60">
      <w:pPr>
        <w:spacing w:before="120"/>
        <w:rPr>
          <w:b/>
        </w:rPr>
      </w:pPr>
      <w:r w:rsidRPr="00813A60">
        <w:rPr>
          <w:b/>
          <w:bCs/>
        </w:rPr>
        <w:t>Soixante-deuxième session</w:t>
      </w:r>
    </w:p>
    <w:p w14:paraId="1E565053" w14:textId="77777777" w:rsidR="00813A60" w:rsidRPr="00813A60" w:rsidRDefault="00813A60" w:rsidP="00813A60">
      <w:r w:rsidRPr="00813A60">
        <w:t>Genève, 3-7 juillet 2023</w:t>
      </w:r>
    </w:p>
    <w:p w14:paraId="70545259" w14:textId="77777777" w:rsidR="00813A60" w:rsidRPr="00813A60" w:rsidRDefault="00813A60" w:rsidP="00813A60">
      <w:r w:rsidRPr="00813A60">
        <w:t>Point 6 c) de l’ordre du jour provisoire</w:t>
      </w:r>
    </w:p>
    <w:p w14:paraId="6DE80422" w14:textId="70C00AB7" w:rsidR="00813A60" w:rsidRPr="00813A60" w:rsidRDefault="00813A60" w:rsidP="00813A60">
      <w:pPr>
        <w:rPr>
          <w:b/>
          <w:bCs/>
        </w:rPr>
      </w:pPr>
      <w:r w:rsidRPr="00813A60">
        <w:rPr>
          <w:b/>
          <w:bCs/>
        </w:rPr>
        <w:t xml:space="preserve">Propositions diverses d’amendements au Règlement type pour le transport </w:t>
      </w:r>
      <w:r w:rsidRPr="00813A60">
        <w:rPr>
          <w:b/>
          <w:bCs/>
        </w:rPr>
        <w:br/>
        <w:t>des marchandises dangereuses</w:t>
      </w:r>
      <w:r w:rsidRPr="00813A60">
        <w:rPr>
          <w:b/>
          <w:bCs/>
        </w:rPr>
        <w:t> :</w:t>
      </w:r>
      <w:r w:rsidRPr="00813A60">
        <w:rPr>
          <w:b/>
          <w:bCs/>
        </w:rPr>
        <w:t xml:space="preserve"> citernes mobiles</w:t>
      </w:r>
    </w:p>
    <w:p w14:paraId="78F38A74" w14:textId="12097DA9" w:rsidR="00813A60" w:rsidRPr="00813A60" w:rsidRDefault="00813A60" w:rsidP="00813A60">
      <w:pPr>
        <w:pStyle w:val="HChG"/>
        <w:rPr>
          <w:color w:val="000000" w:themeColor="text1"/>
        </w:rPr>
      </w:pPr>
      <w:r w:rsidRPr="00813A60">
        <w:tab/>
      </w:r>
      <w:r w:rsidRPr="00813A60">
        <w:tab/>
        <w:t>Transport du No</w:t>
      </w:r>
      <w:r>
        <w:t> </w:t>
      </w:r>
      <w:r w:rsidRPr="00813A60">
        <w:t>ONU 1789 en grands récipients pour vrac (IBC02) et en citernes mobiles (T8)</w:t>
      </w:r>
    </w:p>
    <w:p w14:paraId="321378F4" w14:textId="671AB255" w:rsidR="00813A60" w:rsidRPr="00813A60" w:rsidRDefault="00813A60" w:rsidP="00813A60">
      <w:pPr>
        <w:pStyle w:val="H1G"/>
        <w:rPr>
          <w:color w:val="000000" w:themeColor="text1"/>
        </w:rPr>
      </w:pPr>
      <w:r w:rsidRPr="00813A60">
        <w:tab/>
      </w:r>
      <w:r w:rsidRPr="00813A60">
        <w:tab/>
        <w:t>Communication de l’</w:t>
      </w:r>
      <w:r w:rsidRPr="00813A60">
        <w:rPr>
          <w:lang w:val="en-GB"/>
        </w:rPr>
        <w:t>International Dangerous Goods and Containers Association</w:t>
      </w:r>
      <w:r w:rsidRPr="00813A60">
        <w:t xml:space="preserve"> (IDGCA)</w:t>
      </w:r>
      <w:r w:rsidRPr="00813A60">
        <w:rPr>
          <w:b w:val="0"/>
          <w:bCs/>
          <w:sz w:val="20"/>
        </w:rPr>
        <w:footnoteReference w:customMarkFollows="1" w:id="2"/>
        <w:t>*</w:t>
      </w:r>
      <w:r w:rsidRPr="00813A60">
        <w:rPr>
          <w:b w:val="0"/>
          <w:bCs/>
          <w:sz w:val="20"/>
          <w:vertAlign w:val="superscript"/>
        </w:rPr>
        <w:t xml:space="preserve">, </w:t>
      </w:r>
      <w:r w:rsidRPr="00813A60">
        <w:rPr>
          <w:b w:val="0"/>
          <w:bCs/>
          <w:sz w:val="20"/>
        </w:rPr>
        <w:t>**</w:t>
      </w:r>
    </w:p>
    <w:p w14:paraId="30140960" w14:textId="77777777" w:rsidR="00813A60" w:rsidRPr="00813A60" w:rsidRDefault="00813A60" w:rsidP="00813A60">
      <w:pPr>
        <w:pStyle w:val="HChG"/>
      </w:pPr>
      <w:r w:rsidRPr="00813A60">
        <w:tab/>
        <w:t>I.</w:t>
      </w:r>
      <w:r w:rsidRPr="00813A60">
        <w:tab/>
        <w:t>Introduction</w:t>
      </w:r>
    </w:p>
    <w:p w14:paraId="0BB86E76" w14:textId="1EA06392" w:rsidR="00813A60" w:rsidRPr="00813A60" w:rsidRDefault="00813A60" w:rsidP="00813A60">
      <w:pPr>
        <w:pStyle w:val="SingleTxtG"/>
        <w:tabs>
          <w:tab w:val="clear" w:pos="1701"/>
          <w:tab w:val="clear" w:pos="2268"/>
          <w:tab w:val="clear" w:pos="2835"/>
        </w:tabs>
      </w:pPr>
      <w:r w:rsidRPr="00813A60">
        <w:t>1.</w:t>
      </w:r>
      <w:r w:rsidRPr="00813A60">
        <w:tab/>
        <w:t>L’instruction d’emballage IBC02 pour les grands récipients pour vrac (GRV) est affectée au No</w:t>
      </w:r>
      <w:r w:rsidRPr="00813A60">
        <w:t> </w:t>
      </w:r>
      <w:r w:rsidRPr="00813A60">
        <w:t>ONU 1789 ACIDE CHLORHYDRIQUE, groupe d’emballage II. Cette instruction d’emballage, qui autorise le transport dans des GRV en métal (31А, 31B et 31N), des GRV en plastique rigide (31H1 et 31N2) et des GRV composites (31HZ1), n’interdit pas le transport d’acide chlorhydrique dans des GRV pourvus d’orifices en partie basse ni ne définit aucune exigence concernant la construction des dispositifs de vidange ou le nombre de dispositifs de fermeture.</w:t>
      </w:r>
    </w:p>
    <w:p w14:paraId="3D725C64" w14:textId="534A7E80" w:rsidR="00813A60" w:rsidRPr="00813A60" w:rsidRDefault="00813A60" w:rsidP="00813A60">
      <w:pPr>
        <w:pStyle w:val="SingleTxtG"/>
      </w:pPr>
      <w:r w:rsidRPr="00813A60">
        <w:t>2.</w:t>
      </w:r>
      <w:r w:rsidRPr="00813A60">
        <w:tab/>
        <w:t>Selon le 6.7.2.6.1, certaines matières ne doivent pas être transportées dans des citernes mobiles pourvues d’orifices en partie basse. En particulier, la seule instruction de transport en citernes mobiles affectée au No</w:t>
      </w:r>
      <w:r w:rsidRPr="00813A60">
        <w:t> </w:t>
      </w:r>
      <w:r w:rsidRPr="00813A60">
        <w:t>ONU 1789, groupe d’emballage II, est l’instruction T8 pour laquelle les orifices en partie basse ne sont pas autorisés.</w:t>
      </w:r>
    </w:p>
    <w:p w14:paraId="674F32A8" w14:textId="77777777" w:rsidR="00813A60" w:rsidRPr="00813A60" w:rsidRDefault="00813A60" w:rsidP="00813A60">
      <w:pPr>
        <w:pStyle w:val="SingleTxtG"/>
        <w:rPr>
          <w:spacing w:val="-2"/>
        </w:rPr>
      </w:pPr>
      <w:r w:rsidRPr="00813A60">
        <w:rPr>
          <w:spacing w:val="-2"/>
        </w:rPr>
        <w:t>3.</w:t>
      </w:r>
      <w:r w:rsidRPr="00813A60">
        <w:rPr>
          <w:spacing w:val="-2"/>
        </w:rPr>
        <w:tab/>
        <w:t>Le transport de marchandises dangereuses en GRV est autorisé jusqu’à un volume de 3 000 litres, ce qui est comparable au volume transporté en citernes mobiles. Par conséquent, une même marchandise dangereuse, présentant les mêmes propriétés dangereuses, peut être transportée dans des conditions différentes selon que l’on utilise un GRV ou une citerne mobile.</w:t>
      </w:r>
    </w:p>
    <w:p w14:paraId="64573810" w14:textId="77777777" w:rsidR="00813A60" w:rsidRPr="00813A60" w:rsidRDefault="00813A60" w:rsidP="00813A60">
      <w:pPr>
        <w:pStyle w:val="HChG"/>
      </w:pPr>
      <w:r w:rsidRPr="00813A60">
        <w:rPr>
          <w:bCs/>
        </w:rPr>
        <w:lastRenderedPageBreak/>
        <w:tab/>
        <w:t>II.</w:t>
      </w:r>
      <w:r w:rsidRPr="00813A60">
        <w:tab/>
      </w:r>
      <w:r w:rsidRPr="00813A60">
        <w:rPr>
          <w:bCs/>
        </w:rPr>
        <w:t>Proposition</w:t>
      </w:r>
    </w:p>
    <w:p w14:paraId="010EA046" w14:textId="6F38EB76" w:rsidR="00813A60" w:rsidRPr="00813A60" w:rsidRDefault="00813A60" w:rsidP="00813A60">
      <w:pPr>
        <w:pStyle w:val="SingleTxtG"/>
        <w:keepNext/>
      </w:pPr>
      <w:r w:rsidRPr="00813A60">
        <w:t>4.</w:t>
      </w:r>
      <w:r w:rsidRPr="00813A60">
        <w:tab/>
        <w:t>Les experts de l’IDGCA proposent</w:t>
      </w:r>
      <w:r w:rsidRPr="00813A60">
        <w:t> :</w:t>
      </w:r>
    </w:p>
    <w:p w14:paraId="29274478" w14:textId="3B8CB265" w:rsidR="00813A60" w:rsidRPr="00813A60" w:rsidRDefault="00813A60" w:rsidP="00813A60">
      <w:pPr>
        <w:pStyle w:val="SingleTxtG"/>
        <w:ind w:left="1701"/>
      </w:pPr>
      <w:r w:rsidRPr="00813A60">
        <w:t>a)</w:t>
      </w:r>
      <w:r w:rsidRPr="00813A60">
        <w:tab/>
        <w:t>D’examiner ce problème à la soixante-deuxième session du Sous-Comité d’experts du transport des marchandises dangereuse</w:t>
      </w:r>
      <w:r w:rsidRPr="00813A60">
        <w:t> ;</w:t>
      </w:r>
    </w:p>
    <w:p w14:paraId="627A7B6C" w14:textId="77777777" w:rsidR="00813A60" w:rsidRPr="00813A60" w:rsidRDefault="00813A60" w:rsidP="00813A60">
      <w:pPr>
        <w:pStyle w:val="SingleTxtG"/>
        <w:ind w:left="1701"/>
      </w:pPr>
      <w:r w:rsidRPr="00813A60">
        <w:t>b)</w:t>
      </w:r>
      <w:r w:rsidRPr="00813A60">
        <w:tab/>
        <w:t>De modifier l’instruction d’emballage IBC02 du 4.1.4.2 afin d’interdire les dispositifs de vidange par le bas et de préciser les dispositions concernant la présence de dispositifs de fermeture et leur nombre pendant le transport de marchandises dangereuses, en s’inspirant du 6.7.2.6.1, ou de définir des prescriptions relatives à la conception des dispositifs de vidange par le bas et aux épreuves qu’ils doivent subir.</w:t>
      </w:r>
    </w:p>
    <w:p w14:paraId="0FDDBCAF" w14:textId="77777777" w:rsidR="00813A60" w:rsidRPr="00813A60" w:rsidRDefault="00813A60" w:rsidP="00813A60">
      <w:pPr>
        <w:pStyle w:val="HChG"/>
      </w:pPr>
      <w:r w:rsidRPr="00813A60">
        <w:tab/>
        <w:t>III.</w:t>
      </w:r>
      <w:r w:rsidRPr="00813A60">
        <w:tab/>
        <w:t>Justification</w:t>
      </w:r>
    </w:p>
    <w:p w14:paraId="489C4AA8" w14:textId="77777777" w:rsidR="00813A60" w:rsidRPr="00813A60" w:rsidRDefault="00813A60" w:rsidP="00813A60">
      <w:pPr>
        <w:pStyle w:val="SingleTxtG"/>
      </w:pPr>
      <w:r w:rsidRPr="00813A60">
        <w:t>5.</w:t>
      </w:r>
      <w:r w:rsidRPr="00813A60">
        <w:tab/>
        <w:t>La présente proposition vise i) à améliorer la sécurité du transport de marchandises dangereuses en GRV et ii) à parvenir à un consensus sur la présence ou l’absence de dispositifs de vidange par le bas pendant le transport de marchandises dangereuses dans différents types d’emballages et de conteneurs.</w:t>
      </w:r>
    </w:p>
    <w:p w14:paraId="2EE8FB01" w14:textId="77777777" w:rsidR="00813A60" w:rsidRPr="00813A60" w:rsidRDefault="00813A60" w:rsidP="00813A60">
      <w:pPr>
        <w:pStyle w:val="HChG"/>
      </w:pPr>
      <w:r w:rsidRPr="00813A60">
        <w:tab/>
        <w:t>IV.</w:t>
      </w:r>
      <w:r w:rsidRPr="00813A60">
        <w:tab/>
        <w:t>Informations complémentaires</w:t>
      </w:r>
    </w:p>
    <w:p w14:paraId="3AF22563" w14:textId="77777777" w:rsidR="00813A60" w:rsidRPr="00813A60" w:rsidRDefault="00813A60" w:rsidP="00813A60">
      <w:pPr>
        <w:pStyle w:val="SingleTxtG"/>
      </w:pPr>
      <w:r w:rsidRPr="00813A60">
        <w:t>6.</w:t>
      </w:r>
      <w:r w:rsidRPr="00813A60">
        <w:tab/>
        <w:t>L’IDGCA élaborera un document informel contenant des renseignements complémentaires.</w:t>
      </w:r>
    </w:p>
    <w:p w14:paraId="76912080" w14:textId="77777777" w:rsidR="00813A60" w:rsidRPr="00813A60" w:rsidRDefault="00813A60" w:rsidP="00813A60">
      <w:pPr>
        <w:pStyle w:val="SingleTxtG"/>
        <w:jc w:val="center"/>
      </w:pPr>
      <w:r w:rsidRPr="00813A60">
        <w:rPr>
          <w:noProof/>
          <w:lang w:eastAsia="ru-RU"/>
        </w:rPr>
        <w:drawing>
          <wp:inline distT="0" distB="0" distL="0" distR="0" wp14:anchorId="3898D107" wp14:editId="5997BD34">
            <wp:extent cx="2857143" cy="2857143"/>
            <wp:effectExtent l="0" t="0" r="635" b="63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57143" cy="2857143"/>
                    </a:xfrm>
                    <a:prstGeom prst="rect">
                      <a:avLst/>
                    </a:prstGeom>
                  </pic:spPr>
                </pic:pic>
              </a:graphicData>
            </a:graphic>
          </wp:inline>
        </w:drawing>
      </w:r>
    </w:p>
    <w:p w14:paraId="087FEA7C" w14:textId="4FF618AD" w:rsidR="00C21409" w:rsidRPr="00813A60" w:rsidRDefault="00813A60" w:rsidP="00813A60">
      <w:pPr>
        <w:pStyle w:val="SingleTxtG"/>
        <w:spacing w:before="240" w:after="0"/>
        <w:jc w:val="center"/>
        <w:rPr>
          <w:u w:val="single"/>
        </w:rPr>
      </w:pPr>
      <w:r w:rsidRPr="00813A60">
        <w:rPr>
          <w:u w:val="single"/>
        </w:rPr>
        <w:tab/>
      </w:r>
      <w:r w:rsidRPr="00813A60">
        <w:rPr>
          <w:u w:val="single"/>
        </w:rPr>
        <w:tab/>
      </w:r>
      <w:r w:rsidRPr="00813A60">
        <w:rPr>
          <w:u w:val="single"/>
        </w:rPr>
        <w:tab/>
      </w:r>
    </w:p>
    <w:sectPr w:rsidR="00C21409" w:rsidRPr="00813A60" w:rsidSect="00C2140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D2A7" w14:textId="77777777" w:rsidR="008714D5" w:rsidRDefault="008714D5" w:rsidP="00F95C08">
      <w:pPr>
        <w:spacing w:line="240" w:lineRule="auto"/>
      </w:pPr>
    </w:p>
  </w:endnote>
  <w:endnote w:type="continuationSeparator" w:id="0">
    <w:p w14:paraId="03963D00" w14:textId="77777777" w:rsidR="008714D5" w:rsidRPr="00AC3823" w:rsidRDefault="008714D5" w:rsidP="00AC3823">
      <w:pPr>
        <w:pStyle w:val="Pieddepage"/>
      </w:pPr>
    </w:p>
  </w:endnote>
  <w:endnote w:type="continuationNotice" w:id="1">
    <w:p w14:paraId="0E9259E9" w14:textId="77777777" w:rsidR="008714D5" w:rsidRDefault="008714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3797" w14:textId="5E38FA32" w:rsidR="00C21409" w:rsidRPr="00C21409" w:rsidRDefault="00C21409" w:rsidP="00C21409">
    <w:pPr>
      <w:pStyle w:val="Pieddepage"/>
      <w:tabs>
        <w:tab w:val="right" w:pos="9638"/>
      </w:tabs>
    </w:pPr>
    <w:r w:rsidRPr="00C21409">
      <w:rPr>
        <w:b/>
        <w:sz w:val="18"/>
      </w:rPr>
      <w:fldChar w:fldCharType="begin"/>
    </w:r>
    <w:r w:rsidRPr="00C21409">
      <w:rPr>
        <w:b/>
        <w:sz w:val="18"/>
      </w:rPr>
      <w:instrText xml:space="preserve"> PAGE  \* MERGEFORMAT </w:instrText>
    </w:r>
    <w:r w:rsidRPr="00C21409">
      <w:rPr>
        <w:b/>
        <w:sz w:val="18"/>
      </w:rPr>
      <w:fldChar w:fldCharType="separate"/>
    </w:r>
    <w:r w:rsidRPr="00C21409">
      <w:rPr>
        <w:b/>
        <w:noProof/>
        <w:sz w:val="18"/>
      </w:rPr>
      <w:t>2</w:t>
    </w:r>
    <w:r w:rsidRPr="00C21409">
      <w:rPr>
        <w:b/>
        <w:sz w:val="18"/>
      </w:rPr>
      <w:fldChar w:fldCharType="end"/>
    </w:r>
    <w:r>
      <w:rPr>
        <w:b/>
        <w:sz w:val="18"/>
      </w:rPr>
      <w:tab/>
    </w:r>
    <w:r>
      <w:t>GE.23-07604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47C6" w14:textId="70C74124" w:rsidR="00C21409" w:rsidRPr="00C21409" w:rsidRDefault="00C21409" w:rsidP="00C21409">
    <w:pPr>
      <w:pStyle w:val="Pieddepage"/>
      <w:tabs>
        <w:tab w:val="right" w:pos="9638"/>
      </w:tabs>
      <w:rPr>
        <w:b/>
        <w:sz w:val="18"/>
      </w:rPr>
    </w:pPr>
    <w:r>
      <w:t>GE.23-07604</w:t>
    </w:r>
    <w:r>
      <w:tab/>
    </w:r>
    <w:r w:rsidRPr="00C21409">
      <w:rPr>
        <w:b/>
        <w:sz w:val="18"/>
      </w:rPr>
      <w:fldChar w:fldCharType="begin"/>
    </w:r>
    <w:r w:rsidRPr="00C21409">
      <w:rPr>
        <w:b/>
        <w:sz w:val="18"/>
      </w:rPr>
      <w:instrText xml:space="preserve"> PAGE  \* MERGEFORMAT </w:instrText>
    </w:r>
    <w:r w:rsidRPr="00C21409">
      <w:rPr>
        <w:b/>
        <w:sz w:val="18"/>
      </w:rPr>
      <w:fldChar w:fldCharType="separate"/>
    </w:r>
    <w:r w:rsidRPr="00C21409">
      <w:rPr>
        <w:b/>
        <w:noProof/>
        <w:sz w:val="18"/>
      </w:rPr>
      <w:t>3</w:t>
    </w:r>
    <w:r w:rsidRPr="00C214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9AC1" w14:textId="019AF7D9" w:rsidR="0068456F" w:rsidRPr="00C21409" w:rsidRDefault="00C21409" w:rsidP="00C21409">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5F2F83F" wp14:editId="162BF5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23-07604  (F)</w:t>
    </w:r>
    <w:r>
      <w:rPr>
        <w:noProof/>
        <w:sz w:val="20"/>
      </w:rPr>
      <w:drawing>
        <wp:anchor distT="0" distB="0" distL="114300" distR="114300" simplePos="0" relativeHeight="251660288" behindDoc="0" locked="0" layoutInCell="1" allowOverlap="1" wp14:anchorId="5304D3F6" wp14:editId="5BD054D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190523    190523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E351" w14:textId="77777777" w:rsidR="008714D5" w:rsidRPr="00AC3823" w:rsidRDefault="008714D5" w:rsidP="00AC3823">
      <w:pPr>
        <w:pStyle w:val="Pieddepage"/>
        <w:tabs>
          <w:tab w:val="right" w:pos="2155"/>
        </w:tabs>
        <w:spacing w:after="80" w:line="240" w:lineRule="atLeast"/>
        <w:ind w:left="680"/>
        <w:rPr>
          <w:u w:val="single"/>
        </w:rPr>
      </w:pPr>
      <w:r>
        <w:rPr>
          <w:u w:val="single"/>
        </w:rPr>
        <w:tab/>
      </w:r>
    </w:p>
  </w:footnote>
  <w:footnote w:type="continuationSeparator" w:id="0">
    <w:p w14:paraId="4775F3C1" w14:textId="77777777" w:rsidR="008714D5" w:rsidRPr="00AC3823" w:rsidRDefault="008714D5" w:rsidP="00AC3823">
      <w:pPr>
        <w:pStyle w:val="Pieddepage"/>
        <w:tabs>
          <w:tab w:val="right" w:pos="2155"/>
        </w:tabs>
        <w:spacing w:after="80" w:line="240" w:lineRule="atLeast"/>
        <w:ind w:left="680"/>
        <w:rPr>
          <w:u w:val="single"/>
        </w:rPr>
      </w:pPr>
      <w:r>
        <w:rPr>
          <w:u w:val="single"/>
        </w:rPr>
        <w:tab/>
      </w:r>
    </w:p>
  </w:footnote>
  <w:footnote w:type="continuationNotice" w:id="1">
    <w:p w14:paraId="29F7DA4E" w14:textId="77777777" w:rsidR="008714D5" w:rsidRPr="00AC3823" w:rsidRDefault="008714D5">
      <w:pPr>
        <w:spacing w:line="240" w:lineRule="auto"/>
        <w:rPr>
          <w:sz w:val="2"/>
          <w:szCs w:val="2"/>
        </w:rPr>
      </w:pPr>
    </w:p>
  </w:footnote>
  <w:footnote w:id="2">
    <w:p w14:paraId="2D424E8E" w14:textId="2E9ED1DA" w:rsidR="00813A60" w:rsidRPr="008B0DA6" w:rsidRDefault="00813A60" w:rsidP="00813A60">
      <w:pPr>
        <w:pStyle w:val="Notedebasdepage"/>
        <w:rPr>
          <w:lang w:val="fr-SN"/>
        </w:rPr>
      </w:pPr>
      <w:r>
        <w:rPr>
          <w:lang w:val="fr-FR"/>
        </w:rPr>
        <w:tab/>
      </w:r>
      <w:r w:rsidRPr="00813A60">
        <w:rPr>
          <w:sz w:val="20"/>
          <w:lang w:val="fr-FR"/>
        </w:rPr>
        <w:t>*</w:t>
      </w:r>
      <w:r>
        <w:rPr>
          <w:lang w:val="fr-FR"/>
        </w:rPr>
        <w:tab/>
        <w:t>A/77/6 (Sect.</w:t>
      </w:r>
      <w:r>
        <w:rPr>
          <w:lang w:val="fr-FR"/>
        </w:rPr>
        <w:t> </w:t>
      </w:r>
      <w:r>
        <w:rPr>
          <w:lang w:val="fr-FR"/>
        </w:rPr>
        <w:t>20), tableau 20.6.</w:t>
      </w:r>
    </w:p>
    <w:p w14:paraId="63CC6F2E" w14:textId="77777777" w:rsidR="00813A60" w:rsidRPr="008B0DA6" w:rsidRDefault="00813A60" w:rsidP="00813A60">
      <w:pPr>
        <w:pStyle w:val="Notedebasdepage"/>
        <w:rPr>
          <w:lang w:val="fr-SN"/>
        </w:rPr>
      </w:pPr>
      <w:r>
        <w:rPr>
          <w:lang w:val="fr-FR"/>
        </w:rPr>
        <w:tab/>
      </w:r>
      <w:r w:rsidRPr="00813A60">
        <w:rPr>
          <w:sz w:val="20"/>
          <w:lang w:val="fr-FR"/>
        </w:rPr>
        <w:t>**</w:t>
      </w:r>
      <w:r>
        <w:rPr>
          <w:lang w:val="fr-FR"/>
        </w:rPr>
        <w:ta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2D9B" w14:textId="12C2ECF7" w:rsidR="00C21409" w:rsidRPr="00C21409" w:rsidRDefault="00C21409">
    <w:pPr>
      <w:pStyle w:val="En-tte"/>
    </w:pPr>
    <w:fldSimple w:instr=" TITLE  \* MERGEFORMAT ">
      <w:r>
        <w:t>ST/SG/AC.10/C.3/2023/29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0CB2" w14:textId="499E8F10" w:rsidR="00C21409" w:rsidRPr="00C21409" w:rsidRDefault="00C21409" w:rsidP="00C21409">
    <w:pPr>
      <w:pStyle w:val="En-tte"/>
      <w:jc w:val="right"/>
    </w:pPr>
    <w:fldSimple w:instr=" TITLE  \* MERGEFORMAT ">
      <w:r>
        <w:t>ST/SG/AC.10/C.3/2023/29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D5"/>
    <w:rsid w:val="00017F94"/>
    <w:rsid w:val="00023842"/>
    <w:rsid w:val="000305D3"/>
    <w:rsid w:val="000334F9"/>
    <w:rsid w:val="0007796D"/>
    <w:rsid w:val="000B7790"/>
    <w:rsid w:val="000B7C02"/>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13A60"/>
    <w:rsid w:val="008714D5"/>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21409"/>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E4267"/>
  <w15:docId w15:val="{2FF43120-572E-4B06-B6F1-7B24CAD8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813A60"/>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813A60"/>
    <w:rPr>
      <w:rFonts w:ascii="Times New Roman" w:eastAsiaTheme="minorHAnsi" w:hAnsi="Times New Roman" w:cs="Times New Roman"/>
      <w:b/>
      <w:sz w:val="24"/>
      <w:szCs w:val="20"/>
      <w:lang w:eastAsia="en-US"/>
    </w:rPr>
  </w:style>
  <w:style w:type="character" w:customStyle="1" w:styleId="HChGChar">
    <w:name w:val="_ H _Ch_G Char"/>
    <w:link w:val="HChG"/>
    <w:qFormat/>
    <w:rsid w:val="00813A6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813A6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3D3BD-E587-480F-8572-210B1658846D}"/>
</file>

<file path=customXml/itemProps2.xml><?xml version="1.0" encoding="utf-8"?>
<ds:datastoreItem xmlns:ds="http://schemas.openxmlformats.org/officeDocument/2006/customXml" ds:itemID="{BD86ECB8-D15C-46AD-918E-8663EA7B8B8D}"/>
</file>

<file path=docProps/app.xml><?xml version="1.0" encoding="utf-8"?>
<Properties xmlns="http://schemas.openxmlformats.org/officeDocument/2006/extended-properties" xmlns:vt="http://schemas.openxmlformats.org/officeDocument/2006/docPropsVTypes">
  <Template>ST.dotm</Template>
  <TotalTime>6</TotalTime>
  <Pages>2</Pages>
  <Words>445</Words>
  <Characters>2610</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ST/SG/AC.10/C.3/2023/29</dc:title>
  <dc:subject/>
  <dc:creator>Nicolas MORIN</dc:creator>
  <cp:keywords/>
  <cp:lastModifiedBy>Nicolas Morin</cp:lastModifiedBy>
  <cp:revision>2</cp:revision>
  <cp:lastPrinted>2014-05-14T10:59:00Z</cp:lastPrinted>
  <dcterms:created xsi:type="dcterms:W3CDTF">2023-05-19T10:19:00Z</dcterms:created>
  <dcterms:modified xsi:type="dcterms:W3CDTF">2023-05-19T10:19:00Z</dcterms:modified>
</cp:coreProperties>
</file>