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10386D" w14:textId="77777777" w:rsidTr="006476E1">
        <w:trPr>
          <w:trHeight w:val="851"/>
        </w:trPr>
        <w:tc>
          <w:tcPr>
            <w:tcW w:w="1259" w:type="dxa"/>
            <w:tcBorders>
              <w:top w:val="nil"/>
              <w:left w:val="nil"/>
              <w:bottom w:val="single" w:sz="4" w:space="0" w:color="auto"/>
              <w:right w:val="nil"/>
            </w:tcBorders>
          </w:tcPr>
          <w:p w14:paraId="26BAB2A3" w14:textId="77777777" w:rsidR="00E52109" w:rsidRPr="002A32CB" w:rsidRDefault="00E52109" w:rsidP="004858F5"/>
        </w:tc>
        <w:tc>
          <w:tcPr>
            <w:tcW w:w="2236" w:type="dxa"/>
            <w:tcBorders>
              <w:top w:val="nil"/>
              <w:left w:val="nil"/>
              <w:bottom w:val="single" w:sz="4" w:space="0" w:color="auto"/>
              <w:right w:val="nil"/>
            </w:tcBorders>
            <w:vAlign w:val="bottom"/>
          </w:tcPr>
          <w:p w14:paraId="6363D07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411005" w14:textId="334F22B7" w:rsidR="00E52109" w:rsidRDefault="00474D27" w:rsidP="00474D27">
            <w:pPr>
              <w:suppressAutoHyphens w:val="0"/>
              <w:jc w:val="right"/>
            </w:pPr>
            <w:r w:rsidRPr="00474D27">
              <w:rPr>
                <w:sz w:val="40"/>
              </w:rPr>
              <w:t>ST</w:t>
            </w:r>
            <w:r>
              <w:t>/SG/AC.10/C.3/2023/</w:t>
            </w:r>
            <w:r w:rsidR="00B355B7">
              <w:t>1</w:t>
            </w:r>
          </w:p>
        </w:tc>
      </w:tr>
      <w:tr w:rsidR="00E52109" w14:paraId="54746F6C" w14:textId="77777777" w:rsidTr="006476E1">
        <w:trPr>
          <w:trHeight w:val="2835"/>
        </w:trPr>
        <w:tc>
          <w:tcPr>
            <w:tcW w:w="1259" w:type="dxa"/>
            <w:tcBorders>
              <w:top w:val="single" w:sz="4" w:space="0" w:color="auto"/>
              <w:left w:val="nil"/>
              <w:bottom w:val="single" w:sz="12" w:space="0" w:color="auto"/>
              <w:right w:val="nil"/>
            </w:tcBorders>
          </w:tcPr>
          <w:p w14:paraId="175198AC" w14:textId="77777777" w:rsidR="00E52109" w:rsidRDefault="00E52109" w:rsidP="006476E1">
            <w:pPr>
              <w:spacing w:before="120"/>
              <w:jc w:val="center"/>
            </w:pPr>
            <w:r>
              <w:rPr>
                <w:noProof/>
                <w:lang w:val="fr-CH" w:eastAsia="fr-CH"/>
              </w:rPr>
              <w:drawing>
                <wp:inline distT="0" distB="0" distL="0" distR="0" wp14:anchorId="5D4CB42C" wp14:editId="62A8E5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5AC79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47C7FEA" w14:textId="77777777" w:rsidR="00D94B05" w:rsidRDefault="00474D27" w:rsidP="00474D27">
            <w:pPr>
              <w:suppressAutoHyphens w:val="0"/>
              <w:spacing w:before="240" w:line="240" w:lineRule="exact"/>
            </w:pPr>
            <w:r>
              <w:t>Distr.: General</w:t>
            </w:r>
          </w:p>
          <w:p w14:paraId="6F35C7AB" w14:textId="4A8CBF5C" w:rsidR="00474D27" w:rsidRDefault="00606AF0" w:rsidP="00474D27">
            <w:pPr>
              <w:suppressAutoHyphens w:val="0"/>
              <w:spacing w:line="240" w:lineRule="exact"/>
            </w:pPr>
            <w:r>
              <w:t>11</w:t>
            </w:r>
            <w:r w:rsidR="00B355B7">
              <w:t xml:space="preserve"> </w:t>
            </w:r>
            <w:r w:rsidR="00917A9C">
              <w:t>April</w:t>
            </w:r>
            <w:r w:rsidR="00474D27">
              <w:t xml:space="preserve"> 2023</w:t>
            </w:r>
          </w:p>
          <w:p w14:paraId="31B52485" w14:textId="77777777" w:rsidR="00474D27" w:rsidRDefault="00474D27" w:rsidP="00474D27">
            <w:pPr>
              <w:suppressAutoHyphens w:val="0"/>
              <w:spacing w:line="240" w:lineRule="exact"/>
            </w:pPr>
          </w:p>
          <w:p w14:paraId="25A8B6AA" w14:textId="0D46E30D" w:rsidR="00474D27" w:rsidRDefault="00474D27" w:rsidP="00474D27">
            <w:pPr>
              <w:suppressAutoHyphens w:val="0"/>
              <w:spacing w:line="240" w:lineRule="exact"/>
            </w:pPr>
            <w:r>
              <w:t>Original: English</w:t>
            </w:r>
          </w:p>
        </w:tc>
      </w:tr>
    </w:tbl>
    <w:p w14:paraId="43EC8544" w14:textId="77777777" w:rsidR="005A5B2E" w:rsidRPr="006500BA" w:rsidRDefault="005A5B2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C164E8" w14:textId="77777777" w:rsidR="005A5B2E" w:rsidRPr="006500BA" w:rsidRDefault="005A5B2E" w:rsidP="004858F5">
      <w:pPr>
        <w:spacing w:before="120"/>
        <w:rPr>
          <w:rFonts w:ascii="Helv" w:hAnsi="Helv" w:cs="Helv"/>
          <w:b/>
          <w:color w:val="000000"/>
        </w:rPr>
      </w:pPr>
      <w:r w:rsidRPr="006500BA">
        <w:rPr>
          <w:b/>
        </w:rPr>
        <w:t xml:space="preserve">Sub-Committee of Experts on the </w:t>
      </w:r>
      <w:r>
        <w:rPr>
          <w:b/>
        </w:rPr>
        <w:t>Transport of Dangerous Goods</w:t>
      </w:r>
    </w:p>
    <w:p w14:paraId="0D490501" w14:textId="5F901D51" w:rsidR="005A5B2E" w:rsidRPr="006500BA" w:rsidRDefault="00FF661B" w:rsidP="004858F5">
      <w:pPr>
        <w:spacing w:before="120"/>
        <w:rPr>
          <w:b/>
        </w:rPr>
      </w:pPr>
      <w:r>
        <w:rPr>
          <w:b/>
        </w:rPr>
        <w:t>Sixty-second</w:t>
      </w:r>
      <w:r w:rsidR="005A5B2E">
        <w:rPr>
          <w:b/>
        </w:rPr>
        <w:t xml:space="preserve"> </w:t>
      </w:r>
      <w:r w:rsidR="005A5B2E" w:rsidRPr="006500BA">
        <w:rPr>
          <w:b/>
        </w:rPr>
        <w:t>session</w:t>
      </w:r>
    </w:p>
    <w:p w14:paraId="4551C058" w14:textId="6444E203" w:rsidR="005A5B2E" w:rsidRPr="006500BA" w:rsidRDefault="005A5B2E" w:rsidP="004858F5">
      <w:r w:rsidRPr="006500BA">
        <w:t xml:space="preserve">Geneva, </w:t>
      </w:r>
      <w:r>
        <w:t xml:space="preserve">3-7 July 2023 </w:t>
      </w:r>
    </w:p>
    <w:p w14:paraId="6C4CC6A9" w14:textId="150475FD" w:rsidR="005A5B2E" w:rsidRPr="006500BA" w:rsidRDefault="005A5B2E" w:rsidP="004858F5">
      <w:r w:rsidRPr="006500BA">
        <w:t xml:space="preserve">Item </w:t>
      </w:r>
      <w:r w:rsidR="00D729DB">
        <w:t>5 (</w:t>
      </w:r>
      <w:r w:rsidR="00BE701E">
        <w:t>c</w:t>
      </w:r>
      <w:r w:rsidR="00D729DB">
        <w:t>)</w:t>
      </w:r>
      <w:r w:rsidRPr="006500BA">
        <w:t xml:space="preserve"> of the provisional agenda</w:t>
      </w:r>
    </w:p>
    <w:p w14:paraId="27FD7E5F" w14:textId="545C91AF" w:rsidR="00AF5DE1" w:rsidRDefault="00D729DB" w:rsidP="004858F5">
      <w:pPr>
        <w:rPr>
          <w:b/>
          <w:bCs/>
        </w:rPr>
      </w:pPr>
      <w:r w:rsidRPr="00D729DB">
        <w:rPr>
          <w:b/>
          <w:bCs/>
        </w:rPr>
        <w:t>Transport of gases:</w:t>
      </w:r>
      <w:r>
        <w:rPr>
          <w:b/>
          <w:bCs/>
        </w:rPr>
        <w:t xml:space="preserve"> </w:t>
      </w:r>
      <w:r w:rsidR="00BE701E">
        <w:rPr>
          <w:b/>
          <w:bCs/>
        </w:rPr>
        <w:t>Miscellaneous</w:t>
      </w:r>
    </w:p>
    <w:p w14:paraId="69D24852" w14:textId="53D36737" w:rsidR="00043167" w:rsidRDefault="00043167" w:rsidP="00E74539">
      <w:pPr>
        <w:pStyle w:val="HChG"/>
        <w:ind w:right="992"/>
      </w:pPr>
      <w:r>
        <w:tab/>
      </w:r>
      <w:r>
        <w:tab/>
      </w:r>
      <w:r w:rsidRPr="00043167">
        <w:t>Report</w:t>
      </w:r>
      <w:r>
        <w:t xml:space="preserve"> of the intersessional working group on the </w:t>
      </w:r>
      <w:proofErr w:type="spellStart"/>
      <w:r>
        <w:t>pV</w:t>
      </w:r>
      <w:proofErr w:type="spellEnd"/>
      <w:r w:rsidR="00E74539">
        <w:noBreakHyphen/>
      </w:r>
      <w:r>
        <w:t>product limit for pressure receptacles</w:t>
      </w:r>
    </w:p>
    <w:p w14:paraId="432D5FEF" w14:textId="313FC900" w:rsidR="00043167" w:rsidRDefault="00043167" w:rsidP="00043167">
      <w:pPr>
        <w:pStyle w:val="H1G"/>
      </w:pPr>
      <w:r>
        <w:tab/>
      </w:r>
      <w:r>
        <w:tab/>
      </w:r>
      <w:r w:rsidRPr="00043167">
        <w:t>Transmitted</w:t>
      </w:r>
      <w:r>
        <w:t xml:space="preserve"> by </w:t>
      </w:r>
      <w:r w:rsidR="00940A77">
        <w:t xml:space="preserve">the </w:t>
      </w:r>
      <w:r w:rsidR="00617774">
        <w:t xml:space="preserve">expert from Germany on behalf of </w:t>
      </w:r>
      <w:r>
        <w:t>the working group</w:t>
      </w:r>
      <w:r w:rsidR="00A9265C" w:rsidRPr="00A9265C">
        <w:rPr>
          <w:rStyle w:val="FootnoteReference"/>
          <w:sz w:val="20"/>
          <w:vertAlign w:val="baseline"/>
        </w:rPr>
        <w:footnoteReference w:customMarkFollows="1" w:id="2"/>
        <w:t>*</w:t>
      </w:r>
    </w:p>
    <w:p w14:paraId="3EC63994" w14:textId="5DCB7CDD" w:rsidR="00043167" w:rsidRDefault="00043167" w:rsidP="00043167">
      <w:pPr>
        <w:pStyle w:val="HChG"/>
      </w:pPr>
      <w:r>
        <w:tab/>
      </w:r>
      <w:r>
        <w:tab/>
        <w:t xml:space="preserve">Report of the </w:t>
      </w:r>
      <w:r w:rsidR="0064795E">
        <w:t>w</w:t>
      </w:r>
      <w:r>
        <w:t xml:space="preserve">orking </w:t>
      </w:r>
      <w:r w:rsidR="0064795E">
        <w:t>g</w:t>
      </w:r>
      <w:r>
        <w:t>roup</w:t>
      </w:r>
    </w:p>
    <w:p w14:paraId="3E559219" w14:textId="75ED6726" w:rsidR="00D9151A" w:rsidRDefault="00A51785" w:rsidP="00A51785">
      <w:pPr>
        <w:pStyle w:val="SingleTxtG"/>
      </w:pPr>
      <w:r>
        <w:t>1.</w:t>
      </w:r>
      <w:r>
        <w:tab/>
      </w:r>
      <w:r w:rsidR="00D9151A">
        <w:t xml:space="preserve">The intersessional working group met </w:t>
      </w:r>
      <w:r w:rsidR="00AD1018">
        <w:t xml:space="preserve">six times </w:t>
      </w:r>
      <w:r w:rsidR="00D9151A">
        <w:t xml:space="preserve">under the chairmanship of Dr Georg W. Mair. Delegates from Belgium, China, Germany, Sweden, United Kingdom, United </w:t>
      </w:r>
      <w:r w:rsidR="00D9151A" w:rsidRPr="008B292F">
        <w:t>States</w:t>
      </w:r>
      <w:r w:rsidR="00D9151A">
        <w:t xml:space="preserve"> of America, </w:t>
      </w:r>
      <w:r w:rsidR="008554A5" w:rsidRPr="008554A5">
        <w:t>Compressed Gas Association</w:t>
      </w:r>
      <w:r w:rsidR="008554A5">
        <w:t xml:space="preserve"> (</w:t>
      </w:r>
      <w:r w:rsidR="00D9151A">
        <w:t>CGA</w:t>
      </w:r>
      <w:r w:rsidR="008554A5">
        <w:t>)</w:t>
      </w:r>
      <w:r w:rsidR="00D9151A">
        <w:t xml:space="preserve">, </w:t>
      </w:r>
      <w:r w:rsidR="005435E3">
        <w:t>European Cylinder Makers Association (</w:t>
      </w:r>
      <w:r w:rsidR="00D9151A">
        <w:t>ECMA</w:t>
      </w:r>
      <w:r w:rsidR="005435E3">
        <w:t>)</w:t>
      </w:r>
      <w:r w:rsidR="00D9151A">
        <w:t xml:space="preserve">, </w:t>
      </w:r>
      <w:r w:rsidR="00EC4766">
        <w:t>European Industrial Gases Association (</w:t>
      </w:r>
      <w:r w:rsidR="00D9151A">
        <w:t>EIGA</w:t>
      </w:r>
      <w:r w:rsidR="00EC4766">
        <w:t>)</w:t>
      </w:r>
      <w:r w:rsidR="00D9151A">
        <w:t xml:space="preserve"> and </w:t>
      </w:r>
      <w:r w:rsidR="002E0374">
        <w:t>International Organization for Standardization (</w:t>
      </w:r>
      <w:r w:rsidR="00D9151A">
        <w:t>ISO</w:t>
      </w:r>
      <w:r w:rsidR="002E0374">
        <w:t>)</w:t>
      </w:r>
      <w:r w:rsidR="00D9151A">
        <w:t xml:space="preserve"> joined the virtual meeting. The delegation from Germany provided the secretary.</w:t>
      </w:r>
    </w:p>
    <w:p w14:paraId="73D2AF48" w14:textId="51640596" w:rsidR="00D9151A" w:rsidRDefault="00A51785" w:rsidP="00A51785">
      <w:pPr>
        <w:pStyle w:val="SingleTxtG"/>
      </w:pPr>
      <w:r>
        <w:t>2.</w:t>
      </w:r>
      <w:r>
        <w:tab/>
      </w:r>
      <w:r w:rsidR="00D9151A">
        <w:t>The working group considered the following documents in its meetings:</w:t>
      </w:r>
    </w:p>
    <w:p w14:paraId="45A48CAF" w14:textId="411A8EE4" w:rsidR="00C33081" w:rsidRDefault="001B40F8" w:rsidP="004376E2">
      <w:pPr>
        <w:pStyle w:val="Bullet1G"/>
      </w:pPr>
      <w:r>
        <w:t>fifty-seventh</w:t>
      </w:r>
      <w:r w:rsidR="00850A14">
        <w:t xml:space="preserve"> s</w:t>
      </w:r>
      <w:r w:rsidR="00D9151A" w:rsidRPr="008B292F">
        <w:t xml:space="preserve">ession: </w:t>
      </w:r>
      <w:r w:rsidR="00D9151A" w:rsidRPr="008B292F">
        <w:tab/>
      </w:r>
      <w:r w:rsidR="00146B5F">
        <w:t xml:space="preserve">document </w:t>
      </w:r>
      <w:r w:rsidR="00D9151A" w:rsidRPr="008B292F">
        <w:t xml:space="preserve">ST/SG/AC.10/C.3/2020/18 with </w:t>
      </w:r>
      <w:r w:rsidR="00D35429">
        <w:t xml:space="preserve">informal documents </w:t>
      </w:r>
      <w:r w:rsidR="00D9151A" w:rsidRPr="008B292F">
        <w:t>INF</w:t>
      </w:r>
      <w:r w:rsidR="00232546">
        <w:t>.</w:t>
      </w:r>
      <w:r w:rsidR="00D9151A" w:rsidRPr="008B292F">
        <w:t>52 (ECMA) and INF</w:t>
      </w:r>
      <w:r w:rsidR="00232546">
        <w:t>.</w:t>
      </w:r>
      <w:r w:rsidR="00D9151A" w:rsidRPr="008B292F">
        <w:t>53 (G</w:t>
      </w:r>
      <w:r w:rsidR="00B965A6">
        <w:t>ermany</w:t>
      </w:r>
      <w:r w:rsidR="00D9151A" w:rsidRPr="008B292F">
        <w:t>)</w:t>
      </w:r>
      <w:r w:rsidR="002D06B8">
        <w:t>,</w:t>
      </w:r>
      <w:r w:rsidR="00D9151A" w:rsidRPr="008B292F">
        <w:t xml:space="preserve"> and report ST/SG/AC.10/C.3/114</w:t>
      </w:r>
      <w:r w:rsidR="00D35429">
        <w:t>;</w:t>
      </w:r>
    </w:p>
    <w:p w14:paraId="11C4BB87" w14:textId="07862A89" w:rsidR="00850A14" w:rsidRDefault="00AC5ADA" w:rsidP="004376E2">
      <w:pPr>
        <w:pStyle w:val="Bullet1G"/>
      </w:pPr>
      <w:r>
        <w:t>fifty-eighth</w:t>
      </w:r>
      <w:r w:rsidR="00850A14">
        <w:t xml:space="preserve"> s</w:t>
      </w:r>
      <w:r w:rsidR="00D9151A" w:rsidRPr="008B292F">
        <w:t xml:space="preserve">ession: </w:t>
      </w:r>
      <w:r w:rsidR="00D9151A" w:rsidRPr="008B292F">
        <w:tab/>
      </w:r>
      <w:r w:rsidR="00D35429">
        <w:t xml:space="preserve">informal document </w:t>
      </w:r>
      <w:r w:rsidR="00D9151A" w:rsidRPr="008B292F">
        <w:t>INF</w:t>
      </w:r>
      <w:r w:rsidR="005C4A7C">
        <w:t>.</w:t>
      </w:r>
      <w:r w:rsidR="00D9151A" w:rsidRPr="008B292F">
        <w:t xml:space="preserve">38 </w:t>
      </w:r>
      <w:r w:rsidR="00D35429">
        <w:t>(58</w:t>
      </w:r>
      <w:r w:rsidR="00D35429" w:rsidRPr="00D35429">
        <w:rPr>
          <w:vertAlign w:val="superscript"/>
        </w:rPr>
        <w:t>th</w:t>
      </w:r>
      <w:r w:rsidR="00D35429">
        <w:t xml:space="preserve"> session) </w:t>
      </w:r>
      <w:r w:rsidR="00D9151A" w:rsidRPr="008B292F">
        <w:t>and report ST/SG/AC.10/C.3/116</w:t>
      </w:r>
      <w:r w:rsidR="00D35429">
        <w:t>;</w:t>
      </w:r>
    </w:p>
    <w:p w14:paraId="6FEC1E80" w14:textId="452A3DA6" w:rsidR="00850A14" w:rsidRDefault="00AC5ADA" w:rsidP="004376E2">
      <w:pPr>
        <w:pStyle w:val="Bullet1G"/>
      </w:pPr>
      <w:r>
        <w:t xml:space="preserve">fifty-ninth </w:t>
      </w:r>
      <w:r w:rsidR="00850A14">
        <w:t>s</w:t>
      </w:r>
      <w:r w:rsidR="00D9151A" w:rsidRPr="008B292F">
        <w:t xml:space="preserve">ession: </w:t>
      </w:r>
      <w:r w:rsidR="00D9151A" w:rsidRPr="008B292F">
        <w:tab/>
      </w:r>
      <w:r w:rsidR="00D35429">
        <w:t xml:space="preserve">informal document </w:t>
      </w:r>
      <w:r w:rsidR="00D9151A" w:rsidRPr="008B292F">
        <w:t>INF</w:t>
      </w:r>
      <w:r w:rsidR="005C4A7C">
        <w:t>.</w:t>
      </w:r>
      <w:r w:rsidR="00D9151A" w:rsidRPr="008B292F">
        <w:t xml:space="preserve">18 </w:t>
      </w:r>
      <w:r w:rsidR="00D35429">
        <w:t>(59</w:t>
      </w:r>
      <w:r w:rsidR="00D35429" w:rsidRPr="00D35429">
        <w:rPr>
          <w:vertAlign w:val="superscript"/>
        </w:rPr>
        <w:t>th</w:t>
      </w:r>
      <w:r w:rsidR="00D35429">
        <w:t xml:space="preserve"> session) </w:t>
      </w:r>
      <w:r w:rsidR="00D9151A" w:rsidRPr="008B292F">
        <w:t>and report ST/SG/AC.10/C.3/118</w:t>
      </w:r>
      <w:r w:rsidR="00D35429">
        <w:t>;</w:t>
      </w:r>
    </w:p>
    <w:p w14:paraId="2C2CB509" w14:textId="092DCC18" w:rsidR="00850A14" w:rsidRDefault="00AC5ADA" w:rsidP="004376E2">
      <w:pPr>
        <w:pStyle w:val="Bullet1G"/>
      </w:pPr>
      <w:r>
        <w:t>sixtieth</w:t>
      </w:r>
      <w:r w:rsidR="00235E2C">
        <w:t xml:space="preserve"> </w:t>
      </w:r>
      <w:r w:rsidR="00850A14">
        <w:t>s</w:t>
      </w:r>
      <w:r w:rsidR="00D9151A" w:rsidRPr="008B292F">
        <w:t xml:space="preserve">ession: </w:t>
      </w:r>
      <w:r w:rsidR="00D9151A" w:rsidRPr="008B292F">
        <w:tab/>
      </w:r>
      <w:r w:rsidR="00D35429">
        <w:t xml:space="preserve">informal document </w:t>
      </w:r>
      <w:r w:rsidR="00D9151A" w:rsidRPr="008B292F">
        <w:t>INF</w:t>
      </w:r>
      <w:r w:rsidR="005C4A7C">
        <w:t>.</w:t>
      </w:r>
      <w:r w:rsidR="00D9151A" w:rsidRPr="008B292F">
        <w:t xml:space="preserve">37 </w:t>
      </w:r>
      <w:r w:rsidR="00D35429">
        <w:t>(60</w:t>
      </w:r>
      <w:r w:rsidR="00D35429" w:rsidRPr="00D35429">
        <w:rPr>
          <w:vertAlign w:val="superscript"/>
        </w:rPr>
        <w:t>th</w:t>
      </w:r>
      <w:r w:rsidR="00D35429">
        <w:t xml:space="preserve"> session) </w:t>
      </w:r>
      <w:r w:rsidR="00D9151A" w:rsidRPr="008B292F">
        <w:t>and report ST/SG/AC.10/C.3/120</w:t>
      </w:r>
      <w:r w:rsidR="00D35429">
        <w:t>;</w:t>
      </w:r>
    </w:p>
    <w:p w14:paraId="749B5411" w14:textId="7693CE56" w:rsidR="00D9151A" w:rsidRPr="008B292F" w:rsidRDefault="00235E2C" w:rsidP="004376E2">
      <w:pPr>
        <w:pStyle w:val="Bullet1G"/>
      </w:pPr>
      <w:r>
        <w:t xml:space="preserve">sixty-first </w:t>
      </w:r>
      <w:r w:rsidR="00850A14">
        <w:t>s</w:t>
      </w:r>
      <w:r w:rsidR="00D9151A" w:rsidRPr="008B292F">
        <w:t>ession:</w:t>
      </w:r>
      <w:r w:rsidR="00D9151A" w:rsidRPr="008B292F">
        <w:tab/>
      </w:r>
      <w:r w:rsidR="00D35429">
        <w:t xml:space="preserve">informal document </w:t>
      </w:r>
      <w:r w:rsidR="00D9151A" w:rsidRPr="008B292F">
        <w:t>INF</w:t>
      </w:r>
      <w:r w:rsidR="005C4A7C">
        <w:t>.</w:t>
      </w:r>
      <w:r w:rsidR="00D9151A" w:rsidRPr="008B292F">
        <w:t xml:space="preserve">41 </w:t>
      </w:r>
      <w:r w:rsidR="00D35429">
        <w:t>(61</w:t>
      </w:r>
      <w:r w:rsidR="00D35429" w:rsidRPr="00D35429">
        <w:rPr>
          <w:vertAlign w:val="superscript"/>
        </w:rPr>
        <w:t>st</w:t>
      </w:r>
      <w:r w:rsidR="00D35429">
        <w:t xml:space="preserve"> session) </w:t>
      </w:r>
      <w:r w:rsidR="00D9151A" w:rsidRPr="008B292F">
        <w:t>and report ST/SG/AC.10/C.3/122</w:t>
      </w:r>
      <w:r w:rsidR="00D35429">
        <w:t>.</w:t>
      </w:r>
    </w:p>
    <w:p w14:paraId="20EA29FA" w14:textId="77777777" w:rsidR="004376E2" w:rsidRDefault="00D9151A" w:rsidP="004376E2">
      <w:pPr>
        <w:pStyle w:val="SingleTxtG"/>
        <w:ind w:left="1701"/>
      </w:pPr>
      <w:r>
        <w:t xml:space="preserve">The above listed informal </w:t>
      </w:r>
      <w:r w:rsidR="00FC66DF">
        <w:t>documents</w:t>
      </w:r>
      <w:r>
        <w:t xml:space="preserve"> presented at the 58</w:t>
      </w:r>
      <w:r>
        <w:rPr>
          <w:vertAlign w:val="superscript"/>
        </w:rPr>
        <w:t>th</w:t>
      </w:r>
      <w:r>
        <w:t>, 59</w:t>
      </w:r>
      <w:r>
        <w:rPr>
          <w:vertAlign w:val="superscript"/>
        </w:rPr>
        <w:t>th</w:t>
      </w:r>
      <w:r>
        <w:t>, 60</w:t>
      </w:r>
      <w:r>
        <w:rPr>
          <w:vertAlign w:val="superscript"/>
        </w:rPr>
        <w:t>th</w:t>
      </w:r>
      <w:r>
        <w:t xml:space="preserve"> and 61</w:t>
      </w:r>
      <w:r>
        <w:rPr>
          <w:vertAlign w:val="superscript"/>
        </w:rPr>
        <w:t>st</w:t>
      </w:r>
      <w:r>
        <w:t xml:space="preserve"> sessions </w:t>
      </w:r>
      <w:r w:rsidR="00B6373A">
        <w:t xml:space="preserve">of the Sub-Committee </w:t>
      </w:r>
      <w:r>
        <w:t>provide the reports of the working group meetings and information about discussed details and rationales</w:t>
      </w:r>
      <w:r w:rsidR="00EF3CBF">
        <w:t>.</w:t>
      </w:r>
    </w:p>
    <w:p w14:paraId="21495B9D" w14:textId="2009540D" w:rsidR="00D9151A" w:rsidRDefault="00A51785" w:rsidP="004376E2">
      <w:pPr>
        <w:pStyle w:val="SingleTxtG"/>
        <w:rPr>
          <w:rFonts w:eastAsia="Times New Roman"/>
        </w:rPr>
      </w:pPr>
      <w:r>
        <w:lastRenderedPageBreak/>
        <w:t>3.</w:t>
      </w:r>
      <w:r>
        <w:tab/>
      </w:r>
      <w:r w:rsidR="00D9151A">
        <w:t xml:space="preserve">The working group had its sixth online-meeting on the 9 February 2023 from 1 to 4 p.m. Geneva time (CET). In total 13 </w:t>
      </w:r>
      <w:r w:rsidR="00D9151A" w:rsidRPr="004376E2">
        <w:t>delegates</w:t>
      </w:r>
      <w:r w:rsidR="00D9151A">
        <w:t xml:space="preserve"> from Germany, Sweden, United Kingdom, United States of America, CGA, ECMA and EIGA joined the meeting.</w:t>
      </w:r>
    </w:p>
    <w:p w14:paraId="164C5F05" w14:textId="56CF97D5" w:rsidR="00D9151A" w:rsidRPr="00F42AED" w:rsidRDefault="00A51785" w:rsidP="00A51785">
      <w:pPr>
        <w:pStyle w:val="SingleTxtG"/>
      </w:pPr>
      <w:r>
        <w:t>4.</w:t>
      </w:r>
      <w:r>
        <w:tab/>
      </w:r>
      <w:r w:rsidR="00D9151A" w:rsidRPr="00F42AED">
        <w:t xml:space="preserve">For </w:t>
      </w:r>
      <w:r w:rsidR="002345AE">
        <w:t xml:space="preserve">the </w:t>
      </w:r>
      <w:r w:rsidR="00D9151A" w:rsidRPr="00F42AED">
        <w:t>preparation of the meetings</w:t>
      </w:r>
      <w:r w:rsidR="004A60F0">
        <w:t>,</w:t>
      </w:r>
      <w:r w:rsidR="00D9151A" w:rsidRPr="00F42AED">
        <w:t xml:space="preserve"> the Chair drafted and distributed an agenda, which was confirmed by the participants. The first five online meetings were guided by the usage of a prepared set of slides that are appended to the relevant reports including a few additional figures as discussed. The </w:t>
      </w:r>
      <w:r w:rsidR="004A60F0">
        <w:t>six</w:t>
      </w:r>
      <w:r w:rsidR="00D9151A" w:rsidRPr="00F42AED">
        <w:t xml:space="preserve">th meeting was prepared without a separate set of slides and tackled two main items: Is there new input on the already determined </w:t>
      </w:r>
      <w:proofErr w:type="spellStart"/>
      <w:r w:rsidR="00D9151A" w:rsidRPr="00F42AED">
        <w:t>pV</w:t>
      </w:r>
      <w:proofErr w:type="spellEnd"/>
      <w:r w:rsidR="00D9151A" w:rsidRPr="00F42AED">
        <w:t xml:space="preserve">-value of 1.5 </w:t>
      </w:r>
      <w:r w:rsidR="00F06EDF">
        <w:t>m</w:t>
      </w:r>
      <w:r w:rsidR="00D9151A" w:rsidRPr="00F42AED">
        <w:t>i</w:t>
      </w:r>
      <w:r w:rsidR="00DB7C5B">
        <w:t>llion</w:t>
      </w:r>
      <w:r w:rsidR="00D9151A" w:rsidRPr="00F42AED">
        <w:t xml:space="preserve"> bar litres? How should the detailed proposals for the change of the wording </w:t>
      </w:r>
      <w:r w:rsidR="00DB7C5B">
        <w:t>in</w:t>
      </w:r>
      <w:r w:rsidR="00D9151A" w:rsidRPr="00F42AED">
        <w:t xml:space="preserve"> the UN Model Regulations look like?</w:t>
      </w:r>
    </w:p>
    <w:p w14:paraId="0AE5F326" w14:textId="68926995" w:rsidR="00D9151A" w:rsidRPr="00F42AED" w:rsidRDefault="00A51785" w:rsidP="00F42AED">
      <w:pPr>
        <w:pStyle w:val="SingleTxtG"/>
      </w:pPr>
      <w:r>
        <w:t>5.</w:t>
      </w:r>
      <w:r>
        <w:tab/>
      </w:r>
      <w:r w:rsidR="00D9151A" w:rsidRPr="00F42AED">
        <w:t xml:space="preserve">Some representatives </w:t>
      </w:r>
      <w:r w:rsidR="00840CC9">
        <w:t>o</w:t>
      </w:r>
      <w:r w:rsidR="00D9151A" w:rsidRPr="00F42AED">
        <w:t xml:space="preserve">f EIGA and ECMA mentioned that the determined </w:t>
      </w:r>
      <w:proofErr w:type="spellStart"/>
      <w:r w:rsidR="00D9151A" w:rsidRPr="00F42AED">
        <w:t>pV</w:t>
      </w:r>
      <w:proofErr w:type="spellEnd"/>
      <w:r w:rsidR="00D9151A" w:rsidRPr="00F42AED">
        <w:t xml:space="preserve">-value of 1.5 </w:t>
      </w:r>
      <w:r w:rsidR="00BD3DA0">
        <w:t>m</w:t>
      </w:r>
      <w:r w:rsidR="00BD3DA0" w:rsidRPr="00F42AED">
        <w:t>i</w:t>
      </w:r>
      <w:r w:rsidR="00BD3DA0">
        <w:t>llion</w:t>
      </w:r>
      <w:r w:rsidR="00BD3DA0" w:rsidRPr="00F42AED">
        <w:t xml:space="preserve"> </w:t>
      </w:r>
      <w:r w:rsidR="00D9151A" w:rsidRPr="00F42AED">
        <w:t xml:space="preserve">bar litres does not cover a few designs approved by Special Permits in the </w:t>
      </w:r>
      <w:r w:rsidR="00BD3DA0">
        <w:t xml:space="preserve">United </w:t>
      </w:r>
      <w:r w:rsidR="00BD3DA0" w:rsidRPr="008B292F">
        <w:t>States</w:t>
      </w:r>
      <w:r w:rsidR="00BD3DA0">
        <w:t xml:space="preserve"> of America</w:t>
      </w:r>
      <w:r w:rsidR="00D9151A" w:rsidRPr="00F42AED">
        <w:t xml:space="preserve">. The representative </w:t>
      </w:r>
      <w:r w:rsidR="00D17E4C">
        <w:t>of</w:t>
      </w:r>
      <w:r w:rsidR="00D9151A" w:rsidRPr="00F42AED">
        <w:t xml:space="preserve"> US </w:t>
      </w:r>
      <w:r w:rsidR="00D17E4C">
        <w:t>Department of Transportation (</w:t>
      </w:r>
      <w:r w:rsidR="00D9151A" w:rsidRPr="00F42AED">
        <w:t>DOT</w:t>
      </w:r>
      <w:r w:rsidR="00D17E4C">
        <w:t>)</w:t>
      </w:r>
      <w:r w:rsidR="00D9151A" w:rsidRPr="00F42AED">
        <w:t xml:space="preserve"> and other representatives </w:t>
      </w:r>
      <w:r w:rsidR="00D17E4C">
        <w:t>of</w:t>
      </w:r>
      <w:r w:rsidR="00D9151A" w:rsidRPr="00F42AED">
        <w:t xml:space="preserve"> CGA, EIGA and Germany mentioned that for those case </w:t>
      </w:r>
      <w:r w:rsidR="00657AC8">
        <w:t xml:space="preserve">of </w:t>
      </w:r>
      <w:r w:rsidR="00D9151A" w:rsidRPr="00F42AED">
        <w:t xml:space="preserve">Special Permits additional requirements and safety measures apply, when going beyond the design standards. An implementation of a </w:t>
      </w:r>
      <w:proofErr w:type="spellStart"/>
      <w:r w:rsidR="00D9151A" w:rsidRPr="00F42AED">
        <w:t>pV</w:t>
      </w:r>
      <w:proofErr w:type="spellEnd"/>
      <w:r w:rsidR="00D9151A" w:rsidRPr="00F42AED">
        <w:t xml:space="preserve">-limit for pressure receptacles would not restrict the use of those Special Permits. Consequently, the value of 1.5 </w:t>
      </w:r>
      <w:r w:rsidR="00D33845">
        <w:t>m</w:t>
      </w:r>
      <w:r w:rsidR="00D33845" w:rsidRPr="00F42AED">
        <w:t>i</w:t>
      </w:r>
      <w:r w:rsidR="00D33845">
        <w:t>llion</w:t>
      </w:r>
      <w:r w:rsidR="00D33845" w:rsidRPr="00F42AED">
        <w:t xml:space="preserve"> </w:t>
      </w:r>
      <w:r w:rsidR="00D9151A" w:rsidRPr="00F42AED">
        <w:t xml:space="preserve">bar litres does not limit the market and there is no valid rationale for increasing the value beyond 1.5 </w:t>
      </w:r>
      <w:r w:rsidR="00A02E71">
        <w:t>m</w:t>
      </w:r>
      <w:r w:rsidR="00A02E71" w:rsidRPr="00F42AED">
        <w:t>i</w:t>
      </w:r>
      <w:r w:rsidR="00A02E71">
        <w:t>llion</w:t>
      </w:r>
      <w:r w:rsidR="00A02E71" w:rsidRPr="00F42AED">
        <w:t xml:space="preserve"> </w:t>
      </w:r>
      <w:r w:rsidR="00D9151A" w:rsidRPr="00F42AED">
        <w:t xml:space="preserve">bar litres. The </w:t>
      </w:r>
      <w:r w:rsidR="00D96044">
        <w:t>C</w:t>
      </w:r>
      <w:r w:rsidR="00D9151A" w:rsidRPr="00F42AED">
        <w:t xml:space="preserve">hair summarized and concluded the discussion: Most representatives confirmed the value of 1.5 </w:t>
      </w:r>
      <w:r w:rsidR="00D96044">
        <w:t>m</w:t>
      </w:r>
      <w:r w:rsidR="00D96044" w:rsidRPr="00F42AED">
        <w:t>i</w:t>
      </w:r>
      <w:r w:rsidR="00D96044">
        <w:t>llion</w:t>
      </w:r>
      <w:r w:rsidR="00D96044" w:rsidRPr="00F42AED">
        <w:t xml:space="preserve"> </w:t>
      </w:r>
      <w:r w:rsidR="00D9151A" w:rsidRPr="00F42AED">
        <w:t xml:space="preserve">bar litres (based on PH) for the intended implementation of a </w:t>
      </w:r>
      <w:proofErr w:type="spellStart"/>
      <w:r w:rsidR="00D9151A" w:rsidRPr="00F42AED">
        <w:t>pV</w:t>
      </w:r>
      <w:proofErr w:type="spellEnd"/>
      <w:r w:rsidR="00D9151A" w:rsidRPr="00F42AED">
        <w:t>-limit for pressure receptacles.</w:t>
      </w:r>
    </w:p>
    <w:p w14:paraId="32ADB25A" w14:textId="0DF1906C" w:rsidR="00D9151A" w:rsidRDefault="00F42AED" w:rsidP="00F42AED">
      <w:pPr>
        <w:pStyle w:val="SingleTxtG"/>
      </w:pPr>
      <w:r>
        <w:tab/>
        <w:t>6.</w:t>
      </w:r>
      <w:r>
        <w:tab/>
      </w:r>
      <w:r w:rsidR="00D9151A">
        <w:t xml:space="preserve">One representative shared a raised question about the need of a limitation by a </w:t>
      </w:r>
      <w:proofErr w:type="spellStart"/>
      <w:r w:rsidR="00D9151A">
        <w:t>pV</w:t>
      </w:r>
      <w:proofErr w:type="spellEnd"/>
      <w:r w:rsidR="00D9151A">
        <w:t xml:space="preserve">-product as no safety problems occurred in the last years. EIGA stated that there is no safety problem at the moment, but a clear market development is in evidence for pressure receptacles with increased pressure. Standards, e.g. ISO 11515, addresses designs of large tubes with very high pressures, which means </w:t>
      </w:r>
      <w:proofErr w:type="spellStart"/>
      <w:r w:rsidR="00D9151A">
        <w:t>pV</w:t>
      </w:r>
      <w:proofErr w:type="spellEnd"/>
      <w:r w:rsidR="00D9151A">
        <w:t xml:space="preserve">-products far beyond the discussed 1.5 </w:t>
      </w:r>
      <w:r w:rsidR="0069534D">
        <w:t>m</w:t>
      </w:r>
      <w:r w:rsidR="0069534D" w:rsidRPr="00F42AED">
        <w:t>i</w:t>
      </w:r>
      <w:r w:rsidR="0069534D">
        <w:t>llion</w:t>
      </w:r>
      <w:r w:rsidR="0069534D" w:rsidRPr="00F42AED">
        <w:t xml:space="preserve"> </w:t>
      </w:r>
      <w:r w:rsidR="00D9151A">
        <w:t xml:space="preserve">bar litres. The </w:t>
      </w:r>
      <w:r w:rsidR="0069534D">
        <w:t>C</w:t>
      </w:r>
      <w:r w:rsidR="00D9151A">
        <w:t xml:space="preserve">hair </w:t>
      </w:r>
      <w:r w:rsidR="00D9151A" w:rsidRPr="00F42AED">
        <w:t>expressed</w:t>
      </w:r>
      <w:r w:rsidR="00D9151A">
        <w:t xml:space="preserve">, that new high-pressure containments with a very high water-capacity open new categories of consequences and will need a different and possibly more complex approval approach. That should potentially be based on risk assessment and more focussing on population density along the transport routes. Currently, the value of 1.5 </w:t>
      </w:r>
      <w:r w:rsidR="0067442E">
        <w:t>m</w:t>
      </w:r>
      <w:r w:rsidR="0067442E" w:rsidRPr="00F42AED">
        <w:t>i</w:t>
      </w:r>
      <w:r w:rsidR="0067442E">
        <w:t>llion</w:t>
      </w:r>
      <w:r w:rsidR="0067442E" w:rsidRPr="00F42AED">
        <w:t xml:space="preserve"> </w:t>
      </w:r>
      <w:r w:rsidR="00D9151A">
        <w:t xml:space="preserve">bar litres does not limit the market and new developments but defines a limit for unaccepted consequences in </w:t>
      </w:r>
      <w:r w:rsidR="00236C45">
        <w:t xml:space="preserve">the </w:t>
      </w:r>
      <w:r w:rsidR="00D9151A">
        <w:t>case of an incident, which is important for the acceptance of gas transport in pressure receptacles.</w:t>
      </w:r>
    </w:p>
    <w:p w14:paraId="4C9FED5A" w14:textId="672C6171" w:rsidR="00D9151A" w:rsidRDefault="00EC2831" w:rsidP="00EC2831">
      <w:pPr>
        <w:pStyle w:val="SingleTxtG"/>
      </w:pPr>
      <w:r>
        <w:tab/>
        <w:t>7.</w:t>
      </w:r>
      <w:r>
        <w:tab/>
      </w:r>
      <w:r w:rsidR="00D9151A">
        <w:t xml:space="preserve">Finally, all members of the </w:t>
      </w:r>
      <w:r w:rsidR="004113B9">
        <w:t xml:space="preserve">working </w:t>
      </w:r>
      <w:r w:rsidR="00D9151A">
        <w:t xml:space="preserve">group agreed to the introduction of a </w:t>
      </w:r>
      <w:proofErr w:type="spellStart"/>
      <w:r w:rsidR="00D9151A">
        <w:t>pV</w:t>
      </w:r>
      <w:proofErr w:type="spellEnd"/>
      <w:r w:rsidR="00D9151A">
        <w:t xml:space="preserve">-limit with a value of 1.5 </w:t>
      </w:r>
      <w:r w:rsidR="00450E5C">
        <w:t>m</w:t>
      </w:r>
      <w:r w:rsidR="00450E5C" w:rsidRPr="00F42AED">
        <w:t>i</w:t>
      </w:r>
      <w:r w:rsidR="00450E5C">
        <w:t>llion</w:t>
      </w:r>
      <w:r w:rsidR="00450E5C" w:rsidRPr="00F42AED">
        <w:t xml:space="preserve"> </w:t>
      </w:r>
      <w:r w:rsidR="00D9151A">
        <w:t>bar litres for pressure receptacles.</w:t>
      </w:r>
    </w:p>
    <w:p w14:paraId="2E617A8D" w14:textId="69F82CB8" w:rsidR="00D9151A" w:rsidRDefault="00EC2831" w:rsidP="00EC2831">
      <w:pPr>
        <w:pStyle w:val="SingleTxtG"/>
      </w:pPr>
      <w:r>
        <w:tab/>
        <w:t>8.</w:t>
      </w:r>
      <w:r>
        <w:tab/>
      </w:r>
      <w:r w:rsidR="00D9151A">
        <w:t xml:space="preserve">Containments with a water capacity of more than 3000 litres or a higher </w:t>
      </w:r>
      <w:proofErr w:type="spellStart"/>
      <w:r w:rsidR="00D9151A">
        <w:t>pV</w:t>
      </w:r>
      <w:proofErr w:type="spellEnd"/>
      <w:r w:rsidR="00D9151A">
        <w:t xml:space="preserve">-product than 1.5 </w:t>
      </w:r>
      <w:r w:rsidR="00450E5C">
        <w:t>m</w:t>
      </w:r>
      <w:r w:rsidR="00450E5C" w:rsidRPr="00F42AED">
        <w:t>i</w:t>
      </w:r>
      <w:r w:rsidR="00450E5C">
        <w:t>llion</w:t>
      </w:r>
      <w:r w:rsidR="00450E5C" w:rsidRPr="00F42AED">
        <w:t xml:space="preserve"> </w:t>
      </w:r>
      <w:r w:rsidR="00D9151A">
        <w:t>bar litres should be approved and operated under consideration of additional requirements like a risk assessment for the design under consideration of accidental loads, fatigue and service conditions.</w:t>
      </w:r>
    </w:p>
    <w:p w14:paraId="6CA7396E" w14:textId="2E3DEDEE" w:rsidR="00D9151A" w:rsidRDefault="007A676C" w:rsidP="00EC2831">
      <w:pPr>
        <w:pStyle w:val="SingleTxtG"/>
      </w:pPr>
      <w:r>
        <w:tab/>
        <w:t>9.</w:t>
      </w:r>
      <w:r>
        <w:tab/>
      </w:r>
      <w:r w:rsidR="00EB44A4">
        <w:t>The m</w:t>
      </w:r>
      <w:r w:rsidR="00D9151A">
        <w:t xml:space="preserve">andate </w:t>
      </w:r>
      <w:r w:rsidR="003A57B8">
        <w:t>of</w:t>
      </w:r>
      <w:r w:rsidR="00D9151A">
        <w:t xml:space="preserve"> this </w:t>
      </w:r>
      <w:r w:rsidR="003A57B8">
        <w:t xml:space="preserve">working </w:t>
      </w:r>
      <w:r w:rsidR="00D9151A">
        <w:t xml:space="preserve">group is to further discuss proposals 1 and 2 of </w:t>
      </w:r>
      <w:r w:rsidR="003A57B8">
        <w:t>document</w:t>
      </w:r>
      <w:r w:rsidR="00D9151A">
        <w:t xml:space="preserve"> ST/SG/AC.10/C.3/2020/18 and to submit </w:t>
      </w:r>
      <w:r w:rsidR="0028082C">
        <w:t xml:space="preserve">to the Sub-Committee </w:t>
      </w:r>
      <w:r w:rsidR="00D9151A">
        <w:t xml:space="preserve">a new proposal for consideration (para. 35 in report ST/SG/AC.10/C.3/114). Different proposals and options for the implementation of the </w:t>
      </w:r>
      <w:proofErr w:type="spellStart"/>
      <w:r w:rsidR="00D9151A">
        <w:t>pV</w:t>
      </w:r>
      <w:proofErr w:type="spellEnd"/>
      <w:r w:rsidR="00D9151A">
        <w:t xml:space="preserve">-limit in the UN Model Regulations </w:t>
      </w:r>
      <w:r w:rsidR="00E66A67">
        <w:t>we</w:t>
      </w:r>
      <w:r w:rsidR="00D9151A">
        <w:t xml:space="preserve">re presented in </w:t>
      </w:r>
      <w:r w:rsidR="006252C5">
        <w:t xml:space="preserve">informal document </w:t>
      </w:r>
      <w:r w:rsidR="00D9151A">
        <w:t>INF.41</w:t>
      </w:r>
      <w:r w:rsidR="006252C5">
        <w:t xml:space="preserve"> of the sixty-first session</w:t>
      </w:r>
      <w:r w:rsidR="00D9151A">
        <w:t xml:space="preserve">. At first the </w:t>
      </w:r>
      <w:r w:rsidR="00DF2A2A">
        <w:t xml:space="preserve">working </w:t>
      </w:r>
      <w:r w:rsidR="00D9151A">
        <w:t xml:space="preserve">group discussed and clarified </w:t>
      </w:r>
      <w:r w:rsidR="00376E0E">
        <w:t>whether</w:t>
      </w:r>
      <w:r w:rsidR="00D9151A">
        <w:t xml:space="preserve"> section 1.2.1 or chapter 6.2 should be considered. As the implementation of a </w:t>
      </w:r>
      <w:proofErr w:type="spellStart"/>
      <w:r w:rsidR="00D9151A">
        <w:t>pV</w:t>
      </w:r>
      <w:proofErr w:type="spellEnd"/>
      <w:r w:rsidR="00D9151A">
        <w:t>-limit for pressure receptacle</w:t>
      </w:r>
      <w:r w:rsidR="00D27A3B">
        <w:t>s</w:t>
      </w:r>
      <w:r w:rsidR="00D9151A">
        <w:t xml:space="preserve"> is </w:t>
      </w:r>
      <w:r w:rsidR="00AF7683">
        <w:t xml:space="preserve">a </w:t>
      </w:r>
      <w:r w:rsidR="00D9151A">
        <w:t>refinement for the definition for pressure receptacles and no</w:t>
      </w:r>
      <w:r w:rsidR="00AF7683">
        <w:t>t a</w:t>
      </w:r>
      <w:r w:rsidR="00D9151A">
        <w:t xml:space="preserve"> </w:t>
      </w:r>
      <w:r w:rsidR="00D9151A">
        <w:rPr>
          <w:rFonts w:ascii="TimesNewRomanPSMT" w:hAnsi="TimesNewRomanPSMT" w:cs="TimesNewRomanPSMT"/>
        </w:rPr>
        <w:t>requirement for the construction and testing of pressure receptacles</w:t>
      </w:r>
      <w:r w:rsidR="00DF2A2A">
        <w:rPr>
          <w:rFonts w:ascii="TimesNewRomanPSMT" w:hAnsi="TimesNewRomanPSMT" w:cs="TimesNewRomanPSMT"/>
        </w:rPr>
        <w:t>,</w:t>
      </w:r>
      <w:r w:rsidR="00D9151A">
        <w:rPr>
          <w:rFonts w:ascii="TimesNewRomanPSMT" w:hAnsi="TimesNewRomanPSMT" w:cs="TimesNewRomanPSMT"/>
        </w:rPr>
        <w:t xml:space="preserve"> the </w:t>
      </w:r>
      <w:r w:rsidR="00DF2A2A">
        <w:rPr>
          <w:rFonts w:ascii="TimesNewRomanPSMT" w:hAnsi="TimesNewRomanPSMT" w:cs="TimesNewRomanPSMT"/>
        </w:rPr>
        <w:t xml:space="preserve">working </w:t>
      </w:r>
      <w:r w:rsidR="00D9151A">
        <w:rPr>
          <w:rFonts w:ascii="TimesNewRomanPSMT" w:hAnsi="TimesNewRomanPSMT" w:cs="TimesNewRomanPSMT"/>
        </w:rPr>
        <w:t>group decided to work on a proposal for section 1.2.1.</w:t>
      </w:r>
    </w:p>
    <w:p w14:paraId="6653125E" w14:textId="0DCBF352" w:rsidR="00D9151A" w:rsidRDefault="007A676C" w:rsidP="00EC2831">
      <w:pPr>
        <w:pStyle w:val="SingleTxtG"/>
      </w:pPr>
      <w:r>
        <w:tab/>
        <w:t>10.</w:t>
      </w:r>
      <w:r>
        <w:tab/>
      </w:r>
      <w:r w:rsidR="00D9151A">
        <w:t xml:space="preserve">The </w:t>
      </w:r>
      <w:r w:rsidR="00591F37">
        <w:t xml:space="preserve">working </w:t>
      </w:r>
      <w:r w:rsidR="00D9151A">
        <w:t xml:space="preserve">group discussed </w:t>
      </w:r>
      <w:r w:rsidR="003A548E">
        <w:t xml:space="preserve">to address </w:t>
      </w:r>
      <w:r w:rsidR="00D9151A">
        <w:t xml:space="preserve">either the definition of pressure receptacles in general or the definitions of cylinders, tubes, bundles of cylinders, and salvage pressure receptacles. From </w:t>
      </w:r>
      <w:r w:rsidR="003736D0">
        <w:t xml:space="preserve">a </w:t>
      </w:r>
      <w:r w:rsidR="00D9151A">
        <w:t xml:space="preserve">safety perspective all kinds of pressure receptacles that may be filled with compressed gases need to be addressed. Pressure receptacles include cylinders, tubes, pressure drums, bundles of cylinders, salvage pressure receptacles and metal hydride storage systems, closed cryogenic receptacles. Due to their liquified or solid content the consequence of pressure drums, metal hydride storage systems and closed cryogenic receptacles is not driven by the criteria of pressure, on one hand. On the other hand, the limitation of a </w:t>
      </w:r>
      <w:proofErr w:type="spellStart"/>
      <w:r w:rsidR="00D9151A">
        <w:t>pV</w:t>
      </w:r>
      <w:proofErr w:type="spellEnd"/>
      <w:r w:rsidR="00D9151A">
        <w:t>-</w:t>
      </w:r>
      <w:r w:rsidR="00D9151A">
        <w:lastRenderedPageBreak/>
        <w:t>criteria would not limit current or future developments of those pressure receptacles.</w:t>
      </w:r>
      <w:r w:rsidR="00713FFC">
        <w:t xml:space="preserve"> </w:t>
      </w:r>
      <w:r w:rsidR="00D9151A">
        <w:t xml:space="preserve">Since </w:t>
      </w:r>
      <w:r w:rsidR="004D47C6">
        <w:t>in real life only</w:t>
      </w:r>
      <w:r w:rsidR="00D9151A">
        <w:t xml:space="preserve"> cylinders, tubes and bundles are expected to be impacted by a </w:t>
      </w:r>
      <w:proofErr w:type="spellStart"/>
      <w:r w:rsidR="00D9151A">
        <w:t>pV</w:t>
      </w:r>
      <w:proofErr w:type="spellEnd"/>
      <w:r w:rsidR="00D9151A">
        <w:t xml:space="preserve">-limit some members saw a problem in adding the </w:t>
      </w:r>
      <w:proofErr w:type="spellStart"/>
      <w:r w:rsidR="00D9151A">
        <w:t>pV</w:t>
      </w:r>
      <w:proofErr w:type="spellEnd"/>
      <w:r w:rsidR="00D9151A">
        <w:t xml:space="preserve">-limit to the general definition for pressure receptacles. An individual approach of adding the </w:t>
      </w:r>
      <w:proofErr w:type="spellStart"/>
      <w:r w:rsidR="00D9151A">
        <w:t>pV</w:t>
      </w:r>
      <w:proofErr w:type="spellEnd"/>
      <w:r w:rsidR="00D9151A">
        <w:t xml:space="preserve">-limitation </w:t>
      </w:r>
      <w:r w:rsidR="003A579D">
        <w:t>would make</w:t>
      </w:r>
      <w:r w:rsidR="00D9151A">
        <w:t xml:space="preserve"> it easier to add more relevant criteria appropriate for pressure drums, metal hydride storage systems and closed cryogenic receptacles</w:t>
      </w:r>
      <w:r w:rsidR="00E56028">
        <w:t>.</w:t>
      </w:r>
      <w:r w:rsidR="00D9151A">
        <w:t xml:space="preserve"> Others mentioned that there is no conflict if a type of pressure receptacle is not affected at all and preferred </w:t>
      </w:r>
      <w:r w:rsidR="009D7775">
        <w:t>a</w:t>
      </w:r>
      <w:r w:rsidR="00D9151A">
        <w:t xml:space="preserve"> simpler solution in the general definition.</w:t>
      </w:r>
    </w:p>
    <w:p w14:paraId="1BF47F16" w14:textId="34C6601E" w:rsidR="00D9151A" w:rsidRDefault="007A676C" w:rsidP="00EC2831">
      <w:pPr>
        <w:pStyle w:val="SingleTxtG"/>
      </w:pPr>
      <w:r>
        <w:t>11.</w:t>
      </w:r>
      <w:r>
        <w:tab/>
      </w:r>
      <w:r w:rsidR="00D9151A">
        <w:t xml:space="preserve">For </w:t>
      </w:r>
      <w:r w:rsidR="00722E86">
        <w:t xml:space="preserve">the sake of </w:t>
      </w:r>
      <w:r w:rsidR="00014935">
        <w:t>clarity,</w:t>
      </w:r>
      <w:r w:rsidR="00D9151A">
        <w:t xml:space="preserve"> the </w:t>
      </w:r>
      <w:r w:rsidR="004256DA">
        <w:t xml:space="preserve">working </w:t>
      </w:r>
      <w:r w:rsidR="00D9151A">
        <w:t xml:space="preserve">group decided to concentrate on separate definitions of cylinders, tubes, bundles of cylinders, and salvage pressure receptacles. Furthermore, the </w:t>
      </w:r>
      <w:r w:rsidR="001F0C9C">
        <w:t xml:space="preserve">working </w:t>
      </w:r>
      <w:r w:rsidR="00D9151A">
        <w:t>group aims to modify those long-term used definitions with minor changes to the existing text with most attention to the impact of the proposals to the regulations.</w:t>
      </w:r>
    </w:p>
    <w:p w14:paraId="0DBC27CB" w14:textId="4EE7EFC6" w:rsidR="00D9151A" w:rsidRDefault="007A676C" w:rsidP="00EC2831">
      <w:pPr>
        <w:pStyle w:val="SingleTxtG"/>
      </w:pPr>
      <w:r>
        <w:t>12.</w:t>
      </w:r>
      <w:r>
        <w:tab/>
      </w:r>
      <w:r w:rsidR="00D9151A">
        <w:t>For completeness, the working group ask</w:t>
      </w:r>
      <w:r w:rsidR="00E466FD">
        <w:t>s</w:t>
      </w:r>
      <w:r w:rsidR="00D9151A">
        <w:t xml:space="preserve"> the Sub-Committee to pay attention to the issue raised in </w:t>
      </w:r>
      <w:r w:rsidR="004147C3">
        <w:t xml:space="preserve">informal </w:t>
      </w:r>
      <w:r w:rsidR="00D9151A">
        <w:t>document INF.41</w:t>
      </w:r>
      <w:r w:rsidR="00D02F1A">
        <w:t xml:space="preserve"> of the sixty-first session</w:t>
      </w:r>
      <w:r w:rsidR="00670EA2">
        <w:t>:</w:t>
      </w:r>
      <w:r w:rsidR="00D9151A">
        <w:t xml:space="preserve"> Each gas with its specific properties has an impact on consequences. The proposals </w:t>
      </w:r>
      <w:r w:rsidR="006E2B61">
        <w:t>we</w:t>
      </w:r>
      <w:r w:rsidR="00D9151A">
        <w:t xml:space="preserve">re based on the analysis of pressure receptacles filled with hydrogen and </w:t>
      </w:r>
      <w:r w:rsidR="00324661">
        <w:t>offer</w:t>
      </w:r>
      <w:r w:rsidR="00D9151A">
        <w:t xml:space="preserve"> a framework for the definition of a pressure receptacle but may need further </w:t>
      </w:r>
      <w:proofErr w:type="spellStart"/>
      <w:r w:rsidR="00D9151A">
        <w:t>pV</w:t>
      </w:r>
      <w:proofErr w:type="spellEnd"/>
      <w:r w:rsidR="00D9151A">
        <w:t xml:space="preserve">-limitation for several gases. This discussion on gas-specific </w:t>
      </w:r>
      <w:proofErr w:type="spellStart"/>
      <w:r w:rsidR="00D9151A">
        <w:t>pV</w:t>
      </w:r>
      <w:proofErr w:type="spellEnd"/>
      <w:r w:rsidR="00D9151A">
        <w:t>-limits in addition to the general limitation of the containments has not been part of the scope of the intersessional working group</w:t>
      </w:r>
      <w:r w:rsidR="005E0693">
        <w:t xml:space="preserve"> </w:t>
      </w:r>
      <w:r w:rsidR="00336D8A">
        <w:t>considerations</w:t>
      </w:r>
      <w:r w:rsidR="00D9151A">
        <w:t>.</w:t>
      </w:r>
    </w:p>
    <w:p w14:paraId="064F3E16" w14:textId="365F285B" w:rsidR="00D9151A" w:rsidRDefault="007A676C" w:rsidP="00EC2831">
      <w:pPr>
        <w:pStyle w:val="SingleTxtG"/>
      </w:pPr>
      <w:r>
        <w:tab/>
        <w:t>13.</w:t>
      </w:r>
      <w:r>
        <w:tab/>
      </w:r>
      <w:r w:rsidR="00D9151A">
        <w:t xml:space="preserve">As </w:t>
      </w:r>
      <w:r w:rsidR="00336D8A">
        <w:t xml:space="preserve">a </w:t>
      </w:r>
      <w:r w:rsidR="00D9151A">
        <w:t xml:space="preserve">last item of </w:t>
      </w:r>
      <w:r w:rsidR="007B0E5A">
        <w:t>its</w:t>
      </w:r>
      <w:r w:rsidR="00D9151A">
        <w:t xml:space="preserve"> </w:t>
      </w:r>
      <w:r w:rsidR="00336D8A">
        <w:t xml:space="preserve">sixth </w:t>
      </w:r>
      <w:r w:rsidR="007B0E5A">
        <w:t xml:space="preserve">informal </w:t>
      </w:r>
      <w:r w:rsidR="00D9151A">
        <w:t xml:space="preserve">meeting, the </w:t>
      </w:r>
      <w:r w:rsidR="007B0E5A">
        <w:t xml:space="preserve">working group </w:t>
      </w:r>
      <w:r w:rsidR="00D9151A">
        <w:t>revised the final wording of recommendations as presented below.</w:t>
      </w:r>
    </w:p>
    <w:p w14:paraId="290D9355" w14:textId="7B6EE05A" w:rsidR="00D9151A" w:rsidRDefault="007A676C" w:rsidP="00EC2831">
      <w:pPr>
        <w:pStyle w:val="SingleTxtG"/>
      </w:pPr>
      <w:r>
        <w:tab/>
        <w:t>14.</w:t>
      </w:r>
      <w:r>
        <w:tab/>
      </w:r>
      <w:r w:rsidR="00D9151A">
        <w:t>The working group asks the Sub-Committee to discuss the following proposals and to take decisions</w:t>
      </w:r>
      <w:r w:rsidR="00356BFB">
        <w:t>, as appropr</w:t>
      </w:r>
      <w:r w:rsidR="004D4360">
        <w:t>iate</w:t>
      </w:r>
      <w:r w:rsidR="00D9151A">
        <w:t>.</w:t>
      </w:r>
    </w:p>
    <w:p w14:paraId="2A6675DE" w14:textId="1A4E54D5" w:rsidR="00D9151A" w:rsidRDefault="007A676C" w:rsidP="007A676C">
      <w:pPr>
        <w:pStyle w:val="HChG"/>
        <w:rPr>
          <w:rFonts w:eastAsia="Times New Roman"/>
        </w:rPr>
      </w:pPr>
      <w:r>
        <w:tab/>
      </w:r>
      <w:r>
        <w:tab/>
      </w:r>
      <w:r w:rsidR="00D9151A">
        <w:tab/>
        <w:t xml:space="preserve">Proposals of the </w:t>
      </w:r>
      <w:r w:rsidR="0064795E">
        <w:t>w</w:t>
      </w:r>
      <w:r w:rsidR="00D9151A">
        <w:t xml:space="preserve">orking </w:t>
      </w:r>
      <w:r w:rsidR="0064795E">
        <w:t>g</w:t>
      </w:r>
      <w:r w:rsidR="00D9151A">
        <w:t xml:space="preserve">roup </w:t>
      </w:r>
      <w:r w:rsidR="0064795E">
        <w:t>including</w:t>
      </w:r>
      <w:r w:rsidR="00D9151A">
        <w:t xml:space="preserve"> </w:t>
      </w:r>
      <w:r w:rsidR="0064795E">
        <w:t>r</w:t>
      </w:r>
      <w:r w:rsidR="00D9151A">
        <w:t>ationales</w:t>
      </w:r>
    </w:p>
    <w:p w14:paraId="37C48C75" w14:textId="3BECAE7C" w:rsidR="00D9151A" w:rsidRDefault="007A676C" w:rsidP="007A676C">
      <w:pPr>
        <w:pStyle w:val="SingleTxtG"/>
      </w:pPr>
      <w:r>
        <w:tab/>
        <w:t>15.</w:t>
      </w:r>
      <w:r>
        <w:tab/>
      </w:r>
      <w:r w:rsidR="00D9151A">
        <w:t xml:space="preserve">As result from the </w:t>
      </w:r>
      <w:r w:rsidR="0082196F">
        <w:t>six</w:t>
      </w:r>
      <w:r w:rsidR="00D9151A">
        <w:t xml:space="preserve"> meetings, the working group proposes the following </w:t>
      </w:r>
      <w:r w:rsidR="0082196F">
        <w:t>four</w:t>
      </w:r>
      <w:r w:rsidR="00D9151A">
        <w:t xml:space="preserve"> </w:t>
      </w:r>
      <w:r w:rsidR="00650C58">
        <w:t>amendments to</w:t>
      </w:r>
      <w:r w:rsidR="00D9151A">
        <w:t xml:space="preserve"> the current wording </w:t>
      </w:r>
      <w:r w:rsidR="00650C58">
        <w:t>of</w:t>
      </w:r>
      <w:r w:rsidR="00D9151A">
        <w:t xml:space="preserve"> the UN Model Regulations</w:t>
      </w:r>
      <w:r w:rsidR="00A24F54">
        <w:t xml:space="preserve">. </w:t>
      </w:r>
      <w:r w:rsidR="00A24F54" w:rsidRPr="00A24F54">
        <w:t xml:space="preserve">Since the </w:t>
      </w:r>
      <w:proofErr w:type="spellStart"/>
      <w:r w:rsidR="00A24F54" w:rsidRPr="00A24F54">
        <w:t>pV</w:t>
      </w:r>
      <w:proofErr w:type="spellEnd"/>
      <w:r w:rsidR="00A24F54" w:rsidRPr="00A24F54">
        <w:t>-product focus</w:t>
      </w:r>
      <w:r w:rsidR="00A24F54">
        <w:t>es</w:t>
      </w:r>
      <w:r w:rsidR="00A24F54" w:rsidRPr="00A24F54">
        <w:t xml:space="preserve"> on pressure receptacles for compressed gases, proposals 1 and 2 do not address all kinds of pressure receptacles. </w:t>
      </w:r>
      <w:r w:rsidR="007E427E">
        <w:t>To avoid confusion</w:t>
      </w:r>
      <w:r w:rsidR="00A24F54" w:rsidRPr="00A24F54">
        <w:t>,</w:t>
      </w:r>
      <w:r w:rsidR="00BC65EB">
        <w:t xml:space="preserve"> th</w:t>
      </w:r>
      <w:r w:rsidR="007601F8">
        <w:t>e</w:t>
      </w:r>
      <w:r w:rsidR="00BC65EB">
        <w:t xml:space="preserve"> following</w:t>
      </w:r>
      <w:r w:rsidR="00A24F54" w:rsidRPr="00A24F54">
        <w:t xml:space="preserve"> proposal 1 addresses cylinders</w:t>
      </w:r>
      <w:r w:rsidR="005B47F7">
        <w:t xml:space="preserve"> and</w:t>
      </w:r>
      <w:r w:rsidR="00A24F54" w:rsidRPr="00A24F54">
        <w:t xml:space="preserve"> tubes</w:t>
      </w:r>
      <w:r w:rsidR="005B47F7">
        <w:t>,</w:t>
      </w:r>
      <w:r w:rsidR="00A24F54" w:rsidRPr="00A24F54">
        <w:t xml:space="preserve"> and proposal 2 </w:t>
      </w:r>
      <w:r w:rsidR="007601F8">
        <w:t xml:space="preserve">below </w:t>
      </w:r>
      <w:r w:rsidR="00A24F54" w:rsidRPr="00A24F54">
        <w:t>bundles of cylinders.</w:t>
      </w:r>
      <w:r w:rsidR="00235A02">
        <w:rPr>
          <w:rStyle w:val="FootnoteReference"/>
        </w:rPr>
        <w:footnoteReference w:id="3"/>
      </w:r>
    </w:p>
    <w:p w14:paraId="0A4D30EF" w14:textId="1F49BF8C" w:rsidR="00D9151A" w:rsidRDefault="007A676C" w:rsidP="007A676C">
      <w:pPr>
        <w:pStyle w:val="H1G"/>
        <w:rPr>
          <w:rFonts w:eastAsiaTheme="minorHAnsi"/>
          <w:color w:val="000000"/>
          <w:sz w:val="22"/>
          <w:szCs w:val="22"/>
        </w:rPr>
      </w:pPr>
      <w:r>
        <w:tab/>
      </w:r>
      <w:r>
        <w:tab/>
      </w:r>
      <w:r w:rsidR="00D9151A">
        <w:t>Proposal 1</w:t>
      </w:r>
    </w:p>
    <w:p w14:paraId="4E5AFECA" w14:textId="70E03785" w:rsidR="00D9151A" w:rsidRDefault="007A676C" w:rsidP="007A676C">
      <w:pPr>
        <w:pStyle w:val="SingleTxtG"/>
      </w:pPr>
      <w:r>
        <w:tab/>
        <w:t>16.</w:t>
      </w:r>
      <w:r>
        <w:tab/>
      </w:r>
      <w:r w:rsidR="00DE47EE">
        <w:t>Amend</w:t>
      </w:r>
      <w:r w:rsidR="00D9151A">
        <w:t xml:space="preserve"> the definition for cylinder and tube in section 1.2.1 </w:t>
      </w:r>
      <w:r w:rsidR="002F55D0">
        <w:t xml:space="preserve">to read </w:t>
      </w:r>
      <w:r w:rsidR="00D9151A">
        <w:t>as follows</w:t>
      </w:r>
      <w:r w:rsidR="00825AA9">
        <w:t xml:space="preserve"> (new text is underlined)</w:t>
      </w:r>
      <w:r w:rsidR="00D9151A">
        <w:t>:</w:t>
      </w:r>
    </w:p>
    <w:p w14:paraId="13ED6D8B" w14:textId="1C062AAD" w:rsidR="00D9151A" w:rsidRDefault="00605236" w:rsidP="007A676C">
      <w:pPr>
        <w:pStyle w:val="SingleTxtG"/>
        <w:ind w:left="1701"/>
        <w:rPr>
          <w:rFonts w:eastAsia="Times New Roman"/>
          <w:u w:val="single"/>
        </w:rPr>
      </w:pPr>
      <w:r w:rsidRPr="00605236">
        <w:rPr>
          <w:rFonts w:ascii="TimesNewRoman,Italic" w:hAnsi="TimesNewRoman,Italic" w:cs="TimesNewRoman,Italic"/>
        </w:rPr>
        <w:t>“</w:t>
      </w:r>
      <w:r w:rsidR="00D9151A">
        <w:rPr>
          <w:rFonts w:ascii="TimesNewRoman,Italic" w:hAnsi="TimesNewRoman,Italic" w:cs="TimesNewRoman,Italic"/>
          <w:i/>
          <w:iCs/>
        </w:rPr>
        <w:t xml:space="preserve">Cylinder </w:t>
      </w:r>
      <w:r w:rsidR="00D9151A">
        <w:t xml:space="preserve">means a pressure receptacle of a water capacity not exceeding 150 litres </w:t>
      </w:r>
      <w:r w:rsidR="00D9151A">
        <w:rPr>
          <w:u w:val="single"/>
        </w:rPr>
        <w:t>with a test pressure volume product not exceeding 1.5 million bar litres;</w:t>
      </w:r>
    </w:p>
    <w:p w14:paraId="3203057E" w14:textId="085E4002" w:rsidR="00D9151A" w:rsidRDefault="00D9151A" w:rsidP="007A676C">
      <w:pPr>
        <w:pStyle w:val="SingleTxtG"/>
        <w:ind w:left="1701"/>
        <w:rPr>
          <w:rFonts w:eastAsia="Times New Roman"/>
        </w:rPr>
      </w:pPr>
      <w:r>
        <w:rPr>
          <w:rFonts w:ascii="TimesNewRoman,Italic" w:hAnsi="TimesNewRoman,Italic" w:cs="TimesNewRoman,Italic"/>
          <w:i/>
          <w:iCs/>
        </w:rPr>
        <w:t xml:space="preserve">Tube </w:t>
      </w:r>
      <w:r>
        <w:t>means a pressure receptacle of seamless or composite construction having a water capacity exceeding 150 litres but not more than 3 000 litres</w:t>
      </w:r>
      <w:r>
        <w:rPr>
          <w:u w:val="single"/>
        </w:rPr>
        <w:t xml:space="preserve"> with a test pressure volume product not exceeding 1.5 million bar litres</w:t>
      </w:r>
      <w:r>
        <w:t>;</w:t>
      </w:r>
      <w:r w:rsidR="00605236">
        <w:t>”</w:t>
      </w:r>
    </w:p>
    <w:p w14:paraId="38F68439" w14:textId="77BF5D3C" w:rsidR="00D9151A" w:rsidRDefault="007A676C" w:rsidP="007A676C">
      <w:pPr>
        <w:pStyle w:val="SingleTxtG"/>
      </w:pPr>
      <w:r>
        <w:tab/>
        <w:t>17.</w:t>
      </w:r>
      <w:r>
        <w:tab/>
      </w:r>
      <w:r w:rsidR="00D9151A">
        <w:t>Rationale for proposal 1</w:t>
      </w:r>
    </w:p>
    <w:p w14:paraId="643B4331" w14:textId="6963B12E" w:rsidR="00D9151A" w:rsidRDefault="00D9151A" w:rsidP="007A676C">
      <w:pPr>
        <w:pStyle w:val="SingleTxtG"/>
        <w:ind w:left="1701"/>
      </w:pPr>
      <w:r>
        <w:t xml:space="preserve">For supporting the well running and accepted system of pressure receptacles in </w:t>
      </w:r>
      <w:r w:rsidR="00282305">
        <w:t>global</w:t>
      </w:r>
      <w:r>
        <w:t xml:space="preserve"> transport a limitation of the consequence resulting from an unlikely but unavoidable worst-case scenario during the transport of pressure receptacles is needed. To the best knowledge of the </w:t>
      </w:r>
      <w:r w:rsidR="0018724B">
        <w:t>working group</w:t>
      </w:r>
      <w:r w:rsidR="007D11AD">
        <w:t>,</w:t>
      </w:r>
      <w:r>
        <w:t xml:space="preserve"> the herewith proposed limitation of the test pressure volume product </w:t>
      </w:r>
      <w:r w:rsidR="007D11AD">
        <w:t>of</w:t>
      </w:r>
      <w:r>
        <w:t xml:space="preserve"> a value of 1.5 million bar litres provides the best compromise between public safety and needs in world-wide gas transport. This value is based on an analysis of the reasonable size of consequence</w:t>
      </w:r>
      <w:r w:rsidR="005B3493">
        <w:t>s</w:t>
      </w:r>
      <w:r>
        <w:t xml:space="preserve"> and the acceptance of consequences. The above presented </w:t>
      </w:r>
      <w:proofErr w:type="spellStart"/>
      <w:r>
        <w:t>pV</w:t>
      </w:r>
      <w:proofErr w:type="spellEnd"/>
      <w:r>
        <w:t xml:space="preserve">-value is an estimated reference value that considers almost all expectable worst-case scenarios for </w:t>
      </w:r>
      <w:r w:rsidR="00120C2A">
        <w:t>a</w:t>
      </w:r>
      <w:r>
        <w:t xml:space="preserve"> sudden rupture of a single </w:t>
      </w:r>
      <w:r>
        <w:lastRenderedPageBreak/>
        <w:t>pressure receptacle during the transport of compressed hydrogen</w:t>
      </w:r>
      <w:r>
        <w:rPr>
          <w:vertAlign w:val="superscript"/>
        </w:rPr>
        <w:footnoteReference w:id="4"/>
      </w:r>
      <w:r>
        <w:t xml:space="preserve">. Due to the variability of scenarios with respect to people, buildings and secondary effects, the presented </w:t>
      </w:r>
      <w:proofErr w:type="spellStart"/>
      <w:r>
        <w:t>pV</w:t>
      </w:r>
      <w:proofErr w:type="spellEnd"/>
      <w:r>
        <w:t>-value is considered to be conservative. The effect of projectile</w:t>
      </w:r>
      <w:r w:rsidR="00316BD4">
        <w:t>s</w:t>
      </w:r>
      <w:r>
        <w:t xml:space="preserve"> is not considered explicitly but is merged in the pressure-wave-based consequence estimation. Compressed hydrogen has been chosen as the reference gas since it provides the lowest consequences of frequently transported compressed gases. A limit between a major consequence and a catastrophic consequence was considered. This limit provides a representative reference for the avoidance of catastrophic consequences without any consideration of the likelihood of a sudden rupture of a pressure receptacle. Data provided by EIGA and ECMA show</w:t>
      </w:r>
      <w:r w:rsidR="00C82ACF">
        <w:t>ed</w:t>
      </w:r>
      <w:r>
        <w:t xml:space="preserve"> that pressure receptacles, currently </w:t>
      </w:r>
      <w:r w:rsidR="00C75205">
        <w:t xml:space="preserve">available </w:t>
      </w:r>
      <w:r>
        <w:t xml:space="preserve">on the market, </w:t>
      </w:r>
      <w:r w:rsidR="000B03BE">
        <w:t>a</w:t>
      </w:r>
      <w:r>
        <w:t xml:space="preserve">re below the proposed limit of 1.5 </w:t>
      </w:r>
      <w:r w:rsidR="0002191D">
        <w:t>million</w:t>
      </w:r>
      <w:r>
        <w:t xml:space="preserve"> bar litres. This means, the discussed limitation would not impact the current range of pressure receptacles on the market. Future developments beyond this limit are expected but should get guide rail.</w:t>
      </w:r>
    </w:p>
    <w:p w14:paraId="508D8963" w14:textId="77777777" w:rsidR="00D9151A" w:rsidRDefault="00D9151A" w:rsidP="007A676C">
      <w:pPr>
        <w:pStyle w:val="H1G"/>
        <w:rPr>
          <w:rFonts w:eastAsia="Times New Roman"/>
          <w:sz w:val="28"/>
        </w:rPr>
      </w:pPr>
      <w:r>
        <w:tab/>
      </w:r>
      <w:r>
        <w:tab/>
        <w:t>Proposal 2</w:t>
      </w:r>
    </w:p>
    <w:p w14:paraId="60DC8BF4" w14:textId="72A0DE4F" w:rsidR="00D9151A" w:rsidRDefault="007A676C" w:rsidP="007A676C">
      <w:pPr>
        <w:pStyle w:val="SingleTxtG"/>
      </w:pPr>
      <w:r>
        <w:tab/>
        <w:t>18.</w:t>
      </w:r>
      <w:r>
        <w:tab/>
      </w:r>
      <w:r w:rsidR="000C5AD2">
        <w:t>Amend</w:t>
      </w:r>
      <w:r w:rsidR="00D9151A">
        <w:t xml:space="preserve"> the definition for bundles of cylinders in section 1.2.1 </w:t>
      </w:r>
      <w:r w:rsidR="002F55D0">
        <w:t xml:space="preserve">to read </w:t>
      </w:r>
      <w:r w:rsidR="00D9151A">
        <w:t>as follows:</w:t>
      </w:r>
    </w:p>
    <w:p w14:paraId="07F20C8D" w14:textId="0B8FEC7E" w:rsidR="00D9151A" w:rsidRDefault="00D014B0" w:rsidP="007A676C">
      <w:pPr>
        <w:pStyle w:val="SingleTxtG"/>
        <w:ind w:left="1701"/>
        <w:rPr>
          <w:rFonts w:eastAsia="Times New Roman"/>
          <w:u w:val="single"/>
        </w:rPr>
      </w:pPr>
      <w:r w:rsidRPr="00D014B0">
        <w:rPr>
          <w:rFonts w:ascii="TimesNewRoman,Italic" w:hAnsi="TimesNewRoman,Italic" w:cs="TimesNewRoman,Italic"/>
        </w:rPr>
        <w:t>“</w:t>
      </w:r>
      <w:r w:rsidR="00D9151A">
        <w:rPr>
          <w:rFonts w:ascii="TimesNewRoman,Italic" w:hAnsi="TimesNewRoman,Italic" w:cs="TimesNewRoman,Italic"/>
          <w:i/>
          <w:iCs/>
        </w:rPr>
        <w:t xml:space="preserve">Bundle of cylinders </w:t>
      </w:r>
      <w:r w:rsidR="00D9151A">
        <w:t xml:space="preserve">means a pressure receptacle comprising an assembly of cylinders or cylinder shells that are fastened together, and which are interconnected by a manifold and transported as a unit. The total water capacity shall not exceed 3 000 litres except that bundles intended for the transport of gases of Division 2.3 shall be limited to 1 000 litres water capacity; </w:t>
      </w:r>
      <w:r w:rsidR="00D9151A">
        <w:rPr>
          <w:u w:val="single"/>
        </w:rPr>
        <w:t>the product of test pressure and total water capacity shall not exceed 1.5 million bar litres;</w:t>
      </w:r>
      <w:r w:rsidRPr="00D014B0">
        <w:t>”</w:t>
      </w:r>
    </w:p>
    <w:p w14:paraId="6BD828D4" w14:textId="74462D77" w:rsidR="00D9151A" w:rsidRDefault="007A676C" w:rsidP="007A676C">
      <w:pPr>
        <w:pStyle w:val="SingleTxtG"/>
      </w:pPr>
      <w:r>
        <w:tab/>
        <w:t>19.</w:t>
      </w:r>
      <w:r>
        <w:tab/>
      </w:r>
      <w:r w:rsidR="00D9151A">
        <w:t>Rationale for proposal 2</w:t>
      </w:r>
    </w:p>
    <w:p w14:paraId="5EA34247" w14:textId="5F333590" w:rsidR="00D9151A" w:rsidRDefault="00D9151A" w:rsidP="004A22BC">
      <w:pPr>
        <w:pStyle w:val="SingleTxtG"/>
        <w:ind w:left="1701"/>
      </w:pPr>
      <w:r>
        <w:t xml:space="preserve">A bundle of cylinder is considered as a pressure receptacle in one unit and is handled the same way as a cylinder or tube. In </w:t>
      </w:r>
      <w:r w:rsidR="001C3551">
        <w:t xml:space="preserve">the </w:t>
      </w:r>
      <w:r>
        <w:t xml:space="preserve">case of </w:t>
      </w:r>
      <w:r w:rsidR="00187149">
        <w:t xml:space="preserve">a </w:t>
      </w:r>
      <w:r>
        <w:t>failure or leakage of a bundle containing compressed gas, the whole content may be released, which would load a salvage pressure receptacle with its total pressure-volume product. Therefore, the added value accounts the product of test pressure and total water capacity.</w:t>
      </w:r>
    </w:p>
    <w:p w14:paraId="383281F9" w14:textId="77777777" w:rsidR="00D9151A" w:rsidRDefault="00D9151A" w:rsidP="004A22BC">
      <w:pPr>
        <w:pStyle w:val="H1G"/>
        <w:rPr>
          <w:rFonts w:eastAsia="Times New Roman"/>
          <w:sz w:val="28"/>
        </w:rPr>
      </w:pPr>
      <w:r>
        <w:tab/>
      </w:r>
      <w:r>
        <w:tab/>
        <w:t>Proposal 3</w:t>
      </w:r>
    </w:p>
    <w:p w14:paraId="04B101AE" w14:textId="74A537FF" w:rsidR="00D9151A" w:rsidRDefault="004A22BC" w:rsidP="004A22BC">
      <w:pPr>
        <w:pStyle w:val="SingleTxtG"/>
      </w:pPr>
      <w:r>
        <w:tab/>
        <w:t>20.</w:t>
      </w:r>
      <w:r>
        <w:tab/>
      </w:r>
      <w:r w:rsidR="002131BE">
        <w:t>Amend</w:t>
      </w:r>
      <w:r w:rsidR="00D9151A">
        <w:t xml:space="preserve"> the definition for salvage pressure receptacle in section 1.2.1 </w:t>
      </w:r>
      <w:r w:rsidR="002F55D0">
        <w:t xml:space="preserve">to read </w:t>
      </w:r>
      <w:r w:rsidR="00D9151A">
        <w:t>as follows:</w:t>
      </w:r>
    </w:p>
    <w:p w14:paraId="159A29FC" w14:textId="0D11225A" w:rsidR="00D9151A" w:rsidRDefault="002131BE" w:rsidP="004A22BC">
      <w:pPr>
        <w:pStyle w:val="SingleTxtG"/>
        <w:ind w:left="1701"/>
      </w:pPr>
      <w:r w:rsidRPr="002131BE">
        <w:t>“</w:t>
      </w:r>
      <w:r w:rsidR="00D9151A">
        <w:rPr>
          <w:i/>
          <w:iCs/>
        </w:rPr>
        <w:t xml:space="preserve">Salvage pressure receptacle </w:t>
      </w:r>
      <w:r w:rsidR="00D9151A">
        <w:t xml:space="preserve">means a pressure receptacle with a water capacity not exceeding 3 000 litres into which are placed damaged, defective, leaking or non-conforming pressure receptacle(s) </w:t>
      </w:r>
      <w:r w:rsidR="00D9151A">
        <w:rPr>
          <w:u w:val="single"/>
        </w:rPr>
        <w:t>having a total test pressure volume product not exceeding 1.5 million bar litres</w:t>
      </w:r>
      <w:r w:rsidR="00D9151A">
        <w:t xml:space="preserve"> for the purpose of transport e.g., for recovery or disposal;</w:t>
      </w:r>
      <w:r>
        <w:t>”</w:t>
      </w:r>
    </w:p>
    <w:p w14:paraId="56495DBF" w14:textId="7E8AC3F0" w:rsidR="00D9151A" w:rsidRDefault="004A22BC" w:rsidP="004A22BC">
      <w:pPr>
        <w:pStyle w:val="SingleTxtG"/>
      </w:pPr>
      <w:r>
        <w:tab/>
        <w:t>21.</w:t>
      </w:r>
      <w:r>
        <w:tab/>
      </w:r>
      <w:r w:rsidR="00D9151A">
        <w:t>Rationale for proposal 3</w:t>
      </w:r>
    </w:p>
    <w:p w14:paraId="579E40E0" w14:textId="2022E21E" w:rsidR="00D9151A" w:rsidRDefault="00D9151A" w:rsidP="004A22BC">
      <w:pPr>
        <w:pStyle w:val="SingleTxtG"/>
        <w:ind w:left="1701"/>
      </w:pPr>
      <w:r>
        <w:t xml:space="preserve">A salvage pressure receptacle is considered as a type of pressure receptacles. The potential consequence in </w:t>
      </w:r>
      <w:r w:rsidR="00971461">
        <w:t xml:space="preserve">the </w:t>
      </w:r>
      <w:r>
        <w:t xml:space="preserve">case of failure of a salvage pressure receptacle does not depend on the product of its water capacity and its test pressure. It is exclusively determined by the properties of the stored pressure receptacles. Therefore, it is necessary to limit the </w:t>
      </w:r>
      <w:proofErr w:type="spellStart"/>
      <w:r>
        <w:t>pV</w:t>
      </w:r>
      <w:proofErr w:type="spellEnd"/>
      <w:r>
        <w:t>-product of the stored pressure receptacles in total and not the volume or test pressure of salvage containments, which is intended by proposal 1 and 2 in combination with proposal 3.</w:t>
      </w:r>
    </w:p>
    <w:p w14:paraId="6D2BBF11" w14:textId="77777777" w:rsidR="00D9151A" w:rsidRDefault="00D9151A" w:rsidP="004A22BC">
      <w:pPr>
        <w:pStyle w:val="H1G"/>
        <w:rPr>
          <w:rFonts w:eastAsia="Times New Roman"/>
          <w:sz w:val="28"/>
        </w:rPr>
      </w:pPr>
      <w:r>
        <w:lastRenderedPageBreak/>
        <w:tab/>
      </w:r>
      <w:r>
        <w:tab/>
        <w:t>Proposal 4</w:t>
      </w:r>
    </w:p>
    <w:p w14:paraId="424DEC62" w14:textId="75BD4F1E" w:rsidR="00D9151A" w:rsidRDefault="004A22BC" w:rsidP="004A22BC">
      <w:pPr>
        <w:pStyle w:val="SingleTxtG"/>
      </w:pPr>
      <w:r>
        <w:t>22.</w:t>
      </w:r>
      <w:r>
        <w:tab/>
      </w:r>
      <w:r w:rsidR="002131BE">
        <w:t>Amend</w:t>
      </w:r>
      <w:r w:rsidR="00D9151A">
        <w:t xml:space="preserve"> the definition for salvage pressure receptacle as in proposal 3 </w:t>
      </w:r>
      <w:r w:rsidR="00D43C34">
        <w:t>(</w:t>
      </w:r>
      <w:r w:rsidR="00D9151A">
        <w:t>in the case of the acceptance of proposal 3</w:t>
      </w:r>
      <w:r w:rsidR="00D43C34">
        <w:t>)</w:t>
      </w:r>
      <w:r w:rsidR="00A421FF" w:rsidRPr="00A421FF">
        <w:t xml:space="preserve"> </w:t>
      </w:r>
      <w:r w:rsidR="00A421FF">
        <w:t>to read as follows</w:t>
      </w:r>
      <w:r w:rsidR="00D9151A">
        <w:t>:</w:t>
      </w:r>
    </w:p>
    <w:p w14:paraId="42723329" w14:textId="53C87FE0" w:rsidR="00D9151A" w:rsidRDefault="00871197" w:rsidP="00B157E2">
      <w:pPr>
        <w:pStyle w:val="SingleTxtG"/>
        <w:ind w:left="1701"/>
      </w:pPr>
      <w:r w:rsidRPr="002131BE">
        <w:t>“</w:t>
      </w:r>
      <w:r w:rsidR="00D9151A">
        <w:rPr>
          <w:i/>
          <w:iCs/>
        </w:rPr>
        <w:t xml:space="preserve">Salvage pressure receptacle </w:t>
      </w:r>
      <w:r w:rsidR="00D9151A">
        <w:t xml:space="preserve">means a pressure receptacle </w:t>
      </w:r>
      <w:r w:rsidR="00D9151A">
        <w:rPr>
          <w:strike/>
        </w:rPr>
        <w:t>with a water capacity not exceeding 3 000 litres</w:t>
      </w:r>
      <w:r w:rsidR="00D9151A">
        <w:t xml:space="preserve"> into which are placed damaged, defective, leaking or non-conforming pressure receptacle(s) </w:t>
      </w:r>
      <w:r w:rsidR="00D9151A">
        <w:rPr>
          <w:b/>
          <w:bCs/>
        </w:rPr>
        <w:t>having a total test pressure volume product not exceeding 1.5 million bar litres</w:t>
      </w:r>
      <w:r w:rsidR="00D9151A">
        <w:t xml:space="preserve"> for the purpose of transport e.g., for recovery or disposal;</w:t>
      </w:r>
      <w:r w:rsidR="00A421FF">
        <w:t>”</w:t>
      </w:r>
    </w:p>
    <w:p w14:paraId="32217148" w14:textId="0BEF15C0" w:rsidR="00D9151A" w:rsidRDefault="00B157E2" w:rsidP="00D43C34">
      <w:pPr>
        <w:pStyle w:val="SingleTxtG"/>
        <w:keepNext/>
        <w:keepLines/>
      </w:pPr>
      <w:r>
        <w:tab/>
        <w:t>23.</w:t>
      </w:r>
      <w:r>
        <w:tab/>
      </w:r>
      <w:r w:rsidR="00D9151A">
        <w:t>Rationale for proposal 4</w:t>
      </w:r>
    </w:p>
    <w:p w14:paraId="48039246" w14:textId="5FBC65AF" w:rsidR="00D9151A" w:rsidRDefault="00D9151A" w:rsidP="00D43C34">
      <w:pPr>
        <w:pStyle w:val="SingleTxtG"/>
        <w:keepNext/>
        <w:keepLines/>
        <w:ind w:left="1701"/>
      </w:pPr>
      <w:r>
        <w:t xml:space="preserve">The level of maximal consequence is limited by the sum of test pressure volume products of the stored pressure receptacle(s), which shall not exceed 1.5 million bar litres for the one or all </w:t>
      </w:r>
      <w:r w:rsidRPr="00B157E2">
        <w:t>pressure</w:t>
      </w:r>
      <w:r>
        <w:t xml:space="preserve"> receptacles placed in a salvage pressure receptacle. To provide a higher water capacity of test pressure than limited for the stored content is a safety plus and should not be limited.</w:t>
      </w:r>
    </w:p>
    <w:p w14:paraId="4C0F6D55" w14:textId="3199BC16" w:rsidR="00D9151A" w:rsidRDefault="00D9151A" w:rsidP="00B157E2">
      <w:pPr>
        <w:pStyle w:val="SingleTxtG"/>
        <w:ind w:left="1701"/>
      </w:pPr>
      <w:r>
        <w:t xml:space="preserve">[With respect to 6.2.3.5, the competent authorities shall ensure that the mandatory instruction for safe handling of pressure receptacles and the approval certificate limit the total water capacity of the cylinders, tubes or bundles of cylinders placed in a salvage pressure receptacle to a </w:t>
      </w:r>
      <w:r w:rsidRPr="00B157E2">
        <w:t>value</w:t>
      </w:r>
      <w:r>
        <w:t xml:space="preserve"> not exceeding 3000 litres in total. This could be ensured by an additional requirement in 6.2.3.5.]</w:t>
      </w:r>
      <w:r w:rsidR="00B157E2">
        <w:t>.</w:t>
      </w:r>
    </w:p>
    <w:p w14:paraId="0BE0605B" w14:textId="6B2538DE" w:rsidR="00B157E2" w:rsidRPr="00B157E2" w:rsidRDefault="00B157E2" w:rsidP="00B157E2">
      <w:pPr>
        <w:spacing w:before="240"/>
        <w:jc w:val="center"/>
        <w:rPr>
          <w:u w:val="single"/>
        </w:rPr>
      </w:pPr>
      <w:r>
        <w:rPr>
          <w:u w:val="single"/>
        </w:rPr>
        <w:tab/>
      </w:r>
      <w:r>
        <w:rPr>
          <w:u w:val="single"/>
        </w:rPr>
        <w:tab/>
      </w:r>
      <w:r>
        <w:rPr>
          <w:u w:val="single"/>
        </w:rPr>
        <w:tab/>
      </w:r>
    </w:p>
    <w:p w14:paraId="76203BD6" w14:textId="77777777" w:rsidR="00B157E2" w:rsidRDefault="00B157E2" w:rsidP="00B157E2">
      <w:pPr>
        <w:pStyle w:val="SingleTxtG"/>
        <w:ind w:left="1701"/>
      </w:pPr>
    </w:p>
    <w:sectPr w:rsidR="00B157E2" w:rsidSect="004376E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2B50" w14:textId="77777777" w:rsidR="008D3126" w:rsidRPr="00C47B2E" w:rsidRDefault="008D3126" w:rsidP="00C47B2E">
      <w:pPr>
        <w:pStyle w:val="Footer"/>
      </w:pPr>
    </w:p>
  </w:endnote>
  <w:endnote w:type="continuationSeparator" w:id="0">
    <w:p w14:paraId="743BC5F1" w14:textId="77777777" w:rsidR="008D3126" w:rsidRPr="00C47B2E" w:rsidRDefault="008D3126" w:rsidP="00C47B2E">
      <w:pPr>
        <w:pStyle w:val="Footer"/>
      </w:pPr>
    </w:p>
  </w:endnote>
  <w:endnote w:type="continuationNotice" w:id="1">
    <w:p w14:paraId="24073B5D" w14:textId="77777777" w:rsidR="008D3126" w:rsidRPr="00C47B2E" w:rsidRDefault="008D312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0823" w14:textId="064CFC67" w:rsidR="004376E2" w:rsidRPr="004376E2" w:rsidRDefault="004376E2" w:rsidP="004376E2">
    <w:pPr>
      <w:pStyle w:val="Footer"/>
      <w:tabs>
        <w:tab w:val="left" w:pos="8505"/>
        <w:tab w:val="right" w:pos="9598"/>
        <w:tab w:val="right" w:pos="9638"/>
      </w:tabs>
      <w:rPr>
        <w:b/>
        <w:bCs/>
        <w:sz w:val="18"/>
      </w:rPr>
    </w:pPr>
    <w:r w:rsidRPr="004376E2">
      <w:rPr>
        <w:b/>
        <w:bCs/>
        <w:sz w:val="18"/>
      </w:rPr>
      <w:fldChar w:fldCharType="begin"/>
    </w:r>
    <w:r w:rsidRPr="004376E2">
      <w:rPr>
        <w:b/>
        <w:bCs/>
        <w:sz w:val="18"/>
      </w:rPr>
      <w:instrText xml:space="preserve"> PAGE  \* MERGEFORMAT </w:instrText>
    </w:r>
    <w:r w:rsidRPr="004376E2">
      <w:rPr>
        <w:b/>
        <w:bCs/>
        <w:sz w:val="18"/>
      </w:rPr>
      <w:fldChar w:fldCharType="separate"/>
    </w:r>
    <w:r>
      <w:rPr>
        <w:b/>
        <w:bCs/>
        <w:sz w:val="18"/>
      </w:rPr>
      <w:t>3</w:t>
    </w:r>
    <w:r w:rsidRPr="004376E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78FB" w14:textId="77777777" w:rsidR="0002184C" w:rsidRPr="004376E2" w:rsidRDefault="0002184C" w:rsidP="0002184C">
    <w:pPr>
      <w:pStyle w:val="Footer"/>
      <w:tabs>
        <w:tab w:val="left" w:pos="8505"/>
        <w:tab w:val="right" w:pos="9598"/>
        <w:tab w:val="right" w:pos="9638"/>
      </w:tabs>
      <w:jc w:val="right"/>
      <w:rPr>
        <w:b/>
        <w:bCs/>
        <w:sz w:val="18"/>
      </w:rPr>
    </w:pPr>
    <w:r w:rsidRPr="004376E2">
      <w:rPr>
        <w:b/>
        <w:bCs/>
        <w:sz w:val="18"/>
      </w:rPr>
      <w:fldChar w:fldCharType="begin"/>
    </w:r>
    <w:r w:rsidRPr="004376E2">
      <w:rPr>
        <w:b/>
        <w:bCs/>
        <w:sz w:val="18"/>
      </w:rPr>
      <w:instrText xml:space="preserve"> PAGE  \* MERGEFORMAT </w:instrText>
    </w:r>
    <w:r w:rsidRPr="004376E2">
      <w:rPr>
        <w:b/>
        <w:bCs/>
        <w:sz w:val="18"/>
      </w:rPr>
      <w:fldChar w:fldCharType="separate"/>
    </w:r>
    <w:r w:rsidRPr="004376E2">
      <w:rPr>
        <w:b/>
        <w:bCs/>
        <w:noProof/>
        <w:sz w:val="18"/>
      </w:rPr>
      <w:t>3</w:t>
    </w:r>
    <w:r w:rsidRPr="004376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B8A" w14:textId="2178CFBD" w:rsidR="00493F5B" w:rsidRDefault="00493F5B" w:rsidP="00493F5B">
    <w:pPr>
      <w:pStyle w:val="Footer"/>
    </w:pPr>
    <w:r w:rsidRPr="0027112F">
      <w:rPr>
        <w:noProof/>
        <w:lang w:val="en-US"/>
      </w:rPr>
      <w:drawing>
        <wp:anchor distT="0" distB="0" distL="114300" distR="114300" simplePos="0" relativeHeight="251659264" behindDoc="0" locked="1" layoutInCell="1" allowOverlap="1" wp14:anchorId="3E558490" wp14:editId="71CB5B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C65AB4" w14:textId="39A3F540" w:rsidR="00493F5B" w:rsidRPr="00493F5B" w:rsidRDefault="00493F5B" w:rsidP="00493F5B">
    <w:pPr>
      <w:pStyle w:val="Footer"/>
      <w:kinsoku/>
      <w:overflowPunct/>
      <w:autoSpaceDE/>
      <w:autoSpaceDN/>
      <w:adjustRightInd/>
      <w:ind w:right="1134"/>
      <w:rPr>
        <w:sz w:val="20"/>
      </w:rPr>
    </w:pPr>
    <w:r>
      <w:rPr>
        <w:sz w:val="20"/>
      </w:rPr>
      <w:t>GE.23-06582(E)</w:t>
    </w:r>
    <w:r>
      <w:rPr>
        <w:noProof/>
        <w:sz w:val="20"/>
      </w:rPr>
      <w:drawing>
        <wp:anchor distT="0" distB="0" distL="114300" distR="114300" simplePos="0" relativeHeight="251660288" behindDoc="0" locked="0" layoutInCell="1" allowOverlap="1" wp14:anchorId="2A66A224" wp14:editId="736907F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3CD3" w14:textId="77777777" w:rsidR="008D3126" w:rsidRPr="00C47B2E" w:rsidRDefault="008D3126" w:rsidP="00C47B2E">
      <w:pPr>
        <w:tabs>
          <w:tab w:val="right" w:pos="2155"/>
        </w:tabs>
        <w:spacing w:after="80" w:line="240" w:lineRule="auto"/>
        <w:ind w:left="680"/>
      </w:pPr>
      <w:r>
        <w:rPr>
          <w:u w:val="single"/>
        </w:rPr>
        <w:tab/>
      </w:r>
    </w:p>
  </w:footnote>
  <w:footnote w:type="continuationSeparator" w:id="0">
    <w:p w14:paraId="3838C5C4" w14:textId="77777777" w:rsidR="008D3126" w:rsidRPr="00C47B2E" w:rsidRDefault="008D3126" w:rsidP="005E716E">
      <w:pPr>
        <w:tabs>
          <w:tab w:val="right" w:pos="2155"/>
        </w:tabs>
        <w:spacing w:after="80" w:line="240" w:lineRule="auto"/>
        <w:ind w:left="680"/>
      </w:pPr>
      <w:r>
        <w:rPr>
          <w:u w:val="single"/>
        </w:rPr>
        <w:tab/>
      </w:r>
    </w:p>
  </w:footnote>
  <w:footnote w:type="continuationNotice" w:id="1">
    <w:p w14:paraId="448614B2" w14:textId="77777777" w:rsidR="008D3126" w:rsidRPr="00C47B2E" w:rsidRDefault="008D3126" w:rsidP="00C47B2E">
      <w:pPr>
        <w:pStyle w:val="Footer"/>
      </w:pPr>
    </w:p>
  </w:footnote>
  <w:footnote w:id="2">
    <w:p w14:paraId="770EC74F" w14:textId="50E7DF0E" w:rsidR="00A9265C" w:rsidRPr="00A9265C" w:rsidRDefault="00A9265C">
      <w:pPr>
        <w:pStyle w:val="FootnoteText"/>
        <w:rPr>
          <w:lang w:val="fr-CH"/>
        </w:rPr>
      </w:pPr>
      <w:r>
        <w:rPr>
          <w:rStyle w:val="FootnoteReference"/>
        </w:rPr>
        <w:tab/>
      </w:r>
      <w:r w:rsidRPr="00A9265C">
        <w:rPr>
          <w:rStyle w:val="FootnoteReference"/>
          <w:sz w:val="20"/>
          <w:vertAlign w:val="baseline"/>
        </w:rPr>
        <w:t>*</w:t>
      </w:r>
      <w:r>
        <w:rPr>
          <w:rStyle w:val="FootnoteReference"/>
          <w:sz w:val="20"/>
          <w:vertAlign w:val="baseline"/>
        </w:rPr>
        <w:tab/>
      </w:r>
      <w:r w:rsidRPr="00A9265C">
        <w:rPr>
          <w:rStyle w:val="FootnoteReference"/>
          <w:sz w:val="20"/>
          <w:vertAlign w:val="baseline"/>
        </w:rPr>
        <w:t>A/77/6 (Sect. 20), table 20.6</w:t>
      </w:r>
    </w:p>
  </w:footnote>
  <w:footnote w:id="3">
    <w:p w14:paraId="01EEAAE2" w14:textId="2A275114" w:rsidR="00235A02" w:rsidRPr="00235A02" w:rsidRDefault="0032146D" w:rsidP="009B6491">
      <w:pPr>
        <w:pStyle w:val="FootnoteText"/>
        <w:rPr>
          <w:lang w:val="fr-CH"/>
        </w:rPr>
      </w:pPr>
      <w:r>
        <w:tab/>
      </w:r>
      <w:r w:rsidR="00235A02">
        <w:rPr>
          <w:rStyle w:val="FootnoteReference"/>
        </w:rPr>
        <w:footnoteRef/>
      </w:r>
      <w:r w:rsidR="00235A02">
        <w:t xml:space="preserve"> </w:t>
      </w:r>
      <w:r>
        <w:tab/>
      </w:r>
      <w:r w:rsidR="00A57991">
        <w:tab/>
      </w:r>
      <w:r w:rsidRPr="0032146D">
        <w:t xml:space="preserve">For </w:t>
      </w:r>
      <w:r>
        <w:t>justification,</w:t>
      </w:r>
      <w:r w:rsidRPr="0032146D">
        <w:t xml:space="preserve"> see paragraphs</w:t>
      </w:r>
      <w:r>
        <w:t xml:space="preserve"> 10</w:t>
      </w:r>
      <w:r w:rsidR="00A57991">
        <w:t>-</w:t>
      </w:r>
      <w:r>
        <w:t>14 above.</w:t>
      </w:r>
    </w:p>
  </w:footnote>
  <w:footnote w:id="4">
    <w:p w14:paraId="06E230EC" w14:textId="469C0044" w:rsidR="00D9151A" w:rsidRDefault="00120C2A" w:rsidP="00120C2A">
      <w:pPr>
        <w:pStyle w:val="FootnoteText"/>
        <w:tabs>
          <w:tab w:val="left" w:pos="1701"/>
        </w:tabs>
      </w:pPr>
      <w:r>
        <w:tab/>
      </w:r>
      <w:r>
        <w:tab/>
      </w:r>
      <w:r w:rsidR="00D9151A">
        <w:rPr>
          <w:rStyle w:val="FootnoteReference"/>
        </w:rPr>
        <w:footnoteRef/>
      </w:r>
      <w:r>
        <w:tab/>
      </w:r>
      <w:r w:rsidR="00435897">
        <w:t>except for</w:t>
      </w:r>
      <w:r w:rsidR="00D9151A">
        <w:t xml:space="preserve"> fire engulfment, especially for type 1</w:t>
      </w:r>
      <w:r w:rsidR="009035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B926" w14:textId="05AF362F" w:rsidR="004376E2" w:rsidRDefault="00E612EA" w:rsidP="004376E2">
    <w:pPr>
      <w:pStyle w:val="Header"/>
    </w:pPr>
    <w:r>
      <w:fldChar w:fldCharType="begin"/>
    </w:r>
    <w:r>
      <w:instrText xml:space="preserve"> TITLE  \* MERGEFORMAT </w:instrText>
    </w:r>
    <w:r>
      <w:fldChar w:fldCharType="separate"/>
    </w:r>
    <w:r w:rsidR="004376E2">
      <w:t>ST/SG/AC.10/C.3/2023/1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CB10" w14:textId="77777777" w:rsidR="00E02B0E" w:rsidRPr="00474D27" w:rsidRDefault="00A9265C" w:rsidP="0002184C">
    <w:pPr>
      <w:pStyle w:val="Header"/>
      <w:jc w:val="right"/>
    </w:pPr>
    <w:fldSimple w:instr=" TITLE  \* MERGEFORMAT ">
      <w:r w:rsidR="00E02B0E">
        <w:t>ST/SG/AC.10/C.3/2023/1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7050D7"/>
    <w:multiLevelType w:val="hybridMultilevel"/>
    <w:tmpl w:val="08DE7C6A"/>
    <w:lvl w:ilvl="0" w:tplc="BB3EE580">
      <w:start w:val="1"/>
      <w:numFmt w:val="decimal"/>
      <w:lvlText w:val="%1."/>
      <w:lvlJc w:val="left"/>
      <w:pPr>
        <w:tabs>
          <w:tab w:val="num" w:pos="2257"/>
        </w:tabs>
        <w:ind w:left="2257" w:hanging="555"/>
      </w:pPr>
    </w:lvl>
    <w:lvl w:ilvl="1" w:tplc="0809000F">
      <w:start w:val="1"/>
      <w:numFmt w:val="decimal"/>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364023">
    <w:abstractNumId w:val="6"/>
  </w:num>
  <w:num w:numId="2" w16cid:durableId="2127582402">
    <w:abstractNumId w:val="5"/>
  </w:num>
  <w:num w:numId="3" w16cid:durableId="1699889314">
    <w:abstractNumId w:val="0"/>
  </w:num>
  <w:num w:numId="4" w16cid:durableId="27687559">
    <w:abstractNumId w:val="7"/>
  </w:num>
  <w:num w:numId="5" w16cid:durableId="1327707316">
    <w:abstractNumId w:val="8"/>
  </w:num>
  <w:num w:numId="6" w16cid:durableId="1784419432">
    <w:abstractNumId w:val="10"/>
  </w:num>
  <w:num w:numId="7" w16cid:durableId="916673398">
    <w:abstractNumId w:val="3"/>
  </w:num>
  <w:num w:numId="8" w16cid:durableId="46883055">
    <w:abstractNumId w:val="1"/>
  </w:num>
  <w:num w:numId="9" w16cid:durableId="1199901246">
    <w:abstractNumId w:val="9"/>
  </w:num>
  <w:num w:numId="10" w16cid:durableId="734858586">
    <w:abstractNumId w:val="1"/>
  </w:num>
  <w:num w:numId="11" w16cid:durableId="854417570">
    <w:abstractNumId w:val="9"/>
  </w:num>
  <w:num w:numId="12" w16cid:durableId="1454666748">
    <w:abstractNumId w:val="2"/>
  </w:num>
  <w:num w:numId="13" w16cid:durableId="273634392">
    <w:abstractNumId w:val="2"/>
  </w:num>
  <w:num w:numId="14" w16cid:durableId="409541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27"/>
    <w:rsid w:val="00014935"/>
    <w:rsid w:val="0002184C"/>
    <w:rsid w:val="0002191D"/>
    <w:rsid w:val="00043167"/>
    <w:rsid w:val="00046E92"/>
    <w:rsid w:val="00063C90"/>
    <w:rsid w:val="000716C0"/>
    <w:rsid w:val="000B03BE"/>
    <w:rsid w:val="000C5AD2"/>
    <w:rsid w:val="00101B98"/>
    <w:rsid w:val="00120C2A"/>
    <w:rsid w:val="00146B5F"/>
    <w:rsid w:val="001514D1"/>
    <w:rsid w:val="00182158"/>
    <w:rsid w:val="00187149"/>
    <w:rsid w:val="0018724B"/>
    <w:rsid w:val="001A4DB8"/>
    <w:rsid w:val="001B40F8"/>
    <w:rsid w:val="001C3551"/>
    <w:rsid w:val="001F0C9C"/>
    <w:rsid w:val="002131BE"/>
    <w:rsid w:val="00213FDB"/>
    <w:rsid w:val="00232546"/>
    <w:rsid w:val="002345AE"/>
    <w:rsid w:val="00235A02"/>
    <w:rsid w:val="00235E2C"/>
    <w:rsid w:val="0023628C"/>
    <w:rsid w:val="00236C45"/>
    <w:rsid w:val="00247E2C"/>
    <w:rsid w:val="0028082C"/>
    <w:rsid w:val="00282305"/>
    <w:rsid w:val="002A32CB"/>
    <w:rsid w:val="002D06B8"/>
    <w:rsid w:val="002D5B2C"/>
    <w:rsid w:val="002D6C53"/>
    <w:rsid w:val="002E0374"/>
    <w:rsid w:val="002E5FE5"/>
    <w:rsid w:val="002F0C99"/>
    <w:rsid w:val="002F5595"/>
    <w:rsid w:val="002F55D0"/>
    <w:rsid w:val="00316BD4"/>
    <w:rsid w:val="0032146D"/>
    <w:rsid w:val="00324661"/>
    <w:rsid w:val="00334F6A"/>
    <w:rsid w:val="00336D8A"/>
    <w:rsid w:val="00342AC8"/>
    <w:rsid w:val="00343302"/>
    <w:rsid w:val="00356BFB"/>
    <w:rsid w:val="003736D0"/>
    <w:rsid w:val="00376E0E"/>
    <w:rsid w:val="00381BAE"/>
    <w:rsid w:val="003979DE"/>
    <w:rsid w:val="003A548E"/>
    <w:rsid w:val="003A579D"/>
    <w:rsid w:val="003A57B8"/>
    <w:rsid w:val="003B4550"/>
    <w:rsid w:val="003C0009"/>
    <w:rsid w:val="003D2A18"/>
    <w:rsid w:val="003E53F9"/>
    <w:rsid w:val="003F19A6"/>
    <w:rsid w:val="004113B9"/>
    <w:rsid w:val="00413386"/>
    <w:rsid w:val="004147C3"/>
    <w:rsid w:val="004256DA"/>
    <w:rsid w:val="00435897"/>
    <w:rsid w:val="004376E2"/>
    <w:rsid w:val="00450E5C"/>
    <w:rsid w:val="00461253"/>
    <w:rsid w:val="00474D27"/>
    <w:rsid w:val="004858F5"/>
    <w:rsid w:val="00493F5B"/>
    <w:rsid w:val="0049700E"/>
    <w:rsid w:val="004A22BC"/>
    <w:rsid w:val="004A2814"/>
    <w:rsid w:val="004A5D44"/>
    <w:rsid w:val="004A60F0"/>
    <w:rsid w:val="004C0622"/>
    <w:rsid w:val="004D4360"/>
    <w:rsid w:val="004D47C6"/>
    <w:rsid w:val="005038FC"/>
    <w:rsid w:val="00504020"/>
    <w:rsid w:val="005042C2"/>
    <w:rsid w:val="00537719"/>
    <w:rsid w:val="005435E3"/>
    <w:rsid w:val="00561B57"/>
    <w:rsid w:val="00591F37"/>
    <w:rsid w:val="005A5B2E"/>
    <w:rsid w:val="005B3493"/>
    <w:rsid w:val="005B47F7"/>
    <w:rsid w:val="005C4A7C"/>
    <w:rsid w:val="005E0693"/>
    <w:rsid w:val="005E716E"/>
    <w:rsid w:val="00605236"/>
    <w:rsid w:val="006060DB"/>
    <w:rsid w:val="00606AF0"/>
    <w:rsid w:val="00617774"/>
    <w:rsid w:val="006252C5"/>
    <w:rsid w:val="006476E1"/>
    <w:rsid w:val="0064795E"/>
    <w:rsid w:val="00650C58"/>
    <w:rsid w:val="00657AC8"/>
    <w:rsid w:val="006604DF"/>
    <w:rsid w:val="00670EA2"/>
    <w:rsid w:val="00671529"/>
    <w:rsid w:val="0067442E"/>
    <w:rsid w:val="00684C97"/>
    <w:rsid w:val="0069534D"/>
    <w:rsid w:val="006E2B61"/>
    <w:rsid w:val="0070489D"/>
    <w:rsid w:val="00713FFC"/>
    <w:rsid w:val="00722E86"/>
    <w:rsid w:val="007268F9"/>
    <w:rsid w:val="00750282"/>
    <w:rsid w:val="007601F8"/>
    <w:rsid w:val="00764440"/>
    <w:rsid w:val="0077101B"/>
    <w:rsid w:val="007952B0"/>
    <w:rsid w:val="007A676C"/>
    <w:rsid w:val="007B0E5A"/>
    <w:rsid w:val="007C4E30"/>
    <w:rsid w:val="007C52B0"/>
    <w:rsid w:val="007C6033"/>
    <w:rsid w:val="007D11AD"/>
    <w:rsid w:val="007D24D4"/>
    <w:rsid w:val="007D623C"/>
    <w:rsid w:val="007E427E"/>
    <w:rsid w:val="008147C8"/>
    <w:rsid w:val="0081753A"/>
    <w:rsid w:val="0082196F"/>
    <w:rsid w:val="00825AA9"/>
    <w:rsid w:val="00840CC9"/>
    <w:rsid w:val="00850A14"/>
    <w:rsid w:val="00854D87"/>
    <w:rsid w:val="008554A5"/>
    <w:rsid w:val="00857D23"/>
    <w:rsid w:val="00871197"/>
    <w:rsid w:val="008B292F"/>
    <w:rsid w:val="008D3126"/>
    <w:rsid w:val="00903577"/>
    <w:rsid w:val="00917A9C"/>
    <w:rsid w:val="00940A77"/>
    <w:rsid w:val="009411B4"/>
    <w:rsid w:val="00946F1D"/>
    <w:rsid w:val="00971461"/>
    <w:rsid w:val="009B6491"/>
    <w:rsid w:val="009D0139"/>
    <w:rsid w:val="009D717D"/>
    <w:rsid w:val="009D7775"/>
    <w:rsid w:val="009F5CDC"/>
    <w:rsid w:val="00A02E71"/>
    <w:rsid w:val="00A072D7"/>
    <w:rsid w:val="00A24F54"/>
    <w:rsid w:val="00A421FF"/>
    <w:rsid w:val="00A51785"/>
    <w:rsid w:val="00A54DBA"/>
    <w:rsid w:val="00A57991"/>
    <w:rsid w:val="00A775CF"/>
    <w:rsid w:val="00A9265C"/>
    <w:rsid w:val="00AA2C7C"/>
    <w:rsid w:val="00AA463A"/>
    <w:rsid w:val="00AC5ADA"/>
    <w:rsid w:val="00AD1018"/>
    <w:rsid w:val="00AD1A9C"/>
    <w:rsid w:val="00AD30E5"/>
    <w:rsid w:val="00AD46C4"/>
    <w:rsid w:val="00AF5DE1"/>
    <w:rsid w:val="00AF7683"/>
    <w:rsid w:val="00B06045"/>
    <w:rsid w:val="00B157E2"/>
    <w:rsid w:val="00B206DD"/>
    <w:rsid w:val="00B355B7"/>
    <w:rsid w:val="00B4659A"/>
    <w:rsid w:val="00B516CA"/>
    <w:rsid w:val="00B52EF4"/>
    <w:rsid w:val="00B6373A"/>
    <w:rsid w:val="00B777AD"/>
    <w:rsid w:val="00B965A6"/>
    <w:rsid w:val="00BC65EB"/>
    <w:rsid w:val="00BD3DA0"/>
    <w:rsid w:val="00BE701E"/>
    <w:rsid w:val="00BF225A"/>
    <w:rsid w:val="00C03015"/>
    <w:rsid w:val="00C0358D"/>
    <w:rsid w:val="00C223D7"/>
    <w:rsid w:val="00C33081"/>
    <w:rsid w:val="00C35A27"/>
    <w:rsid w:val="00C47B2E"/>
    <w:rsid w:val="00C75205"/>
    <w:rsid w:val="00C82ACF"/>
    <w:rsid w:val="00D014B0"/>
    <w:rsid w:val="00D02F1A"/>
    <w:rsid w:val="00D17E4C"/>
    <w:rsid w:val="00D22DA6"/>
    <w:rsid w:val="00D27A3B"/>
    <w:rsid w:val="00D33845"/>
    <w:rsid w:val="00D35429"/>
    <w:rsid w:val="00D43C34"/>
    <w:rsid w:val="00D63CD2"/>
    <w:rsid w:val="00D729DB"/>
    <w:rsid w:val="00D87DC2"/>
    <w:rsid w:val="00D9151A"/>
    <w:rsid w:val="00D94B05"/>
    <w:rsid w:val="00D96044"/>
    <w:rsid w:val="00DA6169"/>
    <w:rsid w:val="00DB2890"/>
    <w:rsid w:val="00DB7C5B"/>
    <w:rsid w:val="00DE47EE"/>
    <w:rsid w:val="00DF2A2A"/>
    <w:rsid w:val="00E02B0E"/>
    <w:rsid w:val="00E02C2B"/>
    <w:rsid w:val="00E21C27"/>
    <w:rsid w:val="00E26BCF"/>
    <w:rsid w:val="00E418FB"/>
    <w:rsid w:val="00E42328"/>
    <w:rsid w:val="00E466FD"/>
    <w:rsid w:val="00E52109"/>
    <w:rsid w:val="00E56028"/>
    <w:rsid w:val="00E57ACC"/>
    <w:rsid w:val="00E66A67"/>
    <w:rsid w:val="00E733C9"/>
    <w:rsid w:val="00E74539"/>
    <w:rsid w:val="00E75317"/>
    <w:rsid w:val="00EB44A4"/>
    <w:rsid w:val="00EC0CE6"/>
    <w:rsid w:val="00EC2831"/>
    <w:rsid w:val="00EC4766"/>
    <w:rsid w:val="00EC7809"/>
    <w:rsid w:val="00EC7C1D"/>
    <w:rsid w:val="00ED3C0A"/>
    <w:rsid w:val="00ED6C48"/>
    <w:rsid w:val="00EE3045"/>
    <w:rsid w:val="00EF3CBF"/>
    <w:rsid w:val="00EF5A71"/>
    <w:rsid w:val="00F06EDF"/>
    <w:rsid w:val="00F42AED"/>
    <w:rsid w:val="00F65F5D"/>
    <w:rsid w:val="00F86A3A"/>
    <w:rsid w:val="00F86C92"/>
    <w:rsid w:val="00FC66DF"/>
    <w:rsid w:val="00FD1CE5"/>
    <w:rsid w:val="00FF66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7DFE"/>
  <w15:docId w15:val="{2A86FE4C-C66E-4CB8-A9B0-050A1F3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043167"/>
    <w:rPr>
      <w:b/>
      <w:sz w:val="28"/>
    </w:rPr>
  </w:style>
  <w:style w:type="character" w:customStyle="1" w:styleId="H1GChar">
    <w:name w:val="_ H_1_G Char"/>
    <w:link w:val="H1G"/>
    <w:locked/>
    <w:rsid w:val="00043167"/>
    <w:rPr>
      <w:b/>
      <w:sz w:val="24"/>
    </w:rPr>
  </w:style>
  <w:style w:type="paragraph" w:styleId="ListParagraph">
    <w:name w:val="List Paragraph"/>
    <w:basedOn w:val="Normal"/>
    <w:uiPriority w:val="34"/>
    <w:qFormat/>
    <w:rsid w:val="00D9151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locked/>
    <w:rsid w:val="00D9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77562834">
      <w:bodyDiv w:val="1"/>
      <w:marLeft w:val="0"/>
      <w:marRight w:val="0"/>
      <w:marTop w:val="0"/>
      <w:marBottom w:val="0"/>
      <w:divBdr>
        <w:top w:val="none" w:sz="0" w:space="0" w:color="auto"/>
        <w:left w:val="none" w:sz="0" w:space="0" w:color="auto"/>
        <w:bottom w:val="none" w:sz="0" w:space="0" w:color="auto"/>
        <w:right w:val="none" w:sz="0" w:space="0" w:color="auto"/>
      </w:divBdr>
    </w:div>
    <w:div w:id="457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A2AB0C96-4BFA-44A5-9F1B-8D5A4D46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F9910-9DB8-4D22-A445-417F8DD4F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12367</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dc:title>
  <dc:subject>2306582</dc:subject>
  <dc:creator>Laurence BERTHET</dc:creator>
  <cp:keywords/>
  <dc:description/>
  <cp:lastModifiedBy>Maria Rosario Corazon Gatmaytan</cp:lastModifiedBy>
  <cp:revision>2</cp:revision>
  <dcterms:created xsi:type="dcterms:W3CDTF">2023-04-11T11:28:00Z</dcterms:created>
  <dcterms:modified xsi:type="dcterms:W3CDTF">2023-04-11T11:28:00Z</dcterms:modified>
</cp:coreProperties>
</file>