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E52109" w14:paraId="594A2CDF" w14:textId="77777777" w:rsidTr="006476E1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11D50B" w14:textId="77777777" w:rsidR="00E52109" w:rsidRPr="002A32CB" w:rsidRDefault="00E52109" w:rsidP="004858F5"/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26F810" w14:textId="77777777" w:rsidR="00E52109" w:rsidRDefault="00E52109" w:rsidP="006476E1">
            <w:pPr>
              <w:spacing w:after="80"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075B65" w14:textId="5B8154AB" w:rsidR="00E56E8F" w:rsidRDefault="00E56E8F" w:rsidP="00E56E8F">
            <w:pPr>
              <w:jc w:val="right"/>
            </w:pPr>
            <w:r w:rsidRPr="00E56E8F">
              <w:rPr>
                <w:sz w:val="40"/>
              </w:rPr>
              <w:t>ST</w:t>
            </w:r>
            <w:r>
              <w:t>/SG/AC.10/C.3/2023/17−</w:t>
            </w:r>
            <w:r w:rsidRPr="00E56E8F">
              <w:rPr>
                <w:sz w:val="40"/>
              </w:rPr>
              <w:t>ST</w:t>
            </w:r>
            <w:r>
              <w:t>/SG/AC.10/C.4/2023/3</w:t>
            </w:r>
          </w:p>
        </w:tc>
      </w:tr>
      <w:tr w:rsidR="00E52109" w14:paraId="4B01CFEF" w14:textId="77777777" w:rsidTr="006476E1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0DA85888" w14:textId="77777777" w:rsidR="00E52109" w:rsidRDefault="00E52109" w:rsidP="006476E1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E26AD42" wp14:editId="0CD1AE59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0E591401" w14:textId="77777777" w:rsidR="00E52109" w:rsidRDefault="00D94B05" w:rsidP="006476E1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E03EA58" w14:textId="77777777" w:rsidR="00D94B05" w:rsidRDefault="00E56E8F" w:rsidP="00E56E8F">
            <w:pPr>
              <w:spacing w:before="240" w:line="240" w:lineRule="exact"/>
            </w:pPr>
            <w:r>
              <w:t>Distr.: General</w:t>
            </w:r>
          </w:p>
          <w:p w14:paraId="07FB0845" w14:textId="25BEF60C" w:rsidR="00E56E8F" w:rsidRDefault="00C8253C" w:rsidP="00E56E8F">
            <w:pPr>
              <w:spacing w:line="240" w:lineRule="exact"/>
            </w:pPr>
            <w:r w:rsidRPr="00C8253C">
              <w:t>13</w:t>
            </w:r>
            <w:r w:rsidR="00E56E8F" w:rsidRPr="00C8253C">
              <w:t xml:space="preserve"> April 2023</w:t>
            </w:r>
          </w:p>
          <w:p w14:paraId="71537544" w14:textId="77777777" w:rsidR="00E56E8F" w:rsidRDefault="00E56E8F" w:rsidP="00E56E8F">
            <w:pPr>
              <w:spacing w:line="240" w:lineRule="exact"/>
            </w:pPr>
          </w:p>
          <w:p w14:paraId="0A611F7E" w14:textId="29C6A445" w:rsidR="00E56E8F" w:rsidRDefault="00E56E8F" w:rsidP="00E56E8F">
            <w:pPr>
              <w:spacing w:line="240" w:lineRule="exact"/>
            </w:pPr>
            <w:r>
              <w:t>Original: English</w:t>
            </w:r>
          </w:p>
        </w:tc>
      </w:tr>
    </w:tbl>
    <w:p w14:paraId="3311993C" w14:textId="77777777" w:rsidR="00E56E8F" w:rsidRPr="006500BA" w:rsidRDefault="00E56E8F" w:rsidP="004858F5">
      <w:pPr>
        <w:spacing w:before="120"/>
        <w:rPr>
          <w:b/>
          <w:sz w:val="24"/>
          <w:szCs w:val="24"/>
        </w:rPr>
      </w:pPr>
      <w:r w:rsidRPr="006500BA">
        <w:rPr>
          <w:b/>
          <w:sz w:val="24"/>
          <w:szCs w:val="24"/>
        </w:rPr>
        <w:t>Committee of Experts on the Transport of Dangerous Goods</w:t>
      </w:r>
      <w:r w:rsidRPr="006500BA">
        <w:rPr>
          <w:b/>
          <w:sz w:val="24"/>
          <w:szCs w:val="24"/>
        </w:rPr>
        <w:br/>
        <w:t>and on the Globally Harmonized System of Classification</w:t>
      </w:r>
      <w:r w:rsidRPr="006500BA">
        <w:rPr>
          <w:b/>
          <w:sz w:val="24"/>
          <w:szCs w:val="24"/>
        </w:rPr>
        <w:br/>
        <w:t>and Labelling of Chemicals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3"/>
        <w:gridCol w:w="5046"/>
      </w:tblGrid>
      <w:tr w:rsidR="00E56E8F" w:rsidRPr="00302456" w14:paraId="78F3C987" w14:textId="77777777" w:rsidTr="006A38BE">
        <w:tc>
          <w:tcPr>
            <w:tcW w:w="4593" w:type="dxa"/>
            <w:shd w:val="clear" w:color="auto" w:fill="auto"/>
          </w:tcPr>
          <w:p w14:paraId="4530558F" w14:textId="77777777" w:rsidR="00E56E8F" w:rsidRPr="00302456" w:rsidRDefault="00E56E8F">
            <w:pPr>
              <w:spacing w:before="120"/>
              <w:rPr>
                <w:b/>
              </w:rPr>
            </w:pPr>
            <w:r w:rsidRPr="00302456">
              <w:rPr>
                <w:b/>
              </w:rPr>
              <w:t xml:space="preserve">Sub-Committee of Experts on the Transport </w:t>
            </w:r>
            <w:r w:rsidRPr="00302456">
              <w:rPr>
                <w:b/>
              </w:rPr>
              <w:br/>
              <w:t xml:space="preserve">of Dangerous Goods </w:t>
            </w:r>
          </w:p>
        </w:tc>
        <w:tc>
          <w:tcPr>
            <w:tcW w:w="5046" w:type="dxa"/>
            <w:shd w:val="clear" w:color="auto" w:fill="auto"/>
          </w:tcPr>
          <w:p w14:paraId="6A4F22B7" w14:textId="77777777" w:rsidR="00E56E8F" w:rsidRPr="00302456" w:rsidRDefault="00E56E8F">
            <w:pPr>
              <w:spacing w:before="120"/>
              <w:rPr>
                <w:b/>
              </w:rPr>
            </w:pPr>
            <w:r w:rsidRPr="00302456">
              <w:rPr>
                <w:b/>
              </w:rPr>
              <w:t xml:space="preserve">Sub-Committee of Experts on the Globally Harmonized System of Classification and Labelling of Chemicals </w:t>
            </w:r>
          </w:p>
        </w:tc>
      </w:tr>
      <w:tr w:rsidR="00E87E93" w:rsidRPr="00180683" w14:paraId="19B9BCBA" w14:textId="77777777" w:rsidTr="006A38BE">
        <w:tc>
          <w:tcPr>
            <w:tcW w:w="4593" w:type="dxa"/>
            <w:shd w:val="clear" w:color="auto" w:fill="auto"/>
          </w:tcPr>
          <w:p w14:paraId="3B873455" w14:textId="53FBC6BA" w:rsidR="00E87E93" w:rsidRPr="00180683" w:rsidRDefault="00E87E93" w:rsidP="00E87E93">
            <w:pPr>
              <w:spacing w:before="120"/>
              <w:rPr>
                <w:b/>
                <w:highlight w:val="yellow"/>
              </w:rPr>
            </w:pPr>
            <w:r>
              <w:rPr>
                <w:b/>
              </w:rPr>
              <w:t>Sixty-second</w:t>
            </w:r>
            <w:r w:rsidRPr="00302456">
              <w:rPr>
                <w:b/>
              </w:rPr>
              <w:t xml:space="preserve"> session</w:t>
            </w:r>
          </w:p>
        </w:tc>
        <w:tc>
          <w:tcPr>
            <w:tcW w:w="5046" w:type="dxa"/>
            <w:shd w:val="clear" w:color="auto" w:fill="auto"/>
          </w:tcPr>
          <w:p w14:paraId="4CEF771F" w14:textId="1D9985BD" w:rsidR="00E87E93" w:rsidRPr="00180683" w:rsidRDefault="00E87E93" w:rsidP="00E87E93">
            <w:pPr>
              <w:spacing w:before="120"/>
              <w:rPr>
                <w:b/>
                <w:highlight w:val="yellow"/>
              </w:rPr>
            </w:pPr>
            <w:r w:rsidRPr="005F2FC0">
              <w:rPr>
                <w:b/>
              </w:rPr>
              <w:t>Forty-fourth session</w:t>
            </w:r>
          </w:p>
        </w:tc>
      </w:tr>
      <w:tr w:rsidR="00E87E93" w:rsidRPr="00180683" w14:paraId="7F0F2534" w14:textId="77777777" w:rsidTr="006A38BE">
        <w:tc>
          <w:tcPr>
            <w:tcW w:w="4593" w:type="dxa"/>
            <w:shd w:val="clear" w:color="auto" w:fill="auto"/>
          </w:tcPr>
          <w:p w14:paraId="0589E498" w14:textId="10B01384" w:rsidR="00E87E93" w:rsidRPr="00180683" w:rsidRDefault="00E87E93" w:rsidP="00E87E93">
            <w:pPr>
              <w:rPr>
                <w:b/>
                <w:highlight w:val="yellow"/>
              </w:rPr>
            </w:pPr>
            <w:r>
              <w:t>Geneva, 3-7 July 2023</w:t>
            </w:r>
          </w:p>
        </w:tc>
        <w:tc>
          <w:tcPr>
            <w:tcW w:w="5046" w:type="dxa"/>
            <w:shd w:val="clear" w:color="auto" w:fill="auto"/>
          </w:tcPr>
          <w:p w14:paraId="16135777" w14:textId="641577A8" w:rsidR="00E87E93" w:rsidRPr="002D6C4B" w:rsidRDefault="00E87E93" w:rsidP="00E87E93">
            <w:pPr>
              <w:rPr>
                <w:b/>
              </w:rPr>
            </w:pPr>
            <w:r w:rsidRPr="002D6C4B">
              <w:t>Geneva, 10-12 July 2023</w:t>
            </w:r>
          </w:p>
        </w:tc>
      </w:tr>
      <w:tr w:rsidR="00E56E8F" w:rsidRPr="00302456" w14:paraId="518959EF" w14:textId="77777777" w:rsidTr="006A38BE">
        <w:tc>
          <w:tcPr>
            <w:tcW w:w="4593" w:type="dxa"/>
            <w:shd w:val="clear" w:color="auto" w:fill="auto"/>
          </w:tcPr>
          <w:p w14:paraId="74B02D3B" w14:textId="34795CF6" w:rsidR="00E56E8F" w:rsidRPr="00987E05" w:rsidRDefault="00E56E8F">
            <w:r w:rsidRPr="00987E05">
              <w:t xml:space="preserve">Item </w:t>
            </w:r>
            <w:r w:rsidR="005C7A73" w:rsidRPr="00987E05">
              <w:t>2 (h)</w:t>
            </w:r>
            <w:r w:rsidRPr="00987E05">
              <w:t xml:space="preserve"> of the provisional agenda</w:t>
            </w:r>
          </w:p>
          <w:p w14:paraId="17123F17" w14:textId="77777777" w:rsidR="001C4D09" w:rsidRDefault="001C4D09">
            <w:pPr>
              <w:rPr>
                <w:b/>
                <w:bCs/>
              </w:rPr>
            </w:pPr>
            <w:r w:rsidRPr="00987E05">
              <w:rPr>
                <w:b/>
                <w:bCs/>
              </w:rPr>
              <w:t>Explosives and related matters:</w:t>
            </w:r>
          </w:p>
          <w:p w14:paraId="031325D8" w14:textId="51F74693" w:rsidR="0089568A" w:rsidRPr="00987E05" w:rsidRDefault="002D6B89">
            <w:pPr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m</w:t>
            </w:r>
            <w:r w:rsidR="001C7063" w:rsidRPr="001C7063">
              <w:rPr>
                <w:b/>
                <w:bCs/>
              </w:rPr>
              <w:t>iscellaneous</w:t>
            </w:r>
          </w:p>
        </w:tc>
        <w:tc>
          <w:tcPr>
            <w:tcW w:w="5046" w:type="dxa"/>
            <w:shd w:val="clear" w:color="auto" w:fill="auto"/>
          </w:tcPr>
          <w:p w14:paraId="0AD38F24" w14:textId="196D49B2" w:rsidR="00E56E8F" w:rsidRPr="002D6C4B" w:rsidRDefault="00E56E8F">
            <w:r w:rsidRPr="002D6C4B">
              <w:t xml:space="preserve">Item </w:t>
            </w:r>
            <w:r w:rsidR="002D6C4B" w:rsidRPr="002D6C4B">
              <w:t>2 (k)</w:t>
            </w:r>
            <w:r w:rsidRPr="002D6C4B">
              <w:t xml:space="preserve"> of the provisional agenda</w:t>
            </w:r>
          </w:p>
          <w:p w14:paraId="109F7CF4" w14:textId="582B89BD" w:rsidR="00F45B5B" w:rsidRPr="003561DE" w:rsidRDefault="002D6C4B" w:rsidP="00F45B5B">
            <w:pPr>
              <w:rPr>
                <w:b/>
                <w:bCs/>
              </w:rPr>
            </w:pPr>
            <w:r w:rsidRPr="003561DE">
              <w:rPr>
                <w:b/>
                <w:bCs/>
              </w:rPr>
              <w:t>Work on the Globally Harmonized System of Classification and Labelling of Chemicals: other matters</w:t>
            </w:r>
          </w:p>
        </w:tc>
      </w:tr>
      <w:tr w:rsidR="00E56E8F" w:rsidRPr="00E66746" w14:paraId="13AB432F" w14:textId="77777777" w:rsidTr="006A38BE">
        <w:tc>
          <w:tcPr>
            <w:tcW w:w="4593" w:type="dxa"/>
            <w:shd w:val="clear" w:color="auto" w:fill="auto"/>
          </w:tcPr>
          <w:p w14:paraId="1D4C06A2" w14:textId="77777777" w:rsidR="00E56E8F" w:rsidRPr="00E66746" w:rsidRDefault="00E56E8F">
            <w:pPr>
              <w:rPr>
                <w:b/>
              </w:rPr>
            </w:pPr>
          </w:p>
        </w:tc>
        <w:tc>
          <w:tcPr>
            <w:tcW w:w="5046" w:type="dxa"/>
            <w:shd w:val="clear" w:color="auto" w:fill="auto"/>
          </w:tcPr>
          <w:p w14:paraId="08A74268" w14:textId="77777777" w:rsidR="00E56E8F" w:rsidRPr="00E66746" w:rsidRDefault="00E56E8F">
            <w:pPr>
              <w:rPr>
                <w:b/>
              </w:rPr>
            </w:pPr>
          </w:p>
        </w:tc>
      </w:tr>
    </w:tbl>
    <w:p w14:paraId="2C3D2CC7" w14:textId="77777777" w:rsidR="00E56E8F" w:rsidRPr="0077101B" w:rsidRDefault="00E56E8F" w:rsidP="00E26BCF"/>
    <w:p w14:paraId="15B4255F" w14:textId="1B817D7D" w:rsidR="00BE0687" w:rsidRPr="00BE0687" w:rsidRDefault="00BE0687" w:rsidP="00BE0687">
      <w:pPr>
        <w:pStyle w:val="HChG"/>
      </w:pPr>
      <w:r>
        <w:tab/>
      </w:r>
      <w:r>
        <w:tab/>
      </w:r>
      <w:r w:rsidRPr="00BE0687">
        <w:t>Consideration of amendments to Chapter 2.17 (Desensiti</w:t>
      </w:r>
      <w:r w:rsidR="00B63691">
        <w:t>z</w:t>
      </w:r>
      <w:r w:rsidRPr="00BE0687">
        <w:t xml:space="preserve">ed explosives) of the </w:t>
      </w:r>
      <w:r w:rsidR="00B63691">
        <w:t>Globally Harmonized System</w:t>
      </w:r>
      <w:r w:rsidRPr="00BE0687">
        <w:t xml:space="preserve"> and </w:t>
      </w:r>
      <w:r w:rsidR="00B63691">
        <w:t>s</w:t>
      </w:r>
      <w:r w:rsidRPr="00BE0687">
        <w:t>ection</w:t>
      </w:r>
      <w:r w:rsidR="00421026">
        <w:t> </w:t>
      </w:r>
      <w:r w:rsidRPr="00BE0687">
        <w:t xml:space="preserve">51 of </w:t>
      </w:r>
      <w:r w:rsidR="00987E05">
        <w:t xml:space="preserve">the </w:t>
      </w:r>
      <w:r w:rsidRPr="00BE0687">
        <w:t>Manual of Tests and Criteria</w:t>
      </w:r>
    </w:p>
    <w:p w14:paraId="3B0A5E4A" w14:textId="1100123D" w:rsidR="00BE0687" w:rsidRDefault="00BE0687" w:rsidP="00BE0687">
      <w:pPr>
        <w:pStyle w:val="H1G"/>
      </w:pPr>
      <w:r>
        <w:rPr>
          <w:lang w:val="en-AU"/>
        </w:rPr>
        <w:tab/>
      </w:r>
      <w:r>
        <w:rPr>
          <w:lang w:val="en-AU"/>
        </w:rPr>
        <w:tab/>
      </w:r>
      <w:r>
        <w:t>Transmitted by the Australasian Explosives Industry Safety Group Inc. (AEISG)</w:t>
      </w:r>
      <w:r w:rsidR="00BD6D75" w:rsidRPr="00730126">
        <w:rPr>
          <w:rStyle w:val="FootnoteReference"/>
          <w:rFonts w:eastAsia="Arial Unicode MS" w:cs="Arial Unicode MS"/>
          <w:sz w:val="20"/>
          <w:vertAlign w:val="baseline"/>
          <w:lang w:eastAsia="en-US"/>
        </w:rPr>
        <w:footnoteReference w:customMarkFollows="1" w:id="2"/>
        <w:t>*</w:t>
      </w:r>
    </w:p>
    <w:p w14:paraId="17D0203E" w14:textId="77777777" w:rsidR="00BE0687" w:rsidRPr="007628D5" w:rsidRDefault="00BE0687" w:rsidP="00BE0687">
      <w:pPr>
        <w:pStyle w:val="HChG"/>
      </w:pPr>
      <w:r>
        <w:tab/>
      </w:r>
      <w:r>
        <w:tab/>
        <w:t>Background</w:t>
      </w:r>
    </w:p>
    <w:p w14:paraId="26719875" w14:textId="03EF14FB" w:rsidR="00BE0687" w:rsidRPr="00BE0687" w:rsidRDefault="00BE0687" w:rsidP="00BE0687">
      <w:pPr>
        <w:pStyle w:val="SingleTxtG"/>
      </w:pPr>
      <w:r w:rsidRPr="00BE0687">
        <w:t>1.</w:t>
      </w:r>
      <w:r w:rsidRPr="00BE0687">
        <w:tab/>
        <w:t xml:space="preserve">At its forty-third session, the Sub-Committee of Experts on the Globally </w:t>
      </w:r>
      <w:r w:rsidR="005F5DD2" w:rsidRPr="00BE0687">
        <w:t>Harmoni</w:t>
      </w:r>
      <w:r w:rsidR="005F5DD2">
        <w:t>z</w:t>
      </w:r>
      <w:r w:rsidR="005F5DD2" w:rsidRPr="00BE0687">
        <w:t xml:space="preserve">ed </w:t>
      </w:r>
      <w:r w:rsidRPr="00BE0687">
        <w:t>System of Classification and Labelling of Chemicals (GHS) adopted changes to Chapter 2.17 (Desensiti</w:t>
      </w:r>
      <w:r w:rsidR="00905291">
        <w:t>z</w:t>
      </w:r>
      <w:r w:rsidRPr="00BE0687">
        <w:t xml:space="preserve">ed explosives) of the GHS and to </w:t>
      </w:r>
      <w:r w:rsidR="00905291">
        <w:t>s</w:t>
      </w:r>
      <w:r w:rsidRPr="00BE0687">
        <w:t xml:space="preserve">ection 51 of the Manual of Tests and Criteria (MTC) as proposed in document ST/SG/AC.10/C.4/2022/10 from Germany and </w:t>
      </w:r>
      <w:r w:rsidR="00905291">
        <w:t>the United States of America</w:t>
      </w:r>
      <w:r w:rsidR="00905291" w:rsidRPr="00BE0687">
        <w:t xml:space="preserve"> </w:t>
      </w:r>
      <w:r w:rsidRPr="00BE0687">
        <w:t xml:space="preserve">with amendments as outlined in </w:t>
      </w:r>
      <w:r w:rsidR="001F577D">
        <w:t xml:space="preserve">informal </w:t>
      </w:r>
      <w:r w:rsidRPr="00BE0687">
        <w:t xml:space="preserve">document INF.35 </w:t>
      </w:r>
      <w:r w:rsidR="00905291">
        <w:t xml:space="preserve">(forty-third session) </w:t>
      </w:r>
      <w:r w:rsidRPr="00BE0687">
        <w:t xml:space="preserve">from Germany, </w:t>
      </w:r>
      <w:r w:rsidR="00905291">
        <w:t>the United States of America</w:t>
      </w:r>
      <w:r w:rsidR="00905291" w:rsidRPr="00BE0687">
        <w:t xml:space="preserve"> </w:t>
      </w:r>
      <w:r w:rsidRPr="00BE0687">
        <w:t xml:space="preserve">and </w:t>
      </w:r>
      <w:r w:rsidR="00905291">
        <w:t xml:space="preserve">the United Kingdom. </w:t>
      </w:r>
      <w:r w:rsidRPr="00BE0687">
        <w:t xml:space="preserve">The GHS Sub-Committee adopted some additional consequential editorial corrections as outlined in </w:t>
      </w:r>
      <w:r w:rsidR="00905291">
        <w:t>a</w:t>
      </w:r>
      <w:r w:rsidRPr="00BE0687">
        <w:t>nnex</w:t>
      </w:r>
      <w:r w:rsidR="00447F71">
        <w:t> </w:t>
      </w:r>
      <w:r w:rsidRPr="00BE0687">
        <w:t xml:space="preserve">I </w:t>
      </w:r>
      <w:r w:rsidR="00905291">
        <w:t xml:space="preserve">to </w:t>
      </w:r>
      <w:r w:rsidRPr="00BE0687">
        <w:t xml:space="preserve">the </w:t>
      </w:r>
      <w:r w:rsidR="00905291">
        <w:t>r</w:t>
      </w:r>
      <w:r w:rsidRPr="00BE0687">
        <w:t xml:space="preserve">eport </w:t>
      </w:r>
      <w:r w:rsidR="00905291">
        <w:t>on its</w:t>
      </w:r>
      <w:r w:rsidRPr="00BE0687">
        <w:t xml:space="preserve"> </w:t>
      </w:r>
      <w:r w:rsidR="00905291">
        <w:t xml:space="preserve">forty-third </w:t>
      </w:r>
      <w:r w:rsidRPr="00BE0687">
        <w:t>session (ST/SG/AC.10/C.4/86).</w:t>
      </w:r>
    </w:p>
    <w:p w14:paraId="6854FEF6" w14:textId="5BAA05EF" w:rsidR="00BE0687" w:rsidRPr="00350333" w:rsidRDefault="00BE0687" w:rsidP="00447F71">
      <w:pPr>
        <w:pStyle w:val="SingleTxtG"/>
      </w:pPr>
      <w:r w:rsidRPr="00350333">
        <w:t>2.</w:t>
      </w:r>
      <w:r w:rsidRPr="00350333">
        <w:tab/>
      </w:r>
      <w:r w:rsidRPr="00447F71">
        <w:t>While AEISG supported the proposed changes, it raised a number of issues of potential confusion or unintended consequences related to the changes (</w:t>
      </w:r>
      <w:r w:rsidR="00447F71" w:rsidRPr="00447F71">
        <w:t xml:space="preserve">see informal document </w:t>
      </w:r>
      <w:r w:rsidRPr="00447F71">
        <w:t>INF.12</w:t>
      </w:r>
      <w:r w:rsidR="00447F71" w:rsidRPr="00447F71">
        <w:t>, forty-third session</w:t>
      </w:r>
      <w:r w:rsidRPr="00447F71">
        <w:t xml:space="preserve">). </w:t>
      </w:r>
      <w:r w:rsidRPr="00350333">
        <w:t xml:space="preserve">The Sub-Committee took note of the relevant discussions by the </w:t>
      </w:r>
      <w:r w:rsidR="00447F71" w:rsidRPr="00350333">
        <w:t>Sub-Committee of Experts on the Transport of Dangerous Goods (</w:t>
      </w:r>
      <w:r w:rsidRPr="00350333">
        <w:t>TDG Sub-Committee</w:t>
      </w:r>
      <w:r w:rsidR="00447F71" w:rsidRPr="00350333">
        <w:t>)</w:t>
      </w:r>
      <w:r w:rsidRPr="00350333">
        <w:t xml:space="preserve"> including the invitation by the Chairman of the Explosives Working Group for AEISG to address issues raised in its submission in the next biennium.</w:t>
      </w:r>
    </w:p>
    <w:p w14:paraId="494A4DD2" w14:textId="24B295E4" w:rsidR="00BE0687" w:rsidRDefault="00BE0687" w:rsidP="00BE0687">
      <w:pPr>
        <w:pStyle w:val="HChG"/>
      </w:pPr>
      <w:r>
        <w:lastRenderedPageBreak/>
        <w:tab/>
      </w:r>
      <w:r>
        <w:tab/>
      </w:r>
      <w:bookmarkStart w:id="0" w:name="_Hlk129524710"/>
      <w:r>
        <w:t xml:space="preserve">Issues and </w:t>
      </w:r>
      <w:r w:rsidR="00447F71">
        <w:t>d</w:t>
      </w:r>
      <w:r>
        <w:t>iscussion</w:t>
      </w:r>
      <w:bookmarkEnd w:id="0"/>
    </w:p>
    <w:p w14:paraId="498A9A2E" w14:textId="72F258BA" w:rsidR="00447F71" w:rsidRPr="00447F71" w:rsidRDefault="00F404B3" w:rsidP="00350333">
      <w:pPr>
        <w:pStyle w:val="H1G"/>
      </w:pPr>
      <w:r>
        <w:tab/>
      </w:r>
      <w:r>
        <w:tab/>
      </w:r>
      <w:r w:rsidR="00447F71" w:rsidRPr="00447F71">
        <w:t>Inconsistent classification of explosives</w:t>
      </w:r>
    </w:p>
    <w:p w14:paraId="651CFE77" w14:textId="2FB24672" w:rsidR="00BE0687" w:rsidRPr="00F404B3" w:rsidRDefault="00BE0687" w:rsidP="00350333">
      <w:pPr>
        <w:pStyle w:val="SingleTxtG"/>
      </w:pPr>
      <w:r w:rsidRPr="00350333">
        <w:t>3.</w:t>
      </w:r>
      <w:r w:rsidRPr="00350333">
        <w:tab/>
      </w:r>
      <w:r w:rsidRPr="00F404B3">
        <w:t xml:space="preserve">Chapter 2.17 of the GHS and the associated </w:t>
      </w:r>
      <w:r w:rsidR="00F404B3">
        <w:t>s</w:t>
      </w:r>
      <w:r w:rsidRPr="00F404B3">
        <w:t xml:space="preserve">ection 51 of the MTC seek to classify products as desensitised explosives for GHS purposes and then to use the </w:t>
      </w:r>
      <w:r w:rsidR="00F404B3">
        <w:t>b</w:t>
      </w:r>
      <w:r w:rsidRPr="00F404B3">
        <w:t xml:space="preserve">urning </w:t>
      </w:r>
      <w:r w:rsidR="00F404B3">
        <w:t>r</w:t>
      </w:r>
      <w:r w:rsidRPr="00F404B3">
        <w:t xml:space="preserve">ate </w:t>
      </w:r>
      <w:r w:rsidR="00F404B3">
        <w:t>t</w:t>
      </w:r>
      <w:r w:rsidRPr="00F404B3">
        <w:t>est (external fire) to place such products into one of four categories.</w:t>
      </w:r>
    </w:p>
    <w:p w14:paraId="245AF84B" w14:textId="597DFB9A" w:rsidR="00BE0687" w:rsidRPr="00F404B3" w:rsidRDefault="00F404B3" w:rsidP="00350333">
      <w:pPr>
        <w:pStyle w:val="SingleTxtG"/>
      </w:pPr>
      <w:r>
        <w:t>4.</w:t>
      </w:r>
      <w:r w:rsidR="00BE0687" w:rsidRPr="00F404B3">
        <w:tab/>
        <w:t xml:space="preserve">However, both </w:t>
      </w:r>
      <w:r>
        <w:t>c</w:t>
      </w:r>
      <w:r w:rsidR="00BE0687" w:rsidRPr="00F404B3">
        <w:t xml:space="preserve">hapter 2.17 of the GHS (see Note to 2.17.2.2) and </w:t>
      </w:r>
      <w:r>
        <w:t>s</w:t>
      </w:r>
      <w:r w:rsidR="00BE0687" w:rsidRPr="00F404B3">
        <w:t xml:space="preserve">ection 51 of the MTC (see 51.4.4.3 and 51.4.4.5) also declare products to be in the </w:t>
      </w:r>
      <w:r>
        <w:t>c</w:t>
      </w:r>
      <w:r w:rsidR="00BE0687" w:rsidRPr="00F404B3">
        <w:t xml:space="preserve">lass of </w:t>
      </w:r>
      <w:r>
        <w:t>e</w:t>
      </w:r>
      <w:r w:rsidR="00BE0687" w:rsidRPr="00F404B3">
        <w:t xml:space="preserve">xplosives despite the relevant criteria (including the </w:t>
      </w:r>
      <w:r>
        <w:t>b</w:t>
      </w:r>
      <w:r w:rsidR="00BE0687" w:rsidRPr="00F404B3">
        <w:t xml:space="preserve">urning </w:t>
      </w:r>
      <w:r>
        <w:t>r</w:t>
      </w:r>
      <w:r w:rsidR="00BE0687" w:rsidRPr="00F404B3">
        <w:t xml:space="preserve">ate </w:t>
      </w:r>
      <w:r>
        <w:t>t</w:t>
      </w:r>
      <w:r w:rsidR="00BE0687" w:rsidRPr="00F404B3">
        <w:t xml:space="preserve">est) not being included or even referenced in </w:t>
      </w:r>
      <w:r>
        <w:t>p</w:t>
      </w:r>
      <w:r w:rsidR="00BE0687" w:rsidRPr="00F404B3">
        <w:t>art 1 of the MTC which classifies explosives.</w:t>
      </w:r>
    </w:p>
    <w:p w14:paraId="50F41FA6" w14:textId="18BA5EF7" w:rsidR="00BE0687" w:rsidRPr="00F404B3" w:rsidRDefault="00F404B3" w:rsidP="00350333">
      <w:pPr>
        <w:pStyle w:val="SingleTxtG"/>
      </w:pPr>
      <w:r>
        <w:t>5.</w:t>
      </w:r>
      <w:r>
        <w:tab/>
      </w:r>
      <w:r w:rsidR="00BE0687" w:rsidRPr="00F404B3">
        <w:t xml:space="preserve">AEISG believes this creates confusion as to the correct classification process for explosives and creates inconsistencies between </w:t>
      </w:r>
      <w:r>
        <w:t>c</w:t>
      </w:r>
      <w:r w:rsidR="00BE0687" w:rsidRPr="00F404B3">
        <w:t xml:space="preserve">hapters 2.1 and 2.17 of the GHS, and between </w:t>
      </w:r>
      <w:r>
        <w:t>s</w:t>
      </w:r>
      <w:r w:rsidR="00BE0687" w:rsidRPr="00F404B3">
        <w:t xml:space="preserve">ection 51 and </w:t>
      </w:r>
      <w:r>
        <w:t>p</w:t>
      </w:r>
      <w:r w:rsidR="00BE0687" w:rsidRPr="00F404B3">
        <w:t>art 1 of the MTC.</w:t>
      </w:r>
    </w:p>
    <w:p w14:paraId="406F0B4E" w14:textId="0143BDDA" w:rsidR="00BE0687" w:rsidRPr="00F404B3" w:rsidRDefault="00F404B3" w:rsidP="00350333">
      <w:pPr>
        <w:pStyle w:val="SingleTxtG"/>
      </w:pPr>
      <w:r w:rsidRPr="00F404B3">
        <w:t>6.</w:t>
      </w:r>
      <w:r w:rsidR="00BE0687" w:rsidRPr="00F404B3">
        <w:tab/>
        <w:t xml:space="preserve">This perceived inconsistency could be overcome by slight rewording of the </w:t>
      </w:r>
      <w:r>
        <w:t>n</w:t>
      </w:r>
      <w:r w:rsidR="00BE0687" w:rsidRPr="00F404B3">
        <w:t xml:space="preserve">ote to </w:t>
      </w:r>
      <w:r>
        <w:t>s</w:t>
      </w:r>
      <w:r w:rsidR="00BE0687" w:rsidRPr="00F404B3">
        <w:t>ection 2.17.2 of Chapter 2.17 and to sections 51.4.4.3 and 51.4.4.5 of the MTC as later proposed.</w:t>
      </w:r>
    </w:p>
    <w:p w14:paraId="7F118DAB" w14:textId="1B9C1C00" w:rsidR="00BE0687" w:rsidRPr="00350333" w:rsidRDefault="00BE0687" w:rsidP="00350333">
      <w:pPr>
        <w:pStyle w:val="H1G"/>
        <w:ind w:firstLine="0"/>
      </w:pPr>
      <w:bookmarkStart w:id="1" w:name="_Hlk129526399"/>
      <w:r w:rsidRPr="00350333">
        <w:t xml:space="preserve">Exclusion of </w:t>
      </w:r>
      <w:r w:rsidR="007B21F7">
        <w:t>n</w:t>
      </w:r>
      <w:r w:rsidRPr="00350333">
        <w:t xml:space="preserve">itrocellulose </w:t>
      </w:r>
      <w:r w:rsidR="007B21F7">
        <w:t>m</w:t>
      </w:r>
      <w:r w:rsidRPr="00350333">
        <w:t xml:space="preserve">ixtures from </w:t>
      </w:r>
      <w:r w:rsidR="007B21F7">
        <w:t>s</w:t>
      </w:r>
      <w:r w:rsidRPr="00350333">
        <w:t xml:space="preserve">ensitivity </w:t>
      </w:r>
      <w:r w:rsidR="007B21F7">
        <w:t>t</w:t>
      </w:r>
      <w:r w:rsidRPr="00350333">
        <w:t>esting</w:t>
      </w:r>
      <w:bookmarkEnd w:id="1"/>
    </w:p>
    <w:p w14:paraId="5F74CD42" w14:textId="3D89C1AF" w:rsidR="00BE0687" w:rsidRDefault="007B21F7" w:rsidP="00350333">
      <w:pPr>
        <w:pStyle w:val="SingleTxtG"/>
      </w:pPr>
      <w:r>
        <w:t>7.</w:t>
      </w:r>
      <w:r>
        <w:tab/>
      </w:r>
      <w:r w:rsidR="00BE0687">
        <w:t xml:space="preserve">A significant reason for the recent review of </w:t>
      </w:r>
      <w:r w:rsidR="0010536D">
        <w:t>c</w:t>
      </w:r>
      <w:r w:rsidR="00BE0687">
        <w:t xml:space="preserve">hapter 2.17 </w:t>
      </w:r>
      <w:r w:rsidR="00B94331">
        <w:t xml:space="preserve">of the GHS </w:t>
      </w:r>
      <w:r w:rsidR="00BE0687">
        <w:t xml:space="preserve">was to ensure that products were not included in this </w:t>
      </w:r>
      <w:r w:rsidR="0010536D">
        <w:t>c</w:t>
      </w:r>
      <w:r w:rsidR="00BE0687">
        <w:t xml:space="preserve">lass of </w:t>
      </w:r>
      <w:r w:rsidR="00026832">
        <w:t>d</w:t>
      </w:r>
      <w:r w:rsidR="00BE0687">
        <w:t>esensiti</w:t>
      </w:r>
      <w:r w:rsidR="0010536D">
        <w:t>z</w:t>
      </w:r>
      <w:r w:rsidR="00BE0687">
        <w:t>ed explosive</w:t>
      </w:r>
      <w:r w:rsidR="00026832">
        <w:t>s</w:t>
      </w:r>
      <w:r w:rsidR="00BE0687">
        <w:t xml:space="preserve"> if they were overly sensitive to initiation or ignition.</w:t>
      </w:r>
    </w:p>
    <w:p w14:paraId="1EF34BCC" w14:textId="7038B5D2" w:rsidR="00BE0687" w:rsidRDefault="007B21F7" w:rsidP="00350333">
      <w:pPr>
        <w:pStyle w:val="SingleTxtG"/>
      </w:pPr>
      <w:r>
        <w:t>8.</w:t>
      </w:r>
      <w:r w:rsidR="00BE0687">
        <w:tab/>
        <w:t xml:space="preserve">To address this requirement a new criterion was included as </w:t>
      </w:r>
      <w:r w:rsidR="0010536D">
        <w:t>sub</w:t>
      </w:r>
      <w:r w:rsidR="00BE0687">
        <w:t>para</w:t>
      </w:r>
      <w:r w:rsidR="0010536D">
        <w:t>graph</w:t>
      </w:r>
      <w:r w:rsidR="00BE0687">
        <w:t xml:space="preserve"> 2.17.2.2</w:t>
      </w:r>
      <w:r w:rsidR="001F577D">
        <w:t> </w:t>
      </w:r>
      <w:r w:rsidR="00BE0687">
        <w:t xml:space="preserve">(b)(ii) requiring products to be not too sensitive according to </w:t>
      </w:r>
      <w:r w:rsidR="0010536D">
        <w:t>t</w:t>
      </w:r>
      <w:r w:rsidR="00BE0687">
        <w:t xml:space="preserve">est </w:t>
      </w:r>
      <w:r w:rsidR="0010536D">
        <w:t>s</w:t>
      </w:r>
      <w:r w:rsidR="00BE0687">
        <w:t xml:space="preserve">eries 3. However, a </w:t>
      </w:r>
      <w:r w:rsidR="0010536D">
        <w:t>n</w:t>
      </w:r>
      <w:r w:rsidR="00BE0687">
        <w:t>ote has been added to para</w:t>
      </w:r>
      <w:r w:rsidR="0010536D">
        <w:t>graph</w:t>
      </w:r>
      <w:r w:rsidR="00BE0687">
        <w:t xml:space="preserve"> 2.17.2.3 which appears to exempt nitrocellulose mixtures from this criterion.</w:t>
      </w:r>
    </w:p>
    <w:p w14:paraId="76AF9D62" w14:textId="7A9F7BE6" w:rsidR="00BE0687" w:rsidRDefault="007B21F7" w:rsidP="00350333">
      <w:pPr>
        <w:pStyle w:val="SingleTxtG"/>
      </w:pPr>
      <w:r>
        <w:t>9.</w:t>
      </w:r>
      <w:r w:rsidR="00BE0687">
        <w:tab/>
        <w:t xml:space="preserve">Test </w:t>
      </w:r>
      <w:r w:rsidR="00026832">
        <w:t>s</w:t>
      </w:r>
      <w:r w:rsidR="00BE0687">
        <w:t xml:space="preserve">eries 3 of the MTC includes mechanical sensitivity testing (impact, shock, friction) and thermal stability testing. Nitrocellulose mixtures are subjected to stability testing in accordance with </w:t>
      </w:r>
      <w:r w:rsidR="00026832">
        <w:t>a</w:t>
      </w:r>
      <w:r w:rsidR="00BE0687">
        <w:t xml:space="preserve">ppendix 10 of the MTC and could reasonably be exempted from the thermal stability testing of </w:t>
      </w:r>
      <w:r w:rsidR="00026832">
        <w:t>t</w:t>
      </w:r>
      <w:r w:rsidR="00BE0687">
        <w:t xml:space="preserve">est </w:t>
      </w:r>
      <w:r w:rsidR="00026832">
        <w:t>s</w:t>
      </w:r>
      <w:r w:rsidR="00BE0687">
        <w:t xml:space="preserve">eries 3. This issue is addressed in the footnote 2 to </w:t>
      </w:r>
      <w:r w:rsidR="00026832">
        <w:t>d</w:t>
      </w:r>
      <w:r w:rsidR="00BE0687">
        <w:t xml:space="preserve">ecision </w:t>
      </w:r>
      <w:r w:rsidR="00026832">
        <w:t>l</w:t>
      </w:r>
      <w:r w:rsidR="00BE0687">
        <w:t>ogic 2.17.1</w:t>
      </w:r>
      <w:r w:rsidR="00026832">
        <w:t xml:space="preserve"> in chapter 2.17 of the GHS</w:t>
      </w:r>
      <w:r w:rsidR="00BE0687">
        <w:t xml:space="preserve"> and in </w:t>
      </w:r>
      <w:r w:rsidR="00026832">
        <w:t>s</w:t>
      </w:r>
      <w:r w:rsidR="00BE0687">
        <w:t xml:space="preserve">ection </w:t>
      </w:r>
      <w:r w:rsidR="00026832">
        <w:t xml:space="preserve">51, subparagraph </w:t>
      </w:r>
      <w:r w:rsidR="00BE0687">
        <w:t>51.3.2</w:t>
      </w:r>
      <w:r w:rsidR="00026832">
        <w:t xml:space="preserve"> </w:t>
      </w:r>
      <w:r w:rsidR="00BE0687">
        <w:t>(c) of the MTC. However, it is unclear why such products would not need to be subjected to the other mechanical sensitivity tests.</w:t>
      </w:r>
    </w:p>
    <w:p w14:paraId="4A35B55B" w14:textId="08E0520C" w:rsidR="00BE0687" w:rsidRDefault="007B21F7" w:rsidP="00350333">
      <w:pPr>
        <w:pStyle w:val="SingleTxtG"/>
      </w:pPr>
      <w:r>
        <w:t>10.</w:t>
      </w:r>
      <w:r w:rsidR="00BE0687">
        <w:tab/>
        <w:t xml:space="preserve">Without further clarification as to the appropriateness of the current wording of the </w:t>
      </w:r>
      <w:r w:rsidR="00026832">
        <w:t xml:space="preserve">note </w:t>
      </w:r>
      <w:r w:rsidR="00BE0687">
        <w:t>to para</w:t>
      </w:r>
      <w:r w:rsidR="00026832">
        <w:t>graph</w:t>
      </w:r>
      <w:r w:rsidR="00BE0687">
        <w:t xml:space="preserve"> 2.17.2.3</w:t>
      </w:r>
      <w:r w:rsidR="00026832">
        <w:t xml:space="preserve"> in the GHS</w:t>
      </w:r>
      <w:r w:rsidR="00BE0687">
        <w:t>, it is proposed to delete the note to remove this apparent anomaly to ensure all products are appropriately sensitivity tested.</w:t>
      </w:r>
    </w:p>
    <w:p w14:paraId="097B4E89" w14:textId="293FFEAC" w:rsidR="00BE0687" w:rsidRPr="00350333" w:rsidRDefault="00BE0687" w:rsidP="00350333">
      <w:pPr>
        <w:pStyle w:val="H1G"/>
        <w:ind w:firstLine="0"/>
      </w:pPr>
      <w:r w:rsidRPr="00350333">
        <w:t xml:space="preserve">Application of </w:t>
      </w:r>
      <w:r w:rsidR="007B21F7">
        <w:t>the b</w:t>
      </w:r>
      <w:r w:rsidRPr="00350333">
        <w:t xml:space="preserve">urning </w:t>
      </w:r>
      <w:r w:rsidR="007B21F7">
        <w:t>r</w:t>
      </w:r>
      <w:r w:rsidRPr="00350333">
        <w:t xml:space="preserve">ate </w:t>
      </w:r>
      <w:r w:rsidR="007B21F7">
        <w:t>t</w:t>
      </w:r>
      <w:r w:rsidRPr="00350333">
        <w:t>est</w:t>
      </w:r>
    </w:p>
    <w:p w14:paraId="5A809584" w14:textId="2F4EB1BF" w:rsidR="00BE0687" w:rsidRDefault="007B21F7" w:rsidP="00350333">
      <w:pPr>
        <w:pStyle w:val="SingleTxtG"/>
      </w:pPr>
      <w:r>
        <w:t>11.</w:t>
      </w:r>
      <w:r w:rsidR="00BE0687">
        <w:tab/>
        <w:t xml:space="preserve">As previously indicated, </w:t>
      </w:r>
      <w:r w:rsidR="00B033D1">
        <w:t>s</w:t>
      </w:r>
      <w:r w:rsidR="00BE0687">
        <w:t xml:space="preserve">ection 51 of the MTC uses the </w:t>
      </w:r>
      <w:r w:rsidR="00B94331">
        <w:t>b</w:t>
      </w:r>
      <w:r w:rsidR="00BE0687">
        <w:t xml:space="preserve">urning </w:t>
      </w:r>
      <w:r w:rsidR="00B94331">
        <w:t>r</w:t>
      </w:r>
      <w:r w:rsidR="00BE0687">
        <w:t xml:space="preserve">ate </w:t>
      </w:r>
      <w:r w:rsidR="00B94331">
        <w:t>t</w:t>
      </w:r>
      <w:r w:rsidR="00BE0687">
        <w:t xml:space="preserve">est to </w:t>
      </w:r>
      <w:r w:rsidR="00653815">
        <w:t xml:space="preserve">categorize desensitized </w:t>
      </w:r>
      <w:r w:rsidR="00BE0687">
        <w:t xml:space="preserve">explosives. Section 51.4.1.2 applies the test to all types of packages unless </w:t>
      </w:r>
      <w:r w:rsidR="00653815">
        <w:t>“</w:t>
      </w:r>
      <w:r w:rsidR="00BE0687">
        <w:t>the substance or mixture, as packaged for supply and use, is assigned to the hazard class “Explosives”, Division 1.1.</w:t>
      </w:r>
      <w:r w:rsidR="00653815">
        <w:t>”.</w:t>
      </w:r>
    </w:p>
    <w:p w14:paraId="11F4C831" w14:textId="0BD62AE9" w:rsidR="00BE0687" w:rsidRPr="0040049C" w:rsidRDefault="007B21F7" w:rsidP="00350333">
      <w:pPr>
        <w:pStyle w:val="SingleTxtG"/>
      </w:pPr>
      <w:r>
        <w:t>12.</w:t>
      </w:r>
      <w:r w:rsidR="00BE0687">
        <w:tab/>
        <w:t xml:space="preserve">AEISG is of the view that the </w:t>
      </w:r>
      <w:r w:rsidR="00653815">
        <w:t>b</w:t>
      </w:r>
      <w:r w:rsidR="00BE0687">
        <w:t xml:space="preserve">urning </w:t>
      </w:r>
      <w:r w:rsidR="00653815">
        <w:t>r</w:t>
      </w:r>
      <w:r w:rsidR="00BE0687">
        <w:t xml:space="preserve">ate </w:t>
      </w:r>
      <w:r w:rsidR="00653815">
        <w:t>t</w:t>
      </w:r>
      <w:r w:rsidR="00BE0687">
        <w:t xml:space="preserve">est is not applicable to </w:t>
      </w:r>
      <w:r w:rsidR="00BE0687" w:rsidRPr="00350333">
        <w:t xml:space="preserve">any </w:t>
      </w:r>
      <w:r w:rsidR="00BE0687">
        <w:t xml:space="preserve">substances or mixtures assigned to the hazard class “Explosives” regardless of the </w:t>
      </w:r>
      <w:r w:rsidR="00653815">
        <w:t>d</w:t>
      </w:r>
      <w:r w:rsidR="00BE0687">
        <w:t>ivision (1.1 through to</w:t>
      </w:r>
      <w:r w:rsidR="00DF058D">
        <w:t> </w:t>
      </w:r>
      <w:r w:rsidR="00BE0687">
        <w:t xml:space="preserve">1.6) and hence believes that the term </w:t>
      </w:r>
      <w:r w:rsidR="00653815">
        <w:t>“</w:t>
      </w:r>
      <w:r w:rsidR="00BE0687">
        <w:t>Division 1.1</w:t>
      </w:r>
      <w:r w:rsidR="00653815">
        <w:t>”</w:t>
      </w:r>
      <w:r w:rsidR="00BE0687">
        <w:t xml:space="preserve"> should be deleted.</w:t>
      </w:r>
    </w:p>
    <w:p w14:paraId="780779F6" w14:textId="3D4191BC" w:rsidR="00BE0687" w:rsidRPr="00350333" w:rsidRDefault="007B21F7" w:rsidP="00350333">
      <w:pPr>
        <w:pStyle w:val="HChG"/>
      </w:pPr>
      <w:r>
        <w:tab/>
      </w:r>
      <w:r>
        <w:tab/>
      </w:r>
      <w:r w:rsidR="00BE0687" w:rsidRPr="00350333">
        <w:t>Proposals</w:t>
      </w:r>
    </w:p>
    <w:p w14:paraId="51DEC349" w14:textId="33DB4C06" w:rsidR="00BE0687" w:rsidRPr="00350333" w:rsidRDefault="0029700F" w:rsidP="00350333">
      <w:pPr>
        <w:pStyle w:val="SingleTxtG"/>
      </w:pPr>
      <w:r w:rsidRPr="00350333">
        <w:t>13.</w:t>
      </w:r>
      <w:r w:rsidRPr="00350333">
        <w:tab/>
      </w:r>
      <w:r w:rsidR="009A245E" w:rsidRPr="00350333">
        <w:t>Proposals addressing the i</w:t>
      </w:r>
      <w:r w:rsidR="00BE0687" w:rsidRPr="00350333">
        <w:t xml:space="preserve">nconsistent </w:t>
      </w:r>
      <w:r w:rsidR="007B21F7" w:rsidRPr="00350333">
        <w:t>c</w:t>
      </w:r>
      <w:r w:rsidR="00BE0687" w:rsidRPr="00350333">
        <w:t xml:space="preserve">lassification of </w:t>
      </w:r>
      <w:r w:rsidR="007B21F7" w:rsidRPr="00350333">
        <w:t>e</w:t>
      </w:r>
      <w:r w:rsidR="00BE0687" w:rsidRPr="00350333">
        <w:t>xplosives</w:t>
      </w:r>
      <w:r>
        <w:t>:</w:t>
      </w:r>
    </w:p>
    <w:p w14:paraId="3E328074" w14:textId="7F004649" w:rsidR="00653815" w:rsidRPr="00F1795A" w:rsidRDefault="00F1795A" w:rsidP="00350333">
      <w:pPr>
        <w:pStyle w:val="SingleTxtG"/>
        <w:ind w:left="2127" w:hanging="993"/>
      </w:pPr>
      <w:r>
        <w:tab/>
        <w:t>(a)</w:t>
      </w:r>
      <w:r>
        <w:tab/>
      </w:r>
      <w:r w:rsidR="009B0F3E" w:rsidRPr="00F1795A">
        <w:t>Amendments to c</w:t>
      </w:r>
      <w:r w:rsidR="00D04CFA" w:rsidRPr="00F1795A">
        <w:t>hapter 2.17 of the GHS</w:t>
      </w:r>
      <w:r w:rsidR="00AB4E30">
        <w:t>:</w:t>
      </w:r>
    </w:p>
    <w:p w14:paraId="69F6972B" w14:textId="6D9178C5" w:rsidR="00BE0687" w:rsidRPr="00350333" w:rsidRDefault="00D04CFA" w:rsidP="00350333">
      <w:pPr>
        <w:pStyle w:val="SingleTxtG"/>
        <w:tabs>
          <w:tab w:val="clear" w:pos="1701"/>
        </w:tabs>
        <w:ind w:left="2127" w:hanging="993"/>
        <w:rPr>
          <w:i/>
          <w:iCs/>
        </w:rPr>
      </w:pPr>
      <w:r>
        <w:lastRenderedPageBreak/>
        <w:tab/>
        <w:t>A</w:t>
      </w:r>
      <w:r w:rsidR="00BE0687">
        <w:t xml:space="preserve">mend current </w:t>
      </w:r>
      <w:r>
        <w:t>n</w:t>
      </w:r>
      <w:r w:rsidR="00BE0687">
        <w:t>ote to 2.17.2.2 as follows</w:t>
      </w:r>
      <w:r>
        <w:t xml:space="preserve"> </w:t>
      </w:r>
      <w:r w:rsidRPr="00350333">
        <w:rPr>
          <w:i/>
          <w:iCs/>
        </w:rPr>
        <w:t>(inserted text i</w:t>
      </w:r>
      <w:r w:rsidR="00AB0FFB" w:rsidRPr="00350333">
        <w:rPr>
          <w:i/>
          <w:iCs/>
        </w:rPr>
        <w:t>s</w:t>
      </w:r>
      <w:r w:rsidRPr="00350333">
        <w:rPr>
          <w:i/>
          <w:iCs/>
        </w:rPr>
        <w:t xml:space="preserve"> shown </w:t>
      </w:r>
      <w:r w:rsidR="002E23CA">
        <w:rPr>
          <w:i/>
          <w:iCs/>
        </w:rPr>
        <w:t xml:space="preserve">in bold, </w:t>
      </w:r>
      <w:r w:rsidRPr="00350333">
        <w:rPr>
          <w:i/>
          <w:iCs/>
        </w:rPr>
        <w:t xml:space="preserve">underlined, deleted text </w:t>
      </w:r>
      <w:r w:rsidR="00AB0FFB" w:rsidRPr="00350333">
        <w:rPr>
          <w:i/>
          <w:iCs/>
        </w:rPr>
        <w:t>is crossed</w:t>
      </w:r>
      <w:r w:rsidR="002E23CA">
        <w:rPr>
          <w:i/>
          <w:iCs/>
        </w:rPr>
        <w:t xml:space="preserve"> </w:t>
      </w:r>
      <w:r w:rsidR="00AB0FFB" w:rsidRPr="00350333">
        <w:rPr>
          <w:i/>
          <w:iCs/>
        </w:rPr>
        <w:t>out)</w:t>
      </w:r>
      <w:r w:rsidR="00BE0687" w:rsidRPr="00350333">
        <w:rPr>
          <w:i/>
          <w:iCs/>
        </w:rPr>
        <w:t>:</w:t>
      </w:r>
    </w:p>
    <w:p w14:paraId="1EB9E473" w14:textId="1764AAE2" w:rsidR="002E23CA" w:rsidRDefault="00845BF9" w:rsidP="00350333">
      <w:pPr>
        <w:pStyle w:val="GHStext"/>
        <w:tabs>
          <w:tab w:val="left" w:pos="1418"/>
        </w:tabs>
        <w:ind w:left="1985" w:right="1134"/>
        <w:rPr>
          <w:bCs/>
          <w:i/>
          <w:iCs/>
          <w:lang w:val="en-GB"/>
        </w:rPr>
      </w:pPr>
      <w:r w:rsidRPr="00350333">
        <w:rPr>
          <w:bCs/>
          <w:i/>
          <w:iCs/>
          <w:lang w:val="en-GB"/>
        </w:rPr>
        <w:t>“</w:t>
      </w:r>
      <w:r w:rsidR="00BE0687" w:rsidRPr="00A66CD9">
        <w:rPr>
          <w:b/>
          <w:i/>
          <w:iCs/>
          <w:lang w:val="en-GB"/>
        </w:rPr>
        <w:t xml:space="preserve">NOTE: </w:t>
      </w:r>
      <w:r w:rsidR="00BE0687">
        <w:rPr>
          <w:b/>
          <w:i/>
          <w:iCs/>
          <w:lang w:val="en-GB"/>
        </w:rPr>
        <w:t xml:space="preserve"> </w:t>
      </w:r>
      <w:r w:rsidR="00BE0687" w:rsidRPr="00350333">
        <w:rPr>
          <w:bCs/>
          <w:i/>
          <w:iCs/>
          <w:lang w:val="en-GB"/>
        </w:rPr>
        <w:t>Phlegmati</w:t>
      </w:r>
      <w:r w:rsidR="00C40E2C" w:rsidRPr="00350333">
        <w:rPr>
          <w:bCs/>
          <w:i/>
          <w:iCs/>
          <w:lang w:val="en-GB"/>
        </w:rPr>
        <w:t>z</w:t>
      </w:r>
      <w:r w:rsidR="00BE0687" w:rsidRPr="00350333">
        <w:rPr>
          <w:bCs/>
          <w:i/>
          <w:iCs/>
          <w:lang w:val="en-GB"/>
        </w:rPr>
        <w:t xml:space="preserve">ed explosives which do not meet the criteria of 2.17.2.2 should be </w:t>
      </w:r>
      <w:r w:rsidR="00BE0687" w:rsidRPr="00350333">
        <w:rPr>
          <w:b/>
          <w:i/>
          <w:iCs/>
          <w:color w:val="auto"/>
          <w:u w:val="single"/>
          <w:lang w:val="en-GB"/>
        </w:rPr>
        <w:t>considered for</w:t>
      </w:r>
      <w:r w:rsidR="00BE0687" w:rsidRPr="00350333">
        <w:rPr>
          <w:bCs/>
          <w:i/>
          <w:iCs/>
          <w:color w:val="auto"/>
          <w:lang w:val="en-GB"/>
        </w:rPr>
        <w:t xml:space="preserve"> </w:t>
      </w:r>
      <w:r w:rsidR="00BE0687" w:rsidRPr="00350333">
        <w:rPr>
          <w:bCs/>
          <w:i/>
          <w:iCs/>
          <w:strike/>
          <w:color w:val="auto"/>
          <w:lang w:val="en-GB"/>
        </w:rPr>
        <w:t>classified</w:t>
      </w:r>
      <w:r w:rsidR="002E23CA">
        <w:rPr>
          <w:bCs/>
          <w:i/>
          <w:iCs/>
          <w:strike/>
          <w:color w:val="auto"/>
          <w:lang w:val="en-GB"/>
        </w:rPr>
        <w:t xml:space="preserve"> </w:t>
      </w:r>
      <w:r w:rsidR="00BE0687" w:rsidRPr="00350333">
        <w:rPr>
          <w:b/>
          <w:i/>
          <w:iCs/>
          <w:color w:val="auto"/>
          <w:u w:val="single"/>
          <w:lang w:val="en-GB"/>
        </w:rPr>
        <w:t>classification</w:t>
      </w:r>
      <w:r w:rsidR="00BE0687" w:rsidRPr="00350333">
        <w:rPr>
          <w:bCs/>
          <w:i/>
          <w:iCs/>
          <w:color w:val="auto"/>
          <w:lang w:val="en-GB"/>
        </w:rPr>
        <w:t xml:space="preserve"> as explosives </w:t>
      </w:r>
      <w:r w:rsidR="00BE0687" w:rsidRPr="00350333">
        <w:rPr>
          <w:bCs/>
          <w:i/>
          <w:iCs/>
          <w:lang w:val="en-GB"/>
        </w:rPr>
        <w:t xml:space="preserve">(see </w:t>
      </w:r>
      <w:r w:rsidR="00845CB5">
        <w:rPr>
          <w:bCs/>
          <w:i/>
          <w:iCs/>
          <w:lang w:val="en-GB"/>
        </w:rPr>
        <w:t>c</w:t>
      </w:r>
      <w:r w:rsidR="00BE0687" w:rsidRPr="00350333">
        <w:rPr>
          <w:bCs/>
          <w:i/>
          <w:iCs/>
          <w:lang w:val="en-GB"/>
        </w:rPr>
        <w:t>hapter 2.1).</w:t>
      </w:r>
      <w:r w:rsidR="002E23CA">
        <w:rPr>
          <w:bCs/>
          <w:i/>
          <w:iCs/>
          <w:lang w:val="en-GB"/>
        </w:rPr>
        <w:t>”</w:t>
      </w:r>
    </w:p>
    <w:p w14:paraId="39957013" w14:textId="236B457E" w:rsidR="002E23CA" w:rsidRPr="009B0F3E" w:rsidRDefault="00AB4E30" w:rsidP="00AB4E30">
      <w:pPr>
        <w:pStyle w:val="SingleTxtG"/>
      </w:pPr>
      <w:r>
        <w:tab/>
      </w:r>
      <w:r w:rsidR="00F1795A" w:rsidRPr="00350333">
        <w:t>(b)</w:t>
      </w:r>
      <w:r w:rsidR="00F1795A" w:rsidRPr="00350333">
        <w:tab/>
      </w:r>
      <w:r w:rsidR="002E23CA" w:rsidRPr="00350333">
        <w:t>Amendments to section 51 of the MTC</w:t>
      </w:r>
    </w:p>
    <w:p w14:paraId="37D5E8FB" w14:textId="7E326CCF" w:rsidR="00BE0687" w:rsidRDefault="00845BF9" w:rsidP="00350333">
      <w:pPr>
        <w:pStyle w:val="SingleTxtG"/>
        <w:tabs>
          <w:tab w:val="clear" w:pos="1701"/>
          <w:tab w:val="clear" w:pos="2835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2268" w:hanging="708"/>
      </w:pPr>
      <w:r>
        <w:rPr>
          <w:bCs/>
          <w:i/>
          <w:iCs/>
        </w:rPr>
        <w:tab/>
      </w:r>
      <w:r w:rsidR="002E23CA" w:rsidRPr="00350333">
        <w:rPr>
          <w:bCs/>
        </w:rPr>
        <w:t>A</w:t>
      </w:r>
      <w:r w:rsidR="00BE0687">
        <w:t xml:space="preserve">mend </w:t>
      </w:r>
      <w:r w:rsidR="002E23CA">
        <w:t xml:space="preserve">paragraph </w:t>
      </w:r>
      <w:r w:rsidR="00BE0687">
        <w:t>51.4.4.3 as follows</w:t>
      </w:r>
      <w:r>
        <w:t xml:space="preserve"> </w:t>
      </w:r>
      <w:r w:rsidRPr="003418E0">
        <w:rPr>
          <w:i/>
          <w:iCs/>
        </w:rPr>
        <w:t xml:space="preserve">(inserted text is shown </w:t>
      </w:r>
      <w:r>
        <w:rPr>
          <w:i/>
          <w:iCs/>
        </w:rPr>
        <w:t xml:space="preserve">in bold, </w:t>
      </w:r>
      <w:r w:rsidRPr="003418E0">
        <w:rPr>
          <w:i/>
          <w:iCs/>
        </w:rPr>
        <w:t>underlined, deleted text is crossed</w:t>
      </w:r>
      <w:r>
        <w:rPr>
          <w:i/>
          <w:iCs/>
        </w:rPr>
        <w:t xml:space="preserve"> </w:t>
      </w:r>
      <w:r w:rsidRPr="003418E0">
        <w:rPr>
          <w:i/>
          <w:iCs/>
        </w:rPr>
        <w:t>out)</w:t>
      </w:r>
      <w:r w:rsidR="00BE0687">
        <w:t>:</w:t>
      </w:r>
    </w:p>
    <w:p w14:paraId="2457A6D3" w14:textId="702889E0" w:rsidR="00BE0687" w:rsidRPr="00350333" w:rsidRDefault="00845BF9" w:rsidP="00350333">
      <w:pPr>
        <w:pStyle w:val="SingleTxtG"/>
        <w:tabs>
          <w:tab w:val="clear" w:pos="1701"/>
        </w:tabs>
        <w:ind w:left="2268"/>
        <w:rPr>
          <w:b/>
          <w:bCs/>
        </w:rPr>
      </w:pPr>
      <w:r>
        <w:t>“</w:t>
      </w:r>
      <w:r w:rsidR="00BE0687">
        <w:t>51.4.4.3</w:t>
      </w:r>
      <w:r>
        <w:tab/>
      </w:r>
      <w:r w:rsidR="00BE0687">
        <w:t xml:space="preserve">If a mass explosion or individual explosions or metallic projections (fragments) occur the substance or mixture is </w:t>
      </w:r>
      <w:r w:rsidR="00BE0687" w:rsidRPr="00350333">
        <w:rPr>
          <w:b/>
          <w:bCs/>
          <w:u w:val="single"/>
        </w:rPr>
        <w:t>not included in the class of desensiti</w:t>
      </w:r>
      <w:r w:rsidR="009F0FD7">
        <w:rPr>
          <w:b/>
          <w:bCs/>
          <w:u w:val="single"/>
        </w:rPr>
        <w:t>z</w:t>
      </w:r>
      <w:r w:rsidR="00BE0687" w:rsidRPr="00350333">
        <w:rPr>
          <w:b/>
          <w:bCs/>
          <w:u w:val="single"/>
        </w:rPr>
        <w:t>ed explosives and should be considered for classification</w:t>
      </w:r>
      <w:r w:rsidRPr="00350333">
        <w:rPr>
          <w:i/>
          <w:iCs/>
        </w:rPr>
        <w:t xml:space="preserve"> </w:t>
      </w:r>
      <w:r w:rsidR="00BE0687" w:rsidRPr="00350333">
        <w:rPr>
          <w:strike/>
        </w:rPr>
        <w:t>classified</w:t>
      </w:r>
      <w:r w:rsidR="00BE0687" w:rsidRPr="00350333">
        <w:rPr>
          <w:b/>
          <w:bCs/>
        </w:rPr>
        <w:t xml:space="preserve"> </w:t>
      </w:r>
      <w:r w:rsidR="00BE0687" w:rsidRPr="00845BF9">
        <w:t xml:space="preserve">in the hazard class “explosives” </w:t>
      </w:r>
      <w:r w:rsidR="00BE0687" w:rsidRPr="00350333">
        <w:rPr>
          <w:b/>
          <w:bCs/>
          <w:u w:val="single"/>
        </w:rPr>
        <w:t xml:space="preserve">(see </w:t>
      </w:r>
      <w:r w:rsidR="009F0FD7">
        <w:rPr>
          <w:b/>
          <w:bCs/>
          <w:u w:val="single"/>
        </w:rPr>
        <w:t>c</w:t>
      </w:r>
      <w:r w:rsidR="00BE0687" w:rsidRPr="00350333">
        <w:rPr>
          <w:b/>
          <w:bCs/>
          <w:u w:val="single"/>
        </w:rPr>
        <w:t>hapter 2.1).</w:t>
      </w:r>
      <w:r w:rsidR="009F0FD7" w:rsidRPr="00350333">
        <w:t>”</w:t>
      </w:r>
    </w:p>
    <w:p w14:paraId="7C9AE21E" w14:textId="5E3E4112" w:rsidR="00845BF9" w:rsidRDefault="00845BF9" w:rsidP="00350333">
      <w:pPr>
        <w:pStyle w:val="SingleTxtG"/>
        <w:tabs>
          <w:tab w:val="clear" w:pos="1701"/>
          <w:tab w:val="clear" w:pos="2835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2268"/>
      </w:pPr>
      <w:r>
        <w:t xml:space="preserve">Amend the last </w:t>
      </w:r>
      <w:r w:rsidR="00BE0687">
        <w:t>sentence of 51.4.4.5</w:t>
      </w:r>
      <w:r>
        <w:t xml:space="preserve"> as follows </w:t>
      </w:r>
      <w:r w:rsidRPr="003418E0">
        <w:rPr>
          <w:i/>
          <w:iCs/>
        </w:rPr>
        <w:t xml:space="preserve">(inserted text is shown </w:t>
      </w:r>
      <w:r>
        <w:rPr>
          <w:i/>
          <w:iCs/>
        </w:rPr>
        <w:t xml:space="preserve">in bold, </w:t>
      </w:r>
      <w:r w:rsidRPr="003418E0">
        <w:rPr>
          <w:i/>
          <w:iCs/>
        </w:rPr>
        <w:t>underlined, deleted text is crossed</w:t>
      </w:r>
      <w:r>
        <w:rPr>
          <w:i/>
          <w:iCs/>
        </w:rPr>
        <w:t xml:space="preserve"> </w:t>
      </w:r>
      <w:r w:rsidRPr="003418E0">
        <w:rPr>
          <w:i/>
          <w:iCs/>
        </w:rPr>
        <w:t>out)</w:t>
      </w:r>
      <w:r>
        <w:t>:</w:t>
      </w:r>
    </w:p>
    <w:p w14:paraId="29C9753A" w14:textId="74E2505E" w:rsidR="00BE0687" w:rsidRPr="00845BF9" w:rsidRDefault="00845BF9" w:rsidP="00BE0687">
      <w:pPr>
        <w:pStyle w:val="SingleTxtG"/>
        <w:ind w:left="2250"/>
      </w:pPr>
      <w:r w:rsidRPr="00845BF9">
        <w:t>“</w:t>
      </w:r>
      <w:r w:rsidR="00BE0687" w:rsidRPr="00845BF9">
        <w:t xml:space="preserve">Any substance or mixture with a corrected burning rate greater than 1200 kg/min is </w:t>
      </w:r>
      <w:r w:rsidR="00BE0687" w:rsidRPr="00350333">
        <w:rPr>
          <w:b/>
          <w:bCs/>
          <w:u w:val="single"/>
        </w:rPr>
        <w:t xml:space="preserve">not included in the class of </w:t>
      </w:r>
      <w:r w:rsidR="00386DB3" w:rsidRPr="00350333">
        <w:rPr>
          <w:b/>
          <w:bCs/>
          <w:u w:val="single"/>
        </w:rPr>
        <w:t>desensiti</w:t>
      </w:r>
      <w:r w:rsidR="00386DB3">
        <w:rPr>
          <w:b/>
          <w:bCs/>
          <w:u w:val="single"/>
        </w:rPr>
        <w:t>z</w:t>
      </w:r>
      <w:r w:rsidR="00386DB3" w:rsidRPr="00350333">
        <w:rPr>
          <w:b/>
          <w:bCs/>
          <w:u w:val="single"/>
        </w:rPr>
        <w:t xml:space="preserve">ed </w:t>
      </w:r>
      <w:r w:rsidR="00BE0687" w:rsidRPr="00350333">
        <w:rPr>
          <w:b/>
          <w:bCs/>
          <w:u w:val="single"/>
        </w:rPr>
        <w:t>explosives and should be considered for classification</w:t>
      </w:r>
      <w:r w:rsidR="000914A5">
        <w:rPr>
          <w:b/>
          <w:bCs/>
          <w:u w:val="single"/>
        </w:rPr>
        <w:t xml:space="preserve"> </w:t>
      </w:r>
      <w:r w:rsidR="00BE0687" w:rsidRPr="00350333">
        <w:rPr>
          <w:strike/>
          <w:u w:val="single"/>
        </w:rPr>
        <w:t>classified</w:t>
      </w:r>
      <w:r w:rsidR="00BE0687" w:rsidRPr="00350333">
        <w:t xml:space="preserve"> </w:t>
      </w:r>
      <w:r w:rsidR="00BE0687" w:rsidRPr="00845BF9">
        <w:t>as an explosive (</w:t>
      </w:r>
      <w:r w:rsidR="000914A5">
        <w:t>s</w:t>
      </w:r>
      <w:r w:rsidR="00BE0687" w:rsidRPr="00845BF9">
        <w:t xml:space="preserve">ee </w:t>
      </w:r>
      <w:r>
        <w:t>c</w:t>
      </w:r>
      <w:r w:rsidR="00BE0687" w:rsidRPr="00845BF9">
        <w:t>hapter 2.1 of the GHS).</w:t>
      </w:r>
      <w:r w:rsidRPr="00845BF9">
        <w:t>”</w:t>
      </w:r>
    </w:p>
    <w:p w14:paraId="30A2F069" w14:textId="063B97CA" w:rsidR="00BE0687" w:rsidRPr="00350333" w:rsidRDefault="00132F75" w:rsidP="00350333">
      <w:pPr>
        <w:pStyle w:val="SingleTxtG"/>
      </w:pPr>
      <w:r>
        <w:t>14.</w:t>
      </w:r>
      <w:r w:rsidR="00BE0687">
        <w:tab/>
      </w:r>
      <w:r w:rsidR="0029700F">
        <w:t>Proposal addressing the e</w:t>
      </w:r>
      <w:r w:rsidR="00BE0687" w:rsidRPr="00350333">
        <w:t xml:space="preserve">xclusion of </w:t>
      </w:r>
      <w:r w:rsidR="0029700F">
        <w:t>n</w:t>
      </w:r>
      <w:r w:rsidR="00BE0687" w:rsidRPr="00350333">
        <w:t xml:space="preserve">itrocellulose </w:t>
      </w:r>
      <w:r w:rsidR="0029700F">
        <w:t>m</w:t>
      </w:r>
      <w:r w:rsidR="00BE0687" w:rsidRPr="00350333">
        <w:t xml:space="preserve">ixtures from </w:t>
      </w:r>
      <w:r w:rsidR="0029700F">
        <w:t>s</w:t>
      </w:r>
      <w:r w:rsidR="00BE0687" w:rsidRPr="00350333">
        <w:t xml:space="preserve">ensitivity </w:t>
      </w:r>
      <w:r w:rsidR="0029700F">
        <w:t>t</w:t>
      </w:r>
      <w:r w:rsidR="00BE0687" w:rsidRPr="00350333">
        <w:t>esting</w:t>
      </w:r>
      <w:r w:rsidR="00E64E18">
        <w:t>:</w:t>
      </w:r>
    </w:p>
    <w:p w14:paraId="75EDCAC7" w14:textId="1C875332" w:rsidR="00BE0687" w:rsidRPr="00AB4E30" w:rsidRDefault="00AB4E30" w:rsidP="00350333">
      <w:pPr>
        <w:pStyle w:val="SingleTxtG"/>
      </w:pPr>
      <w:r>
        <w:tab/>
      </w:r>
      <w:r w:rsidR="000914A5" w:rsidRPr="00AB4E30">
        <w:t>Chapter 2.17 of the GHS, d</w:t>
      </w:r>
      <w:r w:rsidR="00BE0687" w:rsidRPr="00AB4E30">
        <w:t xml:space="preserve">elete the </w:t>
      </w:r>
      <w:r w:rsidR="000914A5" w:rsidRPr="00AB4E30">
        <w:t>n</w:t>
      </w:r>
      <w:r w:rsidR="00BE0687" w:rsidRPr="00AB4E30">
        <w:t xml:space="preserve">ote to </w:t>
      </w:r>
      <w:r w:rsidR="000914A5" w:rsidRPr="00AB4E30">
        <w:t xml:space="preserve">paragraph </w:t>
      </w:r>
      <w:r w:rsidR="00BE0687" w:rsidRPr="00AB4E30">
        <w:t>2.17.2.3</w:t>
      </w:r>
      <w:r w:rsidR="00E64E18">
        <w:t>, as follows:</w:t>
      </w:r>
    </w:p>
    <w:p w14:paraId="11C9B6AE" w14:textId="213C4F99" w:rsidR="00B033D1" w:rsidRPr="000914A5" w:rsidRDefault="000914A5" w:rsidP="00350333">
      <w:pPr>
        <w:pStyle w:val="SingleTxtG"/>
        <w:tabs>
          <w:tab w:val="clear" w:pos="2268"/>
        </w:tabs>
        <w:ind w:left="1701"/>
      </w:pPr>
      <w:r w:rsidRPr="00350333">
        <w:rPr>
          <w:i/>
          <w:iCs/>
          <w:strike/>
        </w:rPr>
        <w:t>“</w:t>
      </w:r>
      <w:r w:rsidR="00BE0687" w:rsidRPr="00350333">
        <w:rPr>
          <w:b/>
          <w:bCs/>
          <w:i/>
          <w:iCs/>
          <w:strike/>
        </w:rPr>
        <w:t>NOTE</w:t>
      </w:r>
      <w:r w:rsidR="00BE0687" w:rsidRPr="00350333">
        <w:rPr>
          <w:i/>
          <w:iCs/>
          <w:strike/>
        </w:rPr>
        <w:t>: Nitrocellulose mixtures containing no explosives other than nitrocellulose, do not need to meet the criterion of 2.17.2.2(b)(ii).’’</w:t>
      </w:r>
    </w:p>
    <w:p w14:paraId="7447088B" w14:textId="14BB9422" w:rsidR="00B033D1" w:rsidRDefault="00132F75" w:rsidP="00132F75">
      <w:pPr>
        <w:pStyle w:val="SingleTxtG"/>
      </w:pPr>
      <w:r>
        <w:t>15.</w:t>
      </w:r>
      <w:r>
        <w:tab/>
      </w:r>
      <w:r w:rsidR="00B033D1">
        <w:t>Proposal addressing the applica</w:t>
      </w:r>
      <w:r>
        <w:t>tion of the burning rate test</w:t>
      </w:r>
      <w:r w:rsidR="00E64E18">
        <w:t>:</w:t>
      </w:r>
    </w:p>
    <w:p w14:paraId="6AB07C2F" w14:textId="1F6A06BC" w:rsidR="002450C6" w:rsidRPr="002450C6" w:rsidRDefault="00132F75" w:rsidP="00350333">
      <w:pPr>
        <w:pStyle w:val="SingleTxtG"/>
        <w:tabs>
          <w:tab w:val="clear" w:pos="1701"/>
          <w:tab w:val="clear" w:pos="2268"/>
          <w:tab w:val="clear" w:pos="2835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1701"/>
      </w:pPr>
      <w:r>
        <w:tab/>
      </w:r>
      <w:r w:rsidR="002450C6">
        <w:t xml:space="preserve">In </w:t>
      </w:r>
      <w:r w:rsidR="00AC1F78">
        <w:t xml:space="preserve">section 51, subparagraph </w:t>
      </w:r>
      <w:r w:rsidR="00BE0687" w:rsidRPr="004A39E0">
        <w:t>51.4.1.2</w:t>
      </w:r>
      <w:r w:rsidR="00E64E18">
        <w:t xml:space="preserve"> </w:t>
      </w:r>
      <w:r w:rsidR="00BE0687" w:rsidRPr="004A39E0">
        <w:t>(b) of the MTC</w:t>
      </w:r>
      <w:r w:rsidR="002450C6">
        <w:t xml:space="preserve">, delete “Division 1.1” as follows: </w:t>
      </w:r>
    </w:p>
    <w:p w14:paraId="384CC63E" w14:textId="77B2B51A" w:rsidR="00BE0687" w:rsidRPr="00350333" w:rsidRDefault="002450C6" w:rsidP="00350333">
      <w:pPr>
        <w:pStyle w:val="SingleTxtG"/>
        <w:tabs>
          <w:tab w:val="clear" w:pos="1701"/>
          <w:tab w:val="left" w:pos="2127"/>
        </w:tabs>
        <w:ind w:left="2127" w:hanging="426"/>
        <w:rPr>
          <w:strike/>
        </w:rPr>
      </w:pPr>
      <w:r w:rsidRPr="002450C6">
        <w:t>“</w:t>
      </w:r>
      <w:r w:rsidR="00BE0687" w:rsidRPr="002450C6">
        <w:t xml:space="preserve">(b) </w:t>
      </w:r>
      <w:r>
        <w:tab/>
      </w:r>
      <w:r w:rsidR="00BE0687" w:rsidRPr="002450C6">
        <w:t>The substance or mixture, as packed for supply and use, is assigned to the hazard class “Explosives”</w:t>
      </w:r>
      <w:r w:rsidR="00BE0687" w:rsidRPr="00350333">
        <w:rPr>
          <w:strike/>
        </w:rPr>
        <w:t>, Division 1.1</w:t>
      </w:r>
      <w:r w:rsidR="00BE0687" w:rsidRPr="00987E05">
        <w:t>.</w:t>
      </w:r>
      <w:r w:rsidRPr="00987E05">
        <w:t>”</w:t>
      </w:r>
    </w:p>
    <w:p w14:paraId="13CEA4C2" w14:textId="08C294CE" w:rsidR="00AF5DE1" w:rsidRPr="00E56E8F" w:rsidRDefault="00941DB7" w:rsidP="00941DB7">
      <w:pPr>
        <w:spacing w:before="240"/>
        <w:jc w:val="center"/>
      </w:pPr>
      <w:r>
        <w:rPr>
          <w:u w:val="single"/>
          <w:lang w:eastAsia="en-US"/>
        </w:rPr>
        <w:tab/>
      </w:r>
      <w:r>
        <w:rPr>
          <w:u w:val="single"/>
          <w:lang w:eastAsia="en-US"/>
        </w:rPr>
        <w:tab/>
      </w:r>
      <w:r>
        <w:rPr>
          <w:u w:val="single"/>
          <w:lang w:eastAsia="en-US"/>
        </w:rPr>
        <w:tab/>
      </w:r>
    </w:p>
    <w:sectPr w:rsidR="00AF5DE1" w:rsidRPr="00E56E8F" w:rsidSect="00E56E8F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E36A8" w14:textId="77777777" w:rsidR="00EA778E" w:rsidRPr="00C47B2E" w:rsidRDefault="00EA778E" w:rsidP="00C47B2E">
      <w:pPr>
        <w:pStyle w:val="Footer"/>
      </w:pPr>
    </w:p>
  </w:endnote>
  <w:endnote w:type="continuationSeparator" w:id="0">
    <w:p w14:paraId="77B1F2D3" w14:textId="77777777" w:rsidR="00EA778E" w:rsidRPr="00C47B2E" w:rsidRDefault="00EA778E" w:rsidP="00C47B2E">
      <w:pPr>
        <w:pStyle w:val="Footer"/>
      </w:pPr>
    </w:p>
  </w:endnote>
  <w:endnote w:type="continuationNotice" w:id="1">
    <w:p w14:paraId="7E77F67F" w14:textId="77777777" w:rsidR="00EA778E" w:rsidRPr="00C47B2E" w:rsidRDefault="00EA778E" w:rsidP="00C47B2E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EF42F" w14:textId="33CB5CD6" w:rsidR="00D94B05" w:rsidRPr="00E56E8F" w:rsidRDefault="00E56E8F" w:rsidP="00E56E8F">
    <w:pPr>
      <w:pStyle w:val="Footer"/>
      <w:tabs>
        <w:tab w:val="right" w:pos="9598"/>
        <w:tab w:val="right" w:pos="9638"/>
      </w:tabs>
      <w:rPr>
        <w:sz w:val="18"/>
      </w:rPr>
    </w:pPr>
    <w:r w:rsidRPr="00E56E8F">
      <w:rPr>
        <w:b/>
        <w:sz w:val="18"/>
      </w:rPr>
      <w:fldChar w:fldCharType="begin"/>
    </w:r>
    <w:r w:rsidRPr="00E56E8F">
      <w:rPr>
        <w:b/>
        <w:sz w:val="18"/>
      </w:rPr>
      <w:instrText xml:space="preserve"> PAGE  \* MERGEFORMAT </w:instrText>
    </w:r>
    <w:r w:rsidRPr="00E56E8F">
      <w:rPr>
        <w:b/>
        <w:sz w:val="18"/>
      </w:rPr>
      <w:fldChar w:fldCharType="separate"/>
    </w:r>
    <w:r w:rsidRPr="00E56E8F">
      <w:rPr>
        <w:b/>
        <w:noProof/>
        <w:sz w:val="18"/>
      </w:rPr>
      <w:t>2</w:t>
    </w:r>
    <w:r w:rsidRPr="00E56E8F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2B357" w14:textId="3165C0C7" w:rsidR="00D94B05" w:rsidRPr="00941DB7" w:rsidRDefault="00E56E8F" w:rsidP="00941DB7">
    <w:pPr>
      <w:pStyle w:val="Footer"/>
      <w:tabs>
        <w:tab w:val="left" w:pos="5775"/>
        <w:tab w:val="right" w:pos="9598"/>
        <w:tab w:val="right" w:pos="9638"/>
      </w:tabs>
      <w:jc w:val="right"/>
      <w:rPr>
        <w:b/>
        <w:bCs/>
        <w:sz w:val="18"/>
      </w:rPr>
    </w:pPr>
    <w:r>
      <w:rPr>
        <w:b/>
        <w:sz w:val="18"/>
      </w:rPr>
      <w:tab/>
    </w:r>
    <w:r w:rsidRPr="00941DB7">
      <w:rPr>
        <w:b/>
        <w:bCs/>
        <w:sz w:val="18"/>
      </w:rPr>
      <w:fldChar w:fldCharType="begin"/>
    </w:r>
    <w:r w:rsidRPr="00941DB7">
      <w:rPr>
        <w:b/>
        <w:bCs/>
        <w:sz w:val="18"/>
      </w:rPr>
      <w:instrText xml:space="preserve"> PAGE  \* MERGEFORMAT </w:instrText>
    </w:r>
    <w:r w:rsidRPr="00941DB7">
      <w:rPr>
        <w:b/>
        <w:bCs/>
        <w:sz w:val="18"/>
      </w:rPr>
      <w:fldChar w:fldCharType="separate"/>
    </w:r>
    <w:r w:rsidRPr="00941DB7">
      <w:rPr>
        <w:b/>
        <w:bCs/>
        <w:noProof/>
        <w:sz w:val="18"/>
      </w:rPr>
      <w:t>3</w:t>
    </w:r>
    <w:r w:rsidRPr="00941DB7">
      <w:rPr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09A88" w14:textId="27B64F9B" w:rsidR="00D94B05" w:rsidRDefault="00E728D6" w:rsidP="00E728D6">
    <w:pPr>
      <w:pStyle w:val="Footer"/>
      <w:rPr>
        <w:rFonts w:asciiTheme="majorBidi" w:hAnsiTheme="majorBidi" w:cstheme="majorBidi"/>
        <w:sz w:val="20"/>
      </w:rPr>
    </w:pPr>
    <w:r w:rsidRPr="00E728D6">
      <w:rPr>
        <w:rFonts w:asciiTheme="majorBidi" w:hAnsiTheme="majorBidi" w:cstheme="majorBidi"/>
        <w:noProof/>
        <w:sz w:val="20"/>
        <w:lang w:val="en-US"/>
      </w:rPr>
      <w:drawing>
        <wp:anchor distT="0" distB="0" distL="114300" distR="114300" simplePos="0" relativeHeight="251660288" behindDoc="0" locked="1" layoutInCell="1" allowOverlap="1" wp14:anchorId="3E0DA0FC" wp14:editId="2BE5BDFD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2109">
      <w:rPr>
        <w:noProof/>
        <w:lang w:val="fr-CH" w:eastAsia="fr-CH"/>
      </w:rPr>
      <w:drawing>
        <wp:anchor distT="0" distB="0" distL="114300" distR="114300" simplePos="0" relativeHeight="251658240" behindDoc="0" locked="1" layoutInCell="1" allowOverlap="1" wp14:anchorId="0FC96453" wp14:editId="3C1A7707">
          <wp:simplePos x="0" y="0"/>
          <wp:positionH relativeFrom="margin">
            <wp:posOffset>5003800</wp:posOffset>
          </wp:positionH>
          <wp:positionV relativeFrom="margin">
            <wp:posOffset>9323705</wp:posOffset>
          </wp:positionV>
          <wp:extent cx="923925" cy="228600"/>
          <wp:effectExtent l="0" t="0" r="9525" b="0"/>
          <wp:wrapNone/>
          <wp:docPr id="2" name="Picture 2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Englis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18A5BB" w14:textId="1E6682C0" w:rsidR="00E728D6" w:rsidRPr="00E728D6" w:rsidRDefault="00E728D6" w:rsidP="00E728D6">
    <w:pPr>
      <w:pStyle w:val="Footer"/>
      <w:ind w:right="1134"/>
      <w:rPr>
        <w:rFonts w:asciiTheme="majorBidi" w:hAnsiTheme="majorBidi" w:cstheme="majorBidi"/>
        <w:sz w:val="20"/>
      </w:rPr>
    </w:pPr>
    <w:r>
      <w:rPr>
        <w:rFonts w:asciiTheme="majorBidi" w:hAnsiTheme="majorBidi" w:cstheme="majorBidi"/>
        <w:sz w:val="20"/>
      </w:rPr>
      <w:t>GE.23-06859(E)</w:t>
    </w:r>
    <w:r>
      <w:rPr>
        <w:rFonts w:asciiTheme="majorBidi" w:hAnsiTheme="majorBidi" w:cstheme="majorBidi"/>
        <w:noProof/>
        <w:sz w:val="20"/>
      </w:rPr>
      <w:drawing>
        <wp:anchor distT="0" distB="0" distL="114300" distR="114300" simplePos="0" relativeHeight="251661312" behindDoc="0" locked="0" layoutInCell="1" allowOverlap="1" wp14:anchorId="78A49611" wp14:editId="3F571BF4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561975" cy="561975"/>
          <wp:effectExtent l="0" t="0" r="9525" b="9525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A93A5" w14:textId="77777777" w:rsidR="00EA778E" w:rsidRPr="00C47B2E" w:rsidRDefault="00EA778E" w:rsidP="00C47B2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1C583E11" w14:textId="77777777" w:rsidR="00EA778E" w:rsidRPr="00C47B2E" w:rsidRDefault="00EA778E" w:rsidP="005E716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Notice" w:id="1">
    <w:p w14:paraId="60FDB0F4" w14:textId="77777777" w:rsidR="00EA778E" w:rsidRPr="00C47B2E" w:rsidRDefault="00EA778E" w:rsidP="00C47B2E">
      <w:pPr>
        <w:pStyle w:val="Footer"/>
      </w:pPr>
    </w:p>
  </w:footnote>
  <w:footnote w:id="2">
    <w:p w14:paraId="0BD591E7" w14:textId="77777777" w:rsidR="00BD6D75" w:rsidRPr="00730126" w:rsidRDefault="00BD6D75" w:rsidP="00BD6D75">
      <w:pPr>
        <w:pStyle w:val="FootnoteText"/>
        <w:rPr>
          <w:lang w:val="fr-CH"/>
        </w:rPr>
      </w:pPr>
      <w:r>
        <w:rPr>
          <w:rStyle w:val="FootnoteReference"/>
        </w:rPr>
        <w:tab/>
      </w:r>
      <w:r w:rsidRPr="00730126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537719">
        <w:t>A/77/6 (Sect. 20), table 20.6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A8E4D" w14:textId="22E39DEF" w:rsidR="00E56E8F" w:rsidRPr="00E56E8F" w:rsidRDefault="00E56E8F">
    <w:pPr>
      <w:pStyle w:val="Header"/>
    </w:pPr>
    <w:r>
      <w:t>ST/SG/AC.10/C.3/2023/17</w:t>
    </w:r>
    <w:r>
      <w:br/>
      <w:t>ST/SG/AC.10/C.4/2023/3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648FC" w14:textId="7FE28C2F" w:rsidR="00D94B05" w:rsidRPr="00E56E8F" w:rsidRDefault="00E56E8F" w:rsidP="00E56E8F">
    <w:pPr>
      <w:pStyle w:val="Header"/>
      <w:jc w:val="right"/>
    </w:pPr>
    <w:r>
      <w:t>ST/SG/AC.10/C.3/2023/17</w:t>
    </w:r>
    <w:r>
      <w:br/>
      <w:t>ST/SG/AC.10/C.4/2023/3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96BBB"/>
    <w:multiLevelType w:val="hybridMultilevel"/>
    <w:tmpl w:val="E0C0BC4E"/>
    <w:lvl w:ilvl="0" w:tplc="337A59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C5056"/>
    <w:multiLevelType w:val="hybridMultilevel"/>
    <w:tmpl w:val="689EEB76"/>
    <w:lvl w:ilvl="0" w:tplc="8E5A9BB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9A1B86"/>
    <w:multiLevelType w:val="hybridMultilevel"/>
    <w:tmpl w:val="FEE09B18"/>
    <w:lvl w:ilvl="0" w:tplc="64E039FA">
      <w:start w:val="1"/>
      <w:numFmt w:val="decimal"/>
      <w:lvlText w:val="%1."/>
      <w:lvlJc w:val="left"/>
      <w:pPr>
        <w:ind w:left="153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E626A3"/>
    <w:multiLevelType w:val="hybridMultilevel"/>
    <w:tmpl w:val="D2A0D708"/>
    <w:lvl w:ilvl="0" w:tplc="5204C504">
      <w:start w:val="1"/>
      <w:numFmt w:val="lowerRoman"/>
      <w:lvlText w:val="(%1)"/>
      <w:lvlJc w:val="left"/>
      <w:pPr>
        <w:ind w:left="22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0" w15:restartNumberingAfterBreak="0">
    <w:nsid w:val="5D3F0DFE"/>
    <w:multiLevelType w:val="hybridMultilevel"/>
    <w:tmpl w:val="3F44694E"/>
    <w:lvl w:ilvl="0" w:tplc="3A1CB3F4">
      <w:start w:val="1"/>
      <w:numFmt w:val="lowerRoman"/>
      <w:lvlText w:val="(%1)"/>
      <w:lvlJc w:val="left"/>
      <w:pPr>
        <w:ind w:left="22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1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257327777">
    <w:abstractNumId w:val="8"/>
  </w:num>
  <w:num w:numId="2" w16cid:durableId="1947224229">
    <w:abstractNumId w:val="7"/>
  </w:num>
  <w:num w:numId="3" w16cid:durableId="1666081202">
    <w:abstractNumId w:val="0"/>
  </w:num>
  <w:num w:numId="4" w16cid:durableId="1964384750">
    <w:abstractNumId w:val="11"/>
  </w:num>
  <w:num w:numId="5" w16cid:durableId="760250065">
    <w:abstractNumId w:val="12"/>
  </w:num>
  <w:num w:numId="6" w16cid:durableId="804736702">
    <w:abstractNumId w:val="14"/>
  </w:num>
  <w:num w:numId="7" w16cid:durableId="1461073385">
    <w:abstractNumId w:val="6"/>
  </w:num>
  <w:num w:numId="8" w16cid:durableId="1625967452">
    <w:abstractNumId w:val="1"/>
  </w:num>
  <w:num w:numId="9" w16cid:durableId="350962310">
    <w:abstractNumId w:val="13"/>
  </w:num>
  <w:num w:numId="10" w16cid:durableId="1786269108">
    <w:abstractNumId w:val="1"/>
  </w:num>
  <w:num w:numId="11" w16cid:durableId="1338263624">
    <w:abstractNumId w:val="13"/>
  </w:num>
  <w:num w:numId="12" w16cid:durableId="1684430456">
    <w:abstractNumId w:val="4"/>
  </w:num>
  <w:num w:numId="13" w16cid:durableId="497157939">
    <w:abstractNumId w:val="4"/>
  </w:num>
  <w:num w:numId="14" w16cid:durableId="1528525119">
    <w:abstractNumId w:val="5"/>
  </w:num>
  <w:num w:numId="15" w16cid:durableId="991104737">
    <w:abstractNumId w:val="10"/>
  </w:num>
  <w:num w:numId="16" w16cid:durableId="37750076">
    <w:abstractNumId w:val="9"/>
  </w:num>
  <w:num w:numId="17" w16cid:durableId="876240833">
    <w:abstractNumId w:val="3"/>
  </w:num>
  <w:num w:numId="18" w16cid:durableId="20027349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E8F"/>
    <w:rsid w:val="00014C4B"/>
    <w:rsid w:val="00026832"/>
    <w:rsid w:val="00046E92"/>
    <w:rsid w:val="00063C90"/>
    <w:rsid w:val="00070000"/>
    <w:rsid w:val="000914A5"/>
    <w:rsid w:val="00101B98"/>
    <w:rsid w:val="0010536D"/>
    <w:rsid w:val="00132F75"/>
    <w:rsid w:val="001514D1"/>
    <w:rsid w:val="0016326F"/>
    <w:rsid w:val="00180683"/>
    <w:rsid w:val="001C4D09"/>
    <w:rsid w:val="001C7063"/>
    <w:rsid w:val="001E372F"/>
    <w:rsid w:val="001F577D"/>
    <w:rsid w:val="002450C6"/>
    <w:rsid w:val="00247E2C"/>
    <w:rsid w:val="0029700F"/>
    <w:rsid w:val="002A32CB"/>
    <w:rsid w:val="002D5B2C"/>
    <w:rsid w:val="002D6B89"/>
    <w:rsid w:val="002D6C4B"/>
    <w:rsid w:val="002D6C53"/>
    <w:rsid w:val="002E23CA"/>
    <w:rsid w:val="002F3FAE"/>
    <w:rsid w:val="002F5595"/>
    <w:rsid w:val="0032074A"/>
    <w:rsid w:val="00334F6A"/>
    <w:rsid w:val="00342AC8"/>
    <w:rsid w:val="00343302"/>
    <w:rsid w:val="00350333"/>
    <w:rsid w:val="003561DE"/>
    <w:rsid w:val="00386DB3"/>
    <w:rsid w:val="003979DE"/>
    <w:rsid w:val="003B4550"/>
    <w:rsid w:val="003D2A18"/>
    <w:rsid w:val="00413386"/>
    <w:rsid w:val="00421026"/>
    <w:rsid w:val="00447F71"/>
    <w:rsid w:val="00461253"/>
    <w:rsid w:val="004858F5"/>
    <w:rsid w:val="004A2814"/>
    <w:rsid w:val="004A2903"/>
    <w:rsid w:val="004C0622"/>
    <w:rsid w:val="004F73D0"/>
    <w:rsid w:val="005042C2"/>
    <w:rsid w:val="00542304"/>
    <w:rsid w:val="005C7A73"/>
    <w:rsid w:val="005D3726"/>
    <w:rsid w:val="005E716E"/>
    <w:rsid w:val="005F5DD2"/>
    <w:rsid w:val="006476E1"/>
    <w:rsid w:val="00653815"/>
    <w:rsid w:val="006604DF"/>
    <w:rsid w:val="00671529"/>
    <w:rsid w:val="006A38BE"/>
    <w:rsid w:val="006F1EF5"/>
    <w:rsid w:val="0070489D"/>
    <w:rsid w:val="007200A1"/>
    <w:rsid w:val="007268F9"/>
    <w:rsid w:val="007320D3"/>
    <w:rsid w:val="00750282"/>
    <w:rsid w:val="00764440"/>
    <w:rsid w:val="0077101B"/>
    <w:rsid w:val="00790A18"/>
    <w:rsid w:val="007B21F7"/>
    <w:rsid w:val="007C52B0"/>
    <w:rsid w:val="007C6033"/>
    <w:rsid w:val="008147C8"/>
    <w:rsid w:val="0081753A"/>
    <w:rsid w:val="00845BF9"/>
    <w:rsid w:val="00845CB5"/>
    <w:rsid w:val="00857AA7"/>
    <w:rsid w:val="00857D23"/>
    <w:rsid w:val="0089568A"/>
    <w:rsid w:val="00905291"/>
    <w:rsid w:val="009411B4"/>
    <w:rsid w:val="00941DB7"/>
    <w:rsid w:val="00946F1D"/>
    <w:rsid w:val="00987E05"/>
    <w:rsid w:val="009A245E"/>
    <w:rsid w:val="009B0F3E"/>
    <w:rsid w:val="009D0139"/>
    <w:rsid w:val="009D717D"/>
    <w:rsid w:val="009F0FD7"/>
    <w:rsid w:val="009F5CDC"/>
    <w:rsid w:val="00A072D7"/>
    <w:rsid w:val="00A775CF"/>
    <w:rsid w:val="00AB0FFB"/>
    <w:rsid w:val="00AB4E30"/>
    <w:rsid w:val="00AC1F78"/>
    <w:rsid w:val="00AD1A9C"/>
    <w:rsid w:val="00AF5DE1"/>
    <w:rsid w:val="00B033D1"/>
    <w:rsid w:val="00B06045"/>
    <w:rsid w:val="00B206DD"/>
    <w:rsid w:val="00B52EF4"/>
    <w:rsid w:val="00B63691"/>
    <w:rsid w:val="00B777AD"/>
    <w:rsid w:val="00B94331"/>
    <w:rsid w:val="00BD6D75"/>
    <w:rsid w:val="00BE0687"/>
    <w:rsid w:val="00C03015"/>
    <w:rsid w:val="00C0358D"/>
    <w:rsid w:val="00C35A27"/>
    <w:rsid w:val="00C40E2C"/>
    <w:rsid w:val="00C47B2E"/>
    <w:rsid w:val="00C8253C"/>
    <w:rsid w:val="00D04CFA"/>
    <w:rsid w:val="00D05260"/>
    <w:rsid w:val="00D63CD2"/>
    <w:rsid w:val="00D87DC2"/>
    <w:rsid w:val="00D93887"/>
    <w:rsid w:val="00D94B05"/>
    <w:rsid w:val="00DC7379"/>
    <w:rsid w:val="00DF058D"/>
    <w:rsid w:val="00E02C2B"/>
    <w:rsid w:val="00E21C27"/>
    <w:rsid w:val="00E26BCF"/>
    <w:rsid w:val="00E27323"/>
    <w:rsid w:val="00E52109"/>
    <w:rsid w:val="00E56E8F"/>
    <w:rsid w:val="00E64A4F"/>
    <w:rsid w:val="00E64E18"/>
    <w:rsid w:val="00E728D6"/>
    <w:rsid w:val="00E75317"/>
    <w:rsid w:val="00E87E93"/>
    <w:rsid w:val="00EA778E"/>
    <w:rsid w:val="00EC0CE6"/>
    <w:rsid w:val="00EC7C1D"/>
    <w:rsid w:val="00ED6C48"/>
    <w:rsid w:val="00EE3045"/>
    <w:rsid w:val="00EE54CB"/>
    <w:rsid w:val="00F1795A"/>
    <w:rsid w:val="00F404B3"/>
    <w:rsid w:val="00F45B5B"/>
    <w:rsid w:val="00F65F5D"/>
    <w:rsid w:val="00F86A3A"/>
    <w:rsid w:val="00FA42DA"/>
    <w:rsid w:val="00FE2AC5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DA082A"/>
  <w15:docId w15:val="{4A7EB6A1-CE5B-4D53-BA11-786FFE997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379"/>
  </w:style>
  <w:style w:type="paragraph" w:styleId="Heading1">
    <w:name w:val="heading 1"/>
    <w:aliases w:val="Table_G"/>
    <w:basedOn w:val="SingleTxtG"/>
    <w:next w:val="SingleTxtG"/>
    <w:link w:val="Heading1Char"/>
    <w:qFormat/>
    <w:rsid w:val="004A28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4A281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semiHidden/>
    <w:rsid w:val="004A281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semiHidden/>
    <w:rsid w:val="004A281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semiHidden/>
    <w:rsid w:val="004A281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semiHidden/>
    <w:rsid w:val="004A281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4A281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4A281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4A28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qFormat/>
    <w:rsid w:val="004A281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3B4550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link w:val="FooterChar"/>
    <w:qFormat/>
    <w:rsid w:val="004A281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4A2814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4A2814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uiPriority w:val="99"/>
    <w:qFormat/>
    <w:rsid w:val="004A281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A28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A28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A2814"/>
    <w:pPr>
      <w:numPr>
        <w:numId w:val="10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A2814"/>
    <w:pPr>
      <w:numPr>
        <w:numId w:val="11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FA42DA"/>
    <w:pPr>
      <w:numPr>
        <w:numId w:val="13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  <w:rPr>
      <w:rFonts w:eastAsia="Times New Roman"/>
    </w:r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qFormat/>
    <w:rsid w:val="004A281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qFormat/>
    <w:rsid w:val="004A28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DC7379"/>
    <w:rPr>
      <w:sz w:val="18"/>
    </w:rPr>
  </w:style>
  <w:style w:type="paragraph" w:styleId="EndnoteText">
    <w:name w:val="endnote text"/>
    <w:aliases w:val="2_G"/>
    <w:basedOn w:val="FootnoteText"/>
    <w:link w:val="EndnoteTextChar"/>
    <w:qFormat/>
    <w:rsid w:val="004A2814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FootnoteReference">
    <w:name w:val="footnote reference"/>
    <w:aliases w:val="4_G"/>
    <w:uiPriority w:val="99"/>
    <w:qFormat/>
    <w:rsid w:val="004A2814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PageNumber">
    <w:name w:val="page number"/>
    <w:aliases w:val="7_G"/>
    <w:rsid w:val="004A2814"/>
    <w:rPr>
      <w:rFonts w:ascii="Times New Roman" w:hAnsi="Times New Roman"/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1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109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EC0CE6"/>
    <w:rPr>
      <w:color w:val="0000FF"/>
      <w:u w:val="none"/>
    </w:rPr>
  </w:style>
  <w:style w:type="character" w:styleId="FollowedHyperlink">
    <w:name w:val="FollowedHyperlink"/>
    <w:basedOn w:val="DefaultParagraphFont"/>
    <w:rsid w:val="00EC0CE6"/>
    <w:rPr>
      <w:color w:val="0000FF"/>
      <w:u w:val="none"/>
    </w:rPr>
  </w:style>
  <w:style w:type="table" w:styleId="TableGrid">
    <w:name w:val="Table Grid"/>
    <w:basedOn w:val="TableNormal"/>
    <w:rsid w:val="004A2814"/>
    <w:pPr>
      <w:suppressAutoHyphens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HChGChar">
    <w:name w:val="_ H _Ch_G Char"/>
    <w:link w:val="HChG"/>
    <w:locked/>
    <w:rsid w:val="00BE0687"/>
    <w:rPr>
      <w:b/>
      <w:sz w:val="28"/>
    </w:rPr>
  </w:style>
  <w:style w:type="character" w:customStyle="1" w:styleId="SingleTxtGChar">
    <w:name w:val="_ Single Txt_G Char"/>
    <w:link w:val="SingleTxtG"/>
    <w:uiPriority w:val="99"/>
    <w:qFormat/>
    <w:rsid w:val="00BE0687"/>
  </w:style>
  <w:style w:type="paragraph" w:customStyle="1" w:styleId="GHStext">
    <w:name w:val="GHS_text"/>
    <w:basedOn w:val="Normal"/>
    <w:link w:val="GHStextChar"/>
    <w:qFormat/>
    <w:rsid w:val="00BE0687"/>
    <w:pPr>
      <w:spacing w:after="240" w:line="240" w:lineRule="auto"/>
      <w:jc w:val="both"/>
    </w:pPr>
    <w:rPr>
      <w:snapToGrid w:val="0"/>
      <w:color w:val="000000"/>
      <w:szCs w:val="22"/>
      <w:lang w:val="es-ES" w:eastAsia="en-US"/>
    </w:rPr>
  </w:style>
  <w:style w:type="character" w:customStyle="1" w:styleId="GHStextChar">
    <w:name w:val="GHS_text Char"/>
    <w:link w:val="GHStext"/>
    <w:rsid w:val="00BE0687"/>
    <w:rPr>
      <w:snapToGrid w:val="0"/>
      <w:color w:val="000000"/>
      <w:szCs w:val="22"/>
      <w:lang w:val="es-ES" w:eastAsia="en-US"/>
    </w:rPr>
  </w:style>
  <w:style w:type="paragraph" w:styleId="Revision">
    <w:name w:val="Revision"/>
    <w:hidden/>
    <w:uiPriority w:val="99"/>
    <w:semiHidden/>
    <w:rsid w:val="00B63691"/>
    <w:pPr>
      <w:spacing w:line="240" w:lineRule="auto"/>
    </w:pPr>
  </w:style>
  <w:style w:type="paragraph" w:customStyle="1" w:styleId="Default">
    <w:name w:val="Default"/>
    <w:rsid w:val="00F45B5B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ciacouto\United%20Nations\UNOG_DCM-Macros%20-%20UNECE\Templates\ST\SGAC10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ée un document." ma:contentTypeScope="" ma:versionID="1caf4ffa0988abc87f7723fe6588a624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661a28bb76e3d6441cb029918bc28782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C699A-3081-464D-8175-18FB791049CF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2.xml><?xml version="1.0" encoding="utf-8"?>
<ds:datastoreItem xmlns:ds="http://schemas.openxmlformats.org/officeDocument/2006/customXml" ds:itemID="{0E96D6C7-A69F-4CC1-9C48-E5514C6CF9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8F77F6-242B-402B-A642-A9B37941485F}"/>
</file>

<file path=customXml/itemProps4.xml><?xml version="1.0" encoding="utf-8"?>
<ds:datastoreItem xmlns:ds="http://schemas.openxmlformats.org/officeDocument/2006/customXml" ds:itemID="{63518F60-7DA2-420D-843C-E28B2BAD8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SGAC10_E.dotm</Template>
  <TotalTime>0</TotalTime>
  <Pages>3</Pages>
  <Words>1068</Words>
  <Characters>5891</Characters>
  <Application>Microsoft Office Word</Application>
  <DocSecurity>0</DocSecurity>
  <Lines>119</Lines>
  <Paragraphs>53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ST/SG/AC.10/C.3/2023/17</dc:title>
  <dc:subject>2306859</dc:subject>
  <dc:creator>Rosa Garcia-Couto</dc:creator>
  <cp:keywords>ST/SG/AC.10/C.4/2023/3</cp:keywords>
  <dc:description/>
  <cp:lastModifiedBy>Maria Rosario Corazon Gatmaytan</cp:lastModifiedBy>
  <cp:revision>2</cp:revision>
  <dcterms:created xsi:type="dcterms:W3CDTF">2023-04-13T11:12:00Z</dcterms:created>
  <dcterms:modified xsi:type="dcterms:W3CDTF">2023-04-13T11:12:00Z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ffice_x0020_of_x0020_Origin">
    <vt:lpwstr/>
  </property>
  <property fmtid="{D5CDD505-2E9C-101B-9397-08002B2CF9AE}" pid="4" name="MediaServiceImageTags">
    <vt:lpwstr/>
  </property>
  <property fmtid="{D5CDD505-2E9C-101B-9397-08002B2CF9AE}" pid="5" name="gba66df640194346a5267c50f24d4797">
    <vt:lpwstr/>
  </property>
  <property fmtid="{D5CDD505-2E9C-101B-9397-08002B2CF9AE}" pid="6" name="Office of Origin">
    <vt:lpwstr/>
  </property>
</Properties>
</file>